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questions"/>
    <w:p>
      <w:pPr>
        <w:pStyle w:val="Heading3"/>
      </w:pPr>
      <w:r>
        <w:t xml:space="preserve">Questions:</w:t>
      </w:r>
    </w:p>
    <w:p>
      <w:pPr>
        <w:pStyle w:val="Compact"/>
        <w:numPr>
          <w:ilvl w:val="0"/>
          <w:numId w:val="1001"/>
        </w:numPr>
      </w:pPr>
      <w:r>
        <w:rPr>
          <w:b/>
          <w:bCs/>
        </w:rPr>
        <w:t xml:space="preserve">At a temperature of 27°C (common temperature for components in an enclosed operating system), determine the thermal voltage</w:t>
      </w:r>
      <w:r>
        <w:rPr>
          <w:b/>
          <w:bCs/>
        </w:rPr>
        <w:t xml:space="preserve"> </w:t>
      </w:r>
      <m:oMath>
        <m:sSub>
          <m:e>
            <m:r>
              <m:t>V</m:t>
            </m:r>
          </m:e>
          <m:sub>
            <m:r>
              <m:t>T</m:t>
            </m:r>
          </m:sub>
        </m:sSub>
      </m:oMath>
      <w:r>
        <w:rPr>
          <w:b/>
          <w:bCs/>
        </w:rPr>
        <w:t xml:space="preserve">.</w:t>
      </w:r>
    </w:p>
    <w:p>
      <w:pPr>
        <w:pStyle w:val="Compact"/>
        <w:numPr>
          <w:ilvl w:val="0"/>
          <w:numId w:val="1001"/>
        </w:numPr>
      </w:pPr>
      <w:r>
        <w:rPr>
          <w:b/>
          <w:bCs/>
        </w:rPr>
        <w:t xml:space="preserve">Prove that "The higher the current through a diode, the lower is the DC resistance level."</w:t>
      </w:r>
    </w:p>
    <w:p>
      <w:pPr>
        <w:pStyle w:val="Compact"/>
        <w:numPr>
          <w:ilvl w:val="0"/>
          <w:numId w:val="1001"/>
        </w:numPr>
      </w:pPr>
      <w:r>
        <w:rPr>
          <w:b/>
          <w:bCs/>
        </w:rPr>
        <w:t xml:space="preserve">Compare conductors, insulators, and semiconductors using band theory.</w:t>
      </w:r>
    </w:p>
    <w:bookmarkEnd w:id="20"/>
    <w:bookmarkStart w:id="22" w:name="answers"/>
    <w:p>
      <w:pPr>
        <w:pStyle w:val="Heading3"/>
      </w:pPr>
      <w:r>
        <w:t xml:space="preserve">Answers:</w:t>
      </w:r>
    </w:p>
    <w:p>
      <w:pPr>
        <w:pStyle w:val="Compact"/>
        <w:numPr>
          <w:ilvl w:val="0"/>
          <w:numId w:val="1002"/>
        </w:numPr>
      </w:pPr>
      <w:r>
        <w:rPr>
          <w:b/>
          <w:bCs/>
        </w:rPr>
        <w:t xml:space="preserve">Thermal Voltage</w:t>
      </w:r>
      <w:r>
        <w:rPr>
          <w:b/>
          <w:bCs/>
        </w:rPr>
        <w:t xml:space="preserve"> </w:t>
      </w:r>
      <m:oMath>
        <m:sSub>
          <m:e>
            <m:r>
              <m:t>V</m:t>
            </m:r>
          </m:e>
          <m:sub>
            <m:r>
              <m:t>T</m:t>
            </m:r>
          </m:sub>
        </m:sSub>
      </m:oMath>
      <w:r>
        <w:rPr>
          <w:b/>
          <w:bCs/>
        </w:rPr>
        <w:t xml:space="preserve"> </w:t>
      </w:r>
      <w:r>
        <w:rPr>
          <w:b/>
          <w:bCs/>
        </w:rPr>
        <w:t xml:space="preserve">Calculation:</w:t>
      </w:r>
    </w:p>
    <w:p>
      <w:pPr>
        <w:pStyle w:val="FirstParagraph"/>
      </w:pPr>
      <w:r>
        <w:t xml:space="preserve">The thermal voltage</w:t>
      </w:r>
      <w:r>
        <w:t xml:space="preserve"> </w:t>
      </w:r>
      <m:oMath>
        <m:sSub>
          <m:e>
            <m:r>
              <m:t>V</m:t>
            </m:r>
          </m:e>
          <m:sub>
            <m:r>
              <m:t>T</m:t>
            </m:r>
          </m:sub>
        </m:sSub>
      </m:oMath>
      <w:r>
        <w:t xml:space="preserve"> </w:t>
      </w:r>
      <w:r>
        <w:t xml:space="preserve">at a given temperature is given by the equation:</w:t>
      </w:r>
    </w:p>
    <w:p>
      <w:pPr>
        <w:pStyle w:val="BodyText"/>
      </w:pPr>
      <m:oMathPara>
        <m:oMathParaPr>
          <m:jc m:val="center"/>
        </m:oMathParaPr>
        <m:oMath>
          <m:sSub>
            <m:e>
              <m:r>
                <m:t>V</m:t>
              </m:r>
            </m:e>
            <m:sub>
              <m:r>
                <m:t>T</m:t>
              </m:r>
            </m:sub>
          </m:sSub>
          <m:r>
            <m:rPr>
              <m:sty m:val="p"/>
            </m:rPr>
            <m:t>=</m:t>
          </m:r>
          <m:f>
            <m:fPr>
              <m:type m:val="bar"/>
            </m:fPr>
            <m:num>
              <m:r>
                <m:t>k</m:t>
              </m:r>
              <m:r>
                <m:t>T</m:t>
              </m:r>
            </m:num>
            <m:den>
              <m:r>
                <m:t>q</m:t>
              </m:r>
            </m:den>
          </m:f>
        </m:oMath>
      </m:oMathPara>
    </w:p>
    <w:p>
      <w:pPr>
        <w:pStyle w:val="FirstParagraph"/>
      </w:pPr>
      <w:r>
        <w:t xml:space="preserve">Where:</w:t>
      </w:r>
    </w:p>
    <w:p>
      <w:pPr>
        <w:pStyle w:val="Compact"/>
        <w:numPr>
          <w:ilvl w:val="0"/>
          <w:numId w:val="1003"/>
        </w:numPr>
      </w:pPr>
      <m:oMath>
        <m:r>
          <m:t>k</m:t>
        </m:r>
      </m:oMath>
      <w:r>
        <w:t xml:space="preserve"> </w:t>
      </w:r>
      <w:r>
        <w:t xml:space="preserve">is Boltzmann's constant</w:t>
      </w:r>
      <w:r>
        <w:t xml:space="preserve"> </w:t>
      </w:r>
      <m:oMath>
        <m:r>
          <m:t>1.38</m:t>
        </m:r>
        <m:r>
          <m:rPr>
            <m:sty m:val="p"/>
          </m:rPr>
          <m:t>×</m:t>
        </m:r>
        <m:sSup>
          <m:e>
            <m:r>
              <m:t>10</m:t>
            </m:r>
          </m:e>
          <m:sup>
            <m:r>
              <m:rPr>
                <m:sty m:val="p"/>
              </m:rPr>
              <m:t>−</m:t>
            </m:r>
            <m:r>
              <m:t>23</m:t>
            </m:r>
          </m:sup>
        </m:sSup>
        <m:r>
          <m:t> </m:t>
        </m:r>
        <m:r>
          <m:rPr>
            <m:nor/>
            <m:sty m:val="p"/>
          </m:rPr>
          <m:t>J/K</m:t>
        </m:r>
      </m:oMath>
      <w:r>
        <w:t xml:space="preserve">,</w:t>
      </w:r>
    </w:p>
    <w:p>
      <w:pPr>
        <w:pStyle w:val="Compact"/>
        <w:numPr>
          <w:ilvl w:val="0"/>
          <w:numId w:val="1003"/>
        </w:numPr>
      </w:pPr>
      <m:oMath>
        <m:r>
          <m:t>q</m:t>
        </m:r>
      </m:oMath>
      <w:r>
        <w:t xml:space="preserve"> </w:t>
      </w:r>
      <w:r>
        <w:t xml:space="preserve">is the charge of an electron</w:t>
      </w:r>
      <w:r>
        <w:t xml:space="preserve"> </w:t>
      </w:r>
      <m:oMath>
        <m:r>
          <m:t>1.6</m:t>
        </m:r>
        <m:r>
          <m:rPr>
            <m:sty m:val="p"/>
          </m:rPr>
          <m:t>×</m:t>
        </m:r>
        <m:sSup>
          <m:e>
            <m:r>
              <m:t>10</m:t>
            </m:r>
          </m:e>
          <m:sup>
            <m:r>
              <m:rPr>
                <m:sty m:val="p"/>
              </m:rPr>
              <m:t>−</m:t>
            </m:r>
            <m:r>
              <m:t>19</m:t>
            </m:r>
          </m:sup>
        </m:sSup>
        <m:r>
          <m:t> </m:t>
        </m:r>
        <m:r>
          <m:rPr>
            <m:nor/>
            <m:sty m:val="p"/>
          </m:rPr>
          <m:t>C</m:t>
        </m:r>
      </m:oMath>
      <w:r>
        <w:t xml:space="preserve">,</w:t>
      </w:r>
    </w:p>
    <w:p>
      <w:pPr>
        <w:pStyle w:val="Compact"/>
        <w:numPr>
          <w:ilvl w:val="0"/>
          <w:numId w:val="1003"/>
        </w:numPr>
      </w:pPr>
      <m:oMath>
        <m:r>
          <m:t>T</m:t>
        </m:r>
      </m:oMath>
      <w:r>
        <w:t xml:space="preserve"> </w:t>
      </w:r>
      <w:r>
        <w:t xml:space="preserve">is the absolute temperature in Kelvin.</w:t>
      </w:r>
    </w:p>
    <w:p>
      <w:pPr>
        <w:pStyle w:val="FirstParagraph"/>
      </w:pPr>
      <w:r>
        <w:t xml:space="preserve">Converting 27°C to Kelvin:</w:t>
      </w:r>
    </w:p>
    <w:p>
      <w:pPr>
        <w:pStyle w:val="BodyText"/>
      </w:pPr>
      <m:oMathPara>
        <m:oMathParaPr>
          <m:jc m:val="center"/>
        </m:oMathParaPr>
        <m:oMath>
          <m:r>
            <m:t>T</m:t>
          </m:r>
          <m:r>
            <m:rPr>
              <m:sty m:val="p"/>
            </m:rPr>
            <m:t>=</m:t>
          </m:r>
          <m:r>
            <m:t>27</m:t>
          </m:r>
          <m:r>
            <m:rPr>
              <m:sty m:val="p"/>
            </m:rPr>
            <m:t>+</m:t>
          </m:r>
          <m:r>
            <m:t>273.15</m:t>
          </m:r>
          <m:r>
            <m:rPr>
              <m:sty m:val="p"/>
            </m:rPr>
            <m:t>=</m:t>
          </m:r>
          <m:r>
            <m:t>300.15</m:t>
          </m:r>
          <m:r>
            <m:t> </m:t>
          </m:r>
          <m:r>
            <m:rPr>
              <m:nor/>
              <m:sty m:val="p"/>
            </m:rPr>
            <m:t>K</m:t>
          </m:r>
        </m:oMath>
      </m:oMathPara>
    </w:p>
    <w:p>
      <w:pPr>
        <w:pStyle w:val="FirstParagraph"/>
      </w:pPr>
      <w:r>
        <w:t xml:space="preserve">Now, calculating the thermal voltage:</w:t>
      </w:r>
    </w:p>
    <w:p>
      <w:pPr>
        <w:pStyle w:val="BodyText"/>
      </w:pPr>
      <m:oMathPara>
        <m:oMathParaPr>
          <m:jc m:val="center"/>
        </m:oMathParaPr>
        <m:oMath>
          <m:sSub>
            <m:e>
              <m:r>
                <m:t>V</m:t>
              </m:r>
            </m:e>
            <m:sub>
              <m:r>
                <m:t>T</m:t>
              </m:r>
            </m:sub>
          </m:sSub>
          <m:r>
            <m:rPr>
              <m:sty m:val="p"/>
            </m:rPr>
            <m:t>=</m:t>
          </m:r>
          <m:f>
            <m:fPr>
              <m:type m:val="bar"/>
            </m:fPr>
            <m:num>
              <m:r>
                <m:t>1.38</m:t>
              </m:r>
              <m:r>
                <m:rPr>
                  <m:sty m:val="p"/>
                </m:rPr>
                <m:t>×</m:t>
              </m:r>
              <m:sSup>
                <m:e>
                  <m:r>
                    <m:t>10</m:t>
                  </m:r>
                </m:e>
                <m:sup>
                  <m:r>
                    <m:rPr>
                      <m:sty m:val="p"/>
                    </m:rPr>
                    <m:t>−</m:t>
                  </m:r>
                  <m:r>
                    <m:t>23</m:t>
                  </m:r>
                </m:sup>
              </m:sSup>
              <m:r>
                <m:rPr>
                  <m:sty m:val="p"/>
                </m:rPr>
                <m:t>×</m:t>
              </m:r>
              <m:r>
                <m:t>300.15</m:t>
              </m:r>
            </m:num>
            <m:den>
              <m:r>
                <m:t>1.6</m:t>
              </m:r>
              <m:r>
                <m:rPr>
                  <m:sty m:val="p"/>
                </m:rPr>
                <m:t>×</m:t>
              </m:r>
              <m:sSup>
                <m:e>
                  <m:r>
                    <m:t>10</m:t>
                  </m:r>
                </m:e>
                <m:sup>
                  <m:r>
                    <m:rPr>
                      <m:sty m:val="p"/>
                    </m:rPr>
                    <m:t>−</m:t>
                  </m:r>
                  <m:r>
                    <m:t>19</m:t>
                  </m:r>
                </m:sup>
              </m:sSup>
            </m:den>
          </m:f>
          <m:r>
            <m:rPr>
              <m:sty m:val="p"/>
            </m:rPr>
            <m:t>≈</m:t>
          </m:r>
          <m:r>
            <m:t>0.0259</m:t>
          </m:r>
          <m:r>
            <m:t> </m:t>
          </m:r>
          <m:r>
            <m:rPr>
              <m:nor/>
              <m:sty m:val="p"/>
            </m:rPr>
            <m:t>V</m:t>
          </m:r>
          <m:r>
            <m:t> </m:t>
          </m:r>
          <m:r>
            <m:rPr>
              <m:nor/>
              <m:sty m:val="p"/>
            </m:rPr>
            <m:t>or</m:t>
          </m:r>
          <m:r>
            <m:t> </m:t>
          </m:r>
          <m:r>
            <m:t>25.9</m:t>
          </m:r>
          <m:r>
            <m:t> </m:t>
          </m:r>
          <m:r>
            <m:rPr>
              <m:nor/>
              <m:sty m:val="p"/>
            </m:rPr>
            <m:t>mV</m:t>
          </m:r>
        </m:oMath>
      </m:oMathPara>
    </w:p>
    <w:p>
      <w:pPr>
        <w:pStyle w:val="Compact"/>
        <w:numPr>
          <w:ilvl w:val="0"/>
          <w:numId w:val="1004"/>
        </w:numPr>
      </w:pPr>
      <w:r>
        <w:rPr>
          <w:b/>
          <w:bCs/>
        </w:rPr>
        <w:t xml:space="preserve">Proving that Higher Current Results in Lower DC Resistance in a Diode:</w:t>
      </w:r>
    </w:p>
    <w:p>
      <w:pPr>
        <w:pStyle w:val="FirstParagraph"/>
      </w:pPr>
      <w:r>
        <w:t xml:space="preserve">The</w:t>
      </w:r>
      <w:r>
        <w:t xml:space="preserve"> </w:t>
      </w:r>
      <w:r>
        <w:rPr>
          <w:b/>
          <w:bCs/>
        </w:rPr>
        <w:t xml:space="preserve">DC resistance</w:t>
      </w:r>
      <w:r>
        <w:t xml:space="preserve"> </w:t>
      </w:r>
      <w:r>
        <w:t xml:space="preserve">of a diode is defined as:</w:t>
      </w:r>
    </w:p>
    <w:p>
      <w:pPr>
        <w:pStyle w:val="BodyText"/>
      </w:pPr>
      <m:oMathPara>
        <m:oMathParaPr>
          <m:jc m:val="center"/>
        </m:oMathParaPr>
        <m:oMath>
          <m:sSub>
            <m:e>
              <m:r>
                <m:t>R</m:t>
              </m:r>
            </m:e>
            <m:sub>
              <m:r>
                <m:t>d</m:t>
              </m:r>
              <m:r>
                <m:t>c</m:t>
              </m:r>
            </m:sub>
          </m:sSub>
          <m:r>
            <m:rPr>
              <m:sty m:val="p"/>
            </m:rPr>
            <m:t>=</m:t>
          </m:r>
          <m:f>
            <m:fPr>
              <m:type m:val="bar"/>
            </m:fPr>
            <m:num>
              <m:r>
                <m:t>V</m:t>
              </m:r>
            </m:num>
            <m:den>
              <m:r>
                <m:t>I</m:t>
              </m:r>
            </m:den>
          </m:f>
        </m:oMath>
      </m:oMathPara>
    </w:p>
    <w:p>
      <w:pPr>
        <w:pStyle w:val="FirstParagraph"/>
      </w:pPr>
      <w:r>
        <w:t xml:space="preserve">Where</w:t>
      </w:r>
      <w:r>
        <w:t xml:space="preserve"> </w:t>
      </w:r>
      <m:oMath>
        <m:r>
          <m:t>V</m:t>
        </m:r>
      </m:oMath>
      <w:r>
        <w:t xml:space="preserve"> </w:t>
      </w:r>
      <w:r>
        <w:t xml:space="preserve">is the voltage across the diode and</w:t>
      </w:r>
      <w:r>
        <w:t xml:space="preserve"> </w:t>
      </w:r>
      <m:oMath>
        <m:r>
          <m:t>I</m:t>
        </m:r>
      </m:oMath>
      <w:r>
        <w:t xml:space="preserve"> </w:t>
      </w:r>
      <w:r>
        <w:t xml:space="preserve">is the current through it.</w:t>
      </w:r>
    </w:p>
    <w:p>
      <w:pPr>
        <w:pStyle w:val="BodyText"/>
      </w:pPr>
      <w:r>
        <w:t xml:space="preserve">From the diode equation:</w:t>
      </w:r>
    </w:p>
    <w:p>
      <w:pPr>
        <w:pStyle w:val="BodyText"/>
      </w:pPr>
      <m:oMathPara>
        <m:oMathParaPr>
          <m:jc m:val="center"/>
        </m:oMathParaPr>
        <m:oMath>
          <m:r>
            <m:t>I</m:t>
          </m:r>
          <m:r>
            <m:rPr>
              <m:sty m:val="p"/>
            </m:rPr>
            <m:t>=</m:t>
          </m:r>
          <m:sSub>
            <m:e>
              <m:r>
                <m:t>I</m:t>
              </m:r>
            </m:e>
            <m:sub>
              <m:r>
                <m:t>S</m:t>
              </m:r>
            </m:sub>
          </m:sSub>
          <m:d>
            <m:dPr>
              <m:begChr m:val="("/>
              <m:endChr m:val=")"/>
              <m:sepChr m:val=""/>
              <m:grow/>
            </m:dPr>
            <m:e>
              <m:sSup>
                <m:e>
                  <m:r>
                    <m:t>e</m:t>
                  </m:r>
                </m:e>
                <m:sup>
                  <m:f>
                    <m:fPr>
                      <m:type m:val="bar"/>
                    </m:fPr>
                    <m:num>
                      <m:r>
                        <m:t>V</m:t>
                      </m:r>
                    </m:num>
                    <m:den>
                      <m:r>
                        <m:t>n</m:t>
                      </m:r>
                      <m:sSub>
                        <m:e>
                          <m:r>
                            <m:t>V</m:t>
                          </m:r>
                        </m:e>
                        <m:sub>
                          <m:r>
                            <m:t>T</m:t>
                          </m:r>
                        </m:sub>
                      </m:sSub>
                    </m:den>
                  </m:f>
                </m:sup>
              </m:sSup>
              <m:r>
                <m:rPr>
                  <m:sty m:val="p"/>
                </m:rPr>
                <m:t>−</m:t>
              </m:r>
              <m:r>
                <m:t>1</m:t>
              </m:r>
            </m:e>
          </m:d>
        </m:oMath>
      </m:oMathPara>
    </w:p>
    <w:p>
      <w:pPr>
        <w:pStyle w:val="FirstParagraph"/>
      </w:pPr>
      <w:r>
        <w:t xml:space="preserve">For significant forward bias, where</w:t>
      </w:r>
      <w:r>
        <w:t xml:space="preserve"> </w:t>
      </w:r>
      <m:oMath>
        <m:r>
          <m:t>V</m:t>
        </m:r>
      </m:oMath>
      <w:r>
        <w:t xml:space="preserve"> </w:t>
      </w:r>
      <w:r>
        <w:t xml:space="preserve">is large enough, the exponential term dominates, and the current approximately becomes:</w:t>
      </w:r>
    </w:p>
    <w:p>
      <w:pPr>
        <w:pStyle w:val="BodyText"/>
      </w:pPr>
      <m:oMathPara>
        <m:oMathParaPr>
          <m:jc m:val="center"/>
        </m:oMathParaPr>
        <m:oMath>
          <m:r>
            <m:t>I</m:t>
          </m:r>
          <m:r>
            <m:rPr>
              <m:sty m:val="p"/>
            </m:rPr>
            <m:t>≈</m:t>
          </m:r>
          <m:sSub>
            <m:e>
              <m:r>
                <m:t>I</m:t>
              </m:r>
            </m:e>
            <m:sub>
              <m:r>
                <m:t>S</m:t>
              </m:r>
            </m:sub>
          </m:sSub>
          <m:sSup>
            <m:e>
              <m:r>
                <m:t>e</m:t>
              </m:r>
            </m:e>
            <m:sup>
              <m:f>
                <m:fPr>
                  <m:type m:val="bar"/>
                </m:fPr>
                <m:num>
                  <m:r>
                    <m:t>V</m:t>
                  </m:r>
                </m:num>
                <m:den>
                  <m:r>
                    <m:t>n</m:t>
                  </m:r>
                  <m:sSub>
                    <m:e>
                      <m:r>
                        <m:t>V</m:t>
                      </m:r>
                    </m:e>
                    <m:sub>
                      <m:r>
                        <m:t>T</m:t>
                      </m:r>
                    </m:sub>
                  </m:sSub>
                </m:den>
              </m:f>
            </m:sup>
          </m:sSup>
        </m:oMath>
      </m:oMathPara>
    </w:p>
    <w:p>
      <w:pPr>
        <w:pStyle w:val="FirstParagraph"/>
      </w:pPr>
      <w:r>
        <w:t xml:space="preserve">As the current</w:t>
      </w:r>
      <w:r>
        <w:t xml:space="preserve"> </w:t>
      </w:r>
      <m:oMath>
        <m:r>
          <m:t>I</m:t>
        </m:r>
      </m:oMath>
      <w:r>
        <w:t xml:space="preserve"> </w:t>
      </w:r>
      <w:r>
        <w:t xml:space="preserve">increases exponentially with voltage, the ratio</w:t>
      </w:r>
      <w:r>
        <w:t xml:space="preserve"> </w:t>
      </w:r>
      <m:oMath>
        <m:f>
          <m:fPr>
            <m:type m:val="bar"/>
          </m:fPr>
          <m:num>
            <m:r>
              <m:t>V</m:t>
            </m:r>
          </m:num>
          <m:den>
            <m:r>
              <m:t>I</m:t>
            </m:r>
          </m:den>
        </m:f>
      </m:oMath>
      <w:r>
        <w:t xml:space="preserve">, which represents the DC resistance</w:t>
      </w:r>
      <w:r>
        <w:t xml:space="preserve"> </w:t>
      </w:r>
      <m:oMath>
        <m:sSub>
          <m:e>
            <m:r>
              <m:t>R</m:t>
            </m:r>
          </m:e>
          <m:sub>
            <m:r>
              <m:t>d</m:t>
            </m:r>
            <m:r>
              <m:t>c</m:t>
            </m:r>
          </m:sub>
        </m:sSub>
      </m:oMath>
      <w:r>
        <w:t xml:space="preserve">, decreases. This proves that as the current through the diode increases, the DC resistance decreases.</w:t>
      </w:r>
    </w:p>
    <w:p>
      <w:pPr>
        <w:pStyle w:val="Compact"/>
        <w:numPr>
          <w:ilvl w:val="0"/>
          <w:numId w:val="1005"/>
        </w:numPr>
      </w:pPr>
      <w:r>
        <w:rPr>
          <w:b/>
          <w:bCs/>
        </w:rPr>
        <w:t xml:space="preserve">Comparison of Conductors, Insulators, and Semiconductors Using Band Theory:</w:t>
      </w:r>
    </w:p>
    <w:p>
      <w:pPr>
        <w:pStyle w:val="FirstParagraph"/>
      </w:pPr>
      <w:r>
        <w:t xml:space="preserve">In</w:t>
      </w:r>
      <w:r>
        <w:t xml:space="preserve"> </w:t>
      </w:r>
      <w:r>
        <w:rPr>
          <w:b/>
          <w:bCs/>
        </w:rPr>
        <w:t xml:space="preserve">band theory</w:t>
      </w:r>
      <w:r>
        <w:t xml:space="preserve">, materials are classified based on the energy gap between their valence and conduction bands:</w:t>
      </w:r>
    </w:p>
    <w:p>
      <w:pPr>
        <w:numPr>
          <w:ilvl w:val="0"/>
          <w:numId w:val="1006"/>
        </w:numPr>
      </w:pPr>
      <w:r>
        <w:rPr>
          <w:b/>
          <w:bCs/>
        </w:rPr>
        <w:t xml:space="preserve">Conductors</w:t>
      </w:r>
      <w:r>
        <w:t xml:space="preserve">:</w:t>
      </w:r>
    </w:p>
    <w:p>
      <w:pPr>
        <w:pStyle w:val="Compact"/>
        <w:numPr>
          <w:ilvl w:val="1"/>
          <w:numId w:val="1007"/>
        </w:numPr>
      </w:pPr>
      <w:r>
        <w:t xml:space="preserve">In conductors, the valence and conduction bands either overlap or the conduction band is partially filled. As a result, electrons can move freely between these bands, allowing for high electrical conductivity.</w:t>
      </w:r>
    </w:p>
    <w:p>
      <w:pPr>
        <w:pStyle w:val="Compact"/>
        <w:numPr>
          <w:ilvl w:val="1"/>
          <w:numId w:val="1007"/>
        </w:numPr>
      </w:pPr>
      <w:r>
        <w:t xml:space="preserve">There is effectively no energy gap, making it easy for electrons to move and conduct electricity.</w:t>
      </w:r>
    </w:p>
    <w:p>
      <w:pPr>
        <w:numPr>
          <w:ilvl w:val="0"/>
          <w:numId w:val="1006"/>
        </w:numPr>
      </w:pPr>
      <w:r>
        <w:rPr>
          <w:b/>
          <w:bCs/>
        </w:rPr>
        <w:t xml:space="preserve">Insulators</w:t>
      </w:r>
      <w:r>
        <w:t xml:space="preserve">:</w:t>
      </w:r>
    </w:p>
    <w:p>
      <w:pPr>
        <w:pStyle w:val="Compact"/>
        <w:numPr>
          <w:ilvl w:val="1"/>
          <w:numId w:val="1008"/>
        </w:numPr>
      </w:pPr>
      <w:r>
        <w:t xml:space="preserve">In insulators, there is a large energy gap (typically greater than 3 eV) between the valence and conduction bands. Electrons in the valence band require a large amount of energy to move to the conduction band, which makes insulators poor conductors of electricity.</w:t>
      </w:r>
    </w:p>
    <w:p>
      <w:pPr>
        <w:numPr>
          <w:ilvl w:val="0"/>
          <w:numId w:val="1006"/>
        </w:numPr>
      </w:pPr>
      <w:r>
        <w:rPr>
          <w:b/>
          <w:bCs/>
        </w:rPr>
        <w:t xml:space="preserve">Semiconductors</w:t>
      </w:r>
      <w:r>
        <w:t xml:space="preserve">:</w:t>
      </w:r>
    </w:p>
    <w:p>
      <w:pPr>
        <w:pStyle w:val="Compact"/>
        <w:numPr>
          <w:ilvl w:val="1"/>
          <w:numId w:val="1009"/>
        </w:numPr>
      </w:pPr>
      <w:r>
        <w:t xml:space="preserve">Semiconductors have a moderate energy gap (around 1 eV). At low temperatures, they behave like insulators because there aren't enough electrons with sufficient energy to cross the band gap. However, at higher temperatures or when doped, electrons can gain enough energy to jump to the conduction band, allowing the material to conduct electricity.</w:t>
      </w:r>
    </w:p>
    <w:bookmarkStart w:id="21" w:name="band-gap-summary"/>
    <w:p>
      <w:pPr>
        <w:pStyle w:val="Heading4"/>
      </w:pPr>
      <w:r>
        <w:t xml:space="preserve">Band Gap Summary:</w:t>
      </w:r>
    </w:p>
    <w:p>
      <w:pPr>
        <w:pStyle w:val="Compact"/>
        <w:numPr>
          <w:ilvl w:val="0"/>
          <w:numId w:val="1010"/>
        </w:numPr>
      </w:pPr>
      <w:r>
        <w:rPr>
          <w:b/>
          <w:bCs/>
        </w:rPr>
        <w:t xml:space="preserve">Conductors</w:t>
      </w:r>
      <w:r>
        <w:t xml:space="preserve">: No band gap.</w:t>
      </w:r>
    </w:p>
    <w:p>
      <w:pPr>
        <w:pStyle w:val="Compact"/>
        <w:numPr>
          <w:ilvl w:val="0"/>
          <w:numId w:val="1010"/>
        </w:numPr>
      </w:pPr>
      <w:r>
        <w:rPr>
          <w:b/>
          <w:bCs/>
        </w:rPr>
        <w:t xml:space="preserve">Insulators</w:t>
      </w:r>
      <w:r>
        <w:t xml:space="preserve">: Large band gap (&gt; 3 eV).</w:t>
      </w:r>
    </w:p>
    <w:p>
      <w:pPr>
        <w:pStyle w:val="Compact"/>
        <w:numPr>
          <w:ilvl w:val="0"/>
          <w:numId w:val="1010"/>
        </w:numPr>
      </w:pPr>
      <w:r>
        <w:rPr>
          <w:b/>
          <w:bCs/>
        </w:rPr>
        <w:t xml:space="preserve">Semiconductors</w:t>
      </w:r>
      <w:r>
        <w:t xml:space="preserve">: Moderate band gap (~1 eV).</w:t>
      </w:r>
    </w:p>
    <w:p>
      <w:pPr>
        <w:pStyle w:val="FirstParagraph"/>
      </w:pPr>
      <w:r>
        <w:t xml:space="preserve">This explains why conductors readily allow current flow, insulators resist it, and semiconductors can act as either depending on conditions.</w:t>
      </w:r>
    </w:p>
    <w:p>
      <w:pPr>
        <w:pStyle w:val="BodyText"/>
      </w:pPr>
      <w:r>
        <w:br/>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16cid:durableId="1124693139"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