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Lean Canvas: CampChain</w:t>
      </w:r>
    </w:p>
    <w:p>
      <w:pPr>
        <w:jc w:val="center"/>
      </w:pPr>
      <w:r>
        <w:rPr>
          <w:b/>
          <w:color w:val="2B579A"/>
          <w:sz w:val="28"/>
        </w:rPr>
        <w:t>Innovación Agro-Tecnológica y Tokenización</w:t>
      </w:r>
    </w:p>
    <w:p>
      <w:r>
        <w:t>Este documento presenta el modelo de negocio estructurado para CampChain, utilizando la metodología Lean Canvas. El enfoque central radica en la eliminación de intermediarios en la cadena de fertilizantes mediante la tecnología blockchain, sumado a un fuerte componente de capacitación para los agricultores.</w:t>
      </w:r>
    </w:p>
    <w:p/>
    <w:tbl>
      <w:tblPr>
        <w:tblStyle w:val="TableGrid"/>
        <w:tblW w:type="auto" w:w="0"/>
        <w:tblLook w:firstColumn="1" w:firstRow="1" w:lastColumn="0" w:lastRow="0" w:noHBand="0" w:noVBand="1" w:val="04A0"/>
      </w:tblPr>
      <w:tblGrid>
        <w:gridCol w:w="4320"/>
        <w:gridCol w:w="4320"/>
      </w:tblGrid>
      <w:tr>
        <w:tc>
          <w:tcPr>
            <w:tcW w:type="dxa" w:w="4320"/>
          </w:tcPr>
          <w:p>
            <w:r>
              <w:rPr>
                <w:b/>
                <w:color w:val="2B579A"/>
              </w:rPr>
              <w:t>Componente del Lean Canvas</w:t>
            </w:r>
          </w:p>
        </w:tc>
        <w:tc>
          <w:tcPr>
            <w:tcW w:type="dxa" w:w="4320"/>
          </w:tcPr>
          <w:p>
            <w:r>
              <w:rPr>
                <w:b/>
                <w:color w:val="2B579A"/>
              </w:rPr>
              <w:t>Descripción Detallada</w:t>
            </w:r>
          </w:p>
        </w:tc>
      </w:tr>
      <w:tr>
        <w:tc>
          <w:tcPr>
            <w:tcW w:type="dxa" w:w="4320"/>
          </w:tcPr>
          <w:p>
            <w:r>
              <w:rPr>
                <w:b/>
              </w:rPr>
              <w:t>1. Segmentos de Clientes</w:t>
            </w:r>
          </w:p>
        </w:tc>
        <w:tc>
          <w:tcPr>
            <w:tcW w:type="dxa" w:w="4320"/>
          </w:tcPr>
          <w:p>
            <w:pPr>
              <w:pStyle w:val="ListBullet"/>
            </w:pPr>
            <w:r>
              <w:t>Pequeños y medianos agricultores: Productores afectados por altos costos.</w:t>
            </w:r>
          </w:p>
          <w:p>
            <w:pPr>
              <w:pStyle w:val="ListBullet"/>
            </w:pPr>
            <w:r>
              <w:t>Cooperativas agrícolas: Grupos que buscan optimizar compras y capacitarse.</w:t>
            </w:r>
          </w:p>
          <w:p>
            <w:pPr>
              <w:pStyle w:val="ListBullet"/>
            </w:pPr>
            <w:r>
              <w:t>Inversionistas (Web3/Impacto): Interesados en financiar el agro con rendimientos.</w:t>
            </w:r>
          </w:p>
        </w:tc>
      </w:tr>
      <w:tr>
        <w:tc>
          <w:tcPr>
            <w:tcW w:type="dxa" w:w="4320"/>
          </w:tcPr>
          <w:p>
            <w:r>
              <w:rPr>
                <w:b/>
              </w:rPr>
              <w:t>2. Problema</w:t>
            </w:r>
          </w:p>
        </w:tc>
        <w:tc>
          <w:tcPr>
            <w:tcW w:type="dxa" w:w="4320"/>
          </w:tcPr>
          <w:p>
            <w:pPr>
              <w:pStyle w:val="ListBullet"/>
            </w:pPr>
            <w:r>
              <w:t>Sobreprecios por múltiples capas de intermediación.</w:t>
            </w:r>
          </w:p>
          <w:p>
            <w:pPr>
              <w:pStyle w:val="ListBullet"/>
            </w:pPr>
            <w:r>
              <w:t>Falta de acceso a financiamiento tradicional oportuno.</w:t>
            </w:r>
          </w:p>
          <w:p>
            <w:pPr>
              <w:pStyle w:val="ListBullet"/>
            </w:pPr>
            <w:r>
              <w:t>Brecha de conocimiento en aplicación y uso sostenible de fertilizantes.</w:t>
            </w:r>
          </w:p>
        </w:tc>
      </w:tr>
      <w:tr>
        <w:tc>
          <w:tcPr>
            <w:tcW w:type="dxa" w:w="4320"/>
          </w:tcPr>
          <w:p>
            <w:r>
              <w:rPr>
                <w:b/>
              </w:rPr>
              <w:t>3. Propuesta de Valor Única</w:t>
            </w:r>
          </w:p>
        </w:tc>
        <w:tc>
          <w:tcPr>
            <w:tcW w:type="dxa" w:w="4320"/>
          </w:tcPr>
          <w:p>
            <w:pPr>
              <w:pStyle w:val="ListBullet"/>
            </w:pPr>
            <w:r>
              <w:t>"Fertilizantes directos del fabricante al campo, financiados mediante tokens y optimizados con educación."</w:t>
            </w:r>
          </w:p>
          <w:p>
            <w:pPr>
              <w:pStyle w:val="ListBullet"/>
            </w:pPr>
            <w:r>
              <w:t>Reducción de costos (hasta 30%), trazabilidad blockchain y garantía de éxito mediante capacitación obligatoria.</w:t>
            </w:r>
          </w:p>
        </w:tc>
      </w:tr>
      <w:tr>
        <w:tc>
          <w:tcPr>
            <w:tcW w:type="dxa" w:w="4320"/>
          </w:tcPr>
          <w:p>
            <w:r>
              <w:rPr>
                <w:b/>
              </w:rPr>
              <w:t>4. Solución</w:t>
            </w:r>
          </w:p>
        </w:tc>
        <w:tc>
          <w:tcPr>
            <w:tcW w:type="dxa" w:w="4320"/>
          </w:tcPr>
          <w:p>
            <w:pPr>
              <w:pStyle w:val="ListBullet"/>
            </w:pPr>
            <w:r>
              <w:t>Plataforma de tokenización (smart contracts) conectando fábrica y campo.</w:t>
            </w:r>
          </w:p>
          <w:p>
            <w:pPr>
              <w:pStyle w:val="ListBullet"/>
            </w:pPr>
            <w:r>
              <w:t>Marketplace directo y descentralizado.</w:t>
            </w:r>
          </w:p>
          <w:p>
            <w:pPr>
              <w:pStyle w:val="ListBullet"/>
            </w:pPr>
            <w:r>
              <w:t>Academia CampChain para enseñanza en agricultura de precisión.</w:t>
            </w:r>
          </w:p>
        </w:tc>
      </w:tr>
      <w:tr>
        <w:tc>
          <w:tcPr>
            <w:tcW w:type="dxa" w:w="4320"/>
          </w:tcPr>
          <w:p>
            <w:r>
              <w:rPr>
                <w:b/>
              </w:rPr>
              <w:t>5. Canales</w:t>
            </w:r>
          </w:p>
        </w:tc>
        <w:tc>
          <w:tcPr>
            <w:tcW w:type="dxa" w:w="4320"/>
          </w:tcPr>
          <w:p>
            <w:pPr>
              <w:pStyle w:val="ListBullet"/>
            </w:pPr>
            <w:r>
              <w:t>Alianzas estratégicas con cooperativas locales.</w:t>
            </w:r>
          </w:p>
          <w:p>
            <w:pPr>
              <w:pStyle w:val="ListBullet"/>
            </w:pPr>
            <w:r>
              <w:t>Plataformas digitales y redes sociales (WhatsApp, YouTube).</w:t>
            </w:r>
          </w:p>
          <w:p>
            <w:pPr>
              <w:pStyle w:val="ListBullet"/>
            </w:pPr>
            <w:r>
              <w:t>Comunidades especializadas en Web3 y Agritech.</w:t>
            </w:r>
          </w:p>
        </w:tc>
      </w:tr>
      <w:tr>
        <w:tc>
          <w:tcPr>
            <w:tcW w:type="dxa" w:w="4320"/>
          </w:tcPr>
          <w:p>
            <w:r>
              <w:rPr>
                <w:b/>
              </w:rPr>
              <w:t>6. Flujo de Ingresos</w:t>
            </w:r>
          </w:p>
        </w:tc>
        <w:tc>
          <w:tcPr>
            <w:tcW w:type="dxa" w:w="4320"/>
          </w:tcPr>
          <w:p>
            <w:pPr>
              <w:pStyle w:val="ListBullet"/>
            </w:pPr>
            <w:r>
              <w:t>Comisiones por transacción dentro del ecosistema.</w:t>
            </w:r>
          </w:p>
          <w:p>
            <w:pPr>
              <w:pStyle w:val="ListBullet"/>
            </w:pPr>
            <w:r>
              <w:t>Servicios de consultoría y certificación B2B para cooperativas.</w:t>
            </w:r>
          </w:p>
          <w:p>
            <w:pPr>
              <w:pStyle w:val="ListBullet"/>
            </w:pPr>
            <w:r>
              <w:t>Mecanismos DeFi y rendimientos compartidos por financiamiento.</w:t>
            </w:r>
          </w:p>
        </w:tc>
      </w:tr>
      <w:tr>
        <w:tc>
          <w:tcPr>
            <w:tcW w:type="dxa" w:w="4320"/>
          </w:tcPr>
          <w:p>
            <w:r>
              <w:rPr>
                <w:b/>
              </w:rPr>
              <w:t>7. Estructura de Costos</w:t>
            </w:r>
          </w:p>
        </w:tc>
        <w:tc>
          <w:tcPr>
            <w:tcW w:type="dxa" w:w="4320"/>
          </w:tcPr>
          <w:p>
            <w:pPr>
              <w:pStyle w:val="ListBullet"/>
            </w:pPr>
            <w:r>
              <w:t>Desarrollo tecnológico, contratos inteligentes y auditorías de seguridad.</w:t>
            </w:r>
          </w:p>
          <w:p>
            <w:pPr>
              <w:pStyle w:val="ListBullet"/>
            </w:pPr>
            <w:r>
              <w:t>Logística, almacenamiento y distribución con fabricantes.</w:t>
            </w:r>
          </w:p>
          <w:p>
            <w:pPr>
              <w:pStyle w:val="ListBullet"/>
            </w:pPr>
            <w:r>
              <w:t>Nómina de especialistas (agrónomos, desarrolladores, comerciales).</w:t>
            </w:r>
          </w:p>
        </w:tc>
      </w:tr>
      <w:tr>
        <w:tc>
          <w:tcPr>
            <w:tcW w:type="dxa" w:w="4320"/>
          </w:tcPr>
          <w:p>
            <w:r>
              <w:rPr>
                <w:b/>
              </w:rPr>
              <w:t>8. Métricas Clave</w:t>
            </w:r>
          </w:p>
        </w:tc>
        <w:tc>
          <w:tcPr>
            <w:tcW w:type="dxa" w:w="4320"/>
          </w:tcPr>
          <w:p>
            <w:pPr>
              <w:pStyle w:val="ListBullet"/>
            </w:pPr>
            <w:r>
              <w:t>Volumen (toneladas) de fertilizante tokenizado y distribuido.</w:t>
            </w:r>
          </w:p>
          <w:p>
            <w:pPr>
              <w:pStyle w:val="ListBullet"/>
            </w:pPr>
            <w:r>
              <w:t>Número de agricultores certificados por la Academia CampChain.</w:t>
            </w:r>
          </w:p>
          <w:p>
            <w:pPr>
              <w:pStyle w:val="ListBullet"/>
            </w:pPr>
            <w:r>
              <w:t>Porcentaje de reducción de costos frente al mercado tradicional.</w:t>
            </w:r>
          </w:p>
          <w:p>
            <w:pPr>
              <w:pStyle w:val="ListBullet"/>
            </w:pPr>
            <w:r>
              <w:t>Tasa de retención o recompra por ciclo agrícola.</w:t>
            </w:r>
          </w:p>
        </w:tc>
      </w:tr>
      <w:tr>
        <w:tc>
          <w:tcPr>
            <w:tcW w:type="dxa" w:w="4320"/>
          </w:tcPr>
          <w:p>
            <w:r>
              <w:rPr>
                <w:b/>
              </w:rPr>
              <w:t>9. Ventaja Desleal</w:t>
            </w:r>
          </w:p>
        </w:tc>
        <w:tc>
          <w:tcPr>
            <w:tcW w:type="dxa" w:w="4320"/>
          </w:tcPr>
          <w:p>
            <w:pPr>
              <w:pStyle w:val="ListBullet"/>
            </w:pPr>
            <w:r>
              <w:t>Ecosistema integral (Fintech + EdTech): La combinación de trazabilidad, financiamiento directo y formación técnica genera un nivel de lealtad y eficiencia que los competidores tradicionales no pueden igualar rápidamente.</w:t>
            </w:r>
          </w:p>
        </w:tc>
      </w:tr>
    </w:tbl>
    <w:p/>
    <w:p>
      <w:pPr>
        <w:pStyle w:val="Heading2"/>
      </w:pPr>
      <w:r>
        <w:t>Desglose Estratégico Adicional</w:t>
      </w:r>
    </w:p>
    <w:p>
      <w:r>
        <w:t>La integración de la Academia CampChain cumple un doble propósito:</w:t>
      </w:r>
    </w:p>
    <w:p>
      <w:pPr>
        <w:pStyle w:val="ListNumber"/>
      </w:pPr>
      <w:r>
        <w:t>Fomenta prácticas sostenibles y maximiza el rendimiento de la cosecha de los clientes.</w:t>
      </w:r>
    </w:p>
    <w:p>
      <w:pPr>
        <w:pStyle w:val="ListNumber"/>
      </w:pPr>
      <w:r>
        <w:t>Sirve como mecanismo de mitigación de riesgo para los inversores cripto que apuestan por el campo, al asegurar que los fondos invertidos están siendo utilizados por personal altamente capacitado.</w:t>
      </w:r>
    </w:p>
    <w:p/>
    <w:p>
      <w:r>
        <w:t>La tecnología blockchain garantiza que el capital o el insumo no pueda ser desviado hacia propósitos no agrícolas, creando un ecosistema de confianza absoluto (Trustless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