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6"/>
              </w:rPr>
              <w:t>LEAN CANVAS: TRAZABILIDAD AGROALIMENTARIA</w:t>
            </w:r>
          </w:p>
          <w:p>
            <w:pPr>
              <w:jc w:val="left"/>
            </w:pPr>
            <w:r>
              <w:rPr>
                <w:rFonts w:ascii="Arial" w:hAnsi="Arial"/>
                <w:color w:val="BAE6FD"/>
                <w:sz w:val="20"/>
              </w:rPr>
              <w:t>Equipo: [Nombres del equipo]  |  Vertical: Agroalimentaria / Trazabilidad de productos frescos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vMerge w:val="restart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2. PROBLEMA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1. Transparencia: </w:t>
            </w:r>
            <w:r>
              <w:rPr>
                <w:rFonts w:ascii="Arial" w:hAnsi="Arial"/>
                <w:color w:val="1E293B"/>
                <w:sz w:val="17"/>
              </w:rPr>
              <w:t>El consumidor no puede conocer el origen y recorrido del producto.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2. Tiempo de respuesta: </w:t>
            </w:r>
            <w:r>
              <w:rPr>
                <w:rFonts w:ascii="Arial" w:hAnsi="Arial"/>
                <w:color w:val="1E293B"/>
                <w:sz w:val="17"/>
              </w:rPr>
              <w:t>Ante alerta sanitaria, identificar productos involucrados toma horas/días.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3. Fragmentación: </w:t>
            </w:r>
            <w:r>
              <w:rPr>
                <w:rFonts w:ascii="Arial" w:hAnsi="Arial"/>
                <w:color w:val="1E293B"/>
                <w:sz w:val="17"/>
              </w:rPr>
              <w:t>Información de la cadena dividida entre participantes.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Alternativa actual: </w:t>
            </w:r>
            <w:r>
              <w:rPr>
                <w:rFonts w:ascii="Arial" w:hAnsi="Arial"/>
                <w:color w:val="1E293B"/>
                <w:sz w:val="17"/>
              </w:rPr>
              <w:t>Etiquetas, códigos de lote y registros internos fragmentados.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Qué le cuesta: </w:t>
            </w:r>
            <w:r>
              <w:rPr>
                <w:rFonts w:ascii="Arial" w:hAnsi="Arial"/>
                <w:color w:val="1E293B"/>
                <w:sz w:val="17"/>
              </w:rPr>
              <w:t>Tiempo de localización, pérdidas por retiros amplios y pérdida de confianza.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4. SOLUCIÓN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1. Identificar: </w:t>
            </w:r>
            <w:r>
              <w:rPr>
                <w:rFonts w:ascii="Arial" w:hAnsi="Arial"/>
                <w:color w:val="1E293B"/>
                <w:sz w:val="17"/>
              </w:rPr>
              <w:t>Asignar QR/ID único a cada producto o unidad comercial.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2. Rastrear: </w:t>
            </w:r>
            <w:r>
              <w:rPr>
                <w:rFonts w:ascii="Arial" w:hAnsi="Arial"/>
                <w:color w:val="1E293B"/>
                <w:sz w:val="17"/>
              </w:rPr>
              <w:t>Vincular puntos del recorrido con información verificable.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3. Alertar: </w:t>
            </w:r>
            <w:r>
              <w:rPr>
                <w:rFonts w:ascii="Arial" w:hAnsi="Arial"/>
                <w:color w:val="1E293B"/>
                <w:sz w:val="17"/>
              </w:rPr>
              <w:t>Identificar productos en alerta y comunicar oportunamente.</w:t>
            </w:r>
          </w:p>
        </w:tc>
        <w:tc>
          <w:tcPr>
            <w:tcW w:type="dxa" w:w="2880"/>
            <w:vMerge w:val="restart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3. PROPUESTA ÚNICA DE VALOR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" w:hAnsi="Arial"/>
                <w:b/>
                <w:i/>
                <w:color w:val="0F172A"/>
                <w:sz w:val="19"/>
              </w:rPr>
              <w:t>“Cada producto tiene una historia. Nosotros la hacemos verificable.”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 xml:space="preserve">• 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Una identidad digital para cada producto fresco que permite identificarlo, rastrearlo y alertar desde su origen hasta el consumidor final.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9. VENTAJA INJUSTA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Red y datos: </w:t>
            </w:r>
            <w:r>
              <w:rPr>
                <w:rFonts w:ascii="Arial" w:hAnsi="Arial"/>
                <w:color w:val="1E293B"/>
                <w:sz w:val="17"/>
              </w:rPr>
              <w:t>Efecto de red inalterable. A mayor cantidad de participantes, mayor es el valor histórico de los datos acumulados, imposible de replicar en 30 días.</w:t>
            </w:r>
          </w:p>
        </w:tc>
        <w:tc>
          <w:tcPr>
            <w:tcW w:type="dxa" w:w="2880"/>
            <w:vMerge w:val="restart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1. SEGMENTOS DE CLIENTES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Cliente: </w:t>
            </w:r>
            <w:r>
              <w:rPr>
                <w:rFonts w:ascii="Arial" w:hAnsi="Arial"/>
                <w:color w:val="1E293B"/>
                <w:sz w:val="17"/>
              </w:rPr>
              <w:t>Productores, empacadoras, distribuidores y supermercados de productos frescos.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Usuario: </w:t>
            </w:r>
            <w:r>
              <w:rPr>
                <w:rFonts w:ascii="Arial" w:hAnsi="Arial"/>
                <w:color w:val="1E293B"/>
                <w:sz w:val="17"/>
              </w:rPr>
              <w:t>Productores, distribuidores, puntos de venta y consumidores finales.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Pagador: </w:t>
            </w:r>
            <w:r>
              <w:rPr>
                <w:rFonts w:ascii="Arial" w:hAnsi="Arial"/>
                <w:color w:val="1E293B"/>
                <w:sz w:val="17"/>
              </w:rPr>
              <w:t>Productor, empacadora o supermercado.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Primera empresa: </w:t>
            </w:r>
            <w:r>
              <w:rPr>
                <w:rFonts w:ascii="Arial" w:hAnsi="Arial"/>
                <w:color w:val="1E293B"/>
                <w:sz w:val="17"/>
              </w:rPr>
              <w:t>Comercializadora de productos frescos en Cuernavaca, Morelos (Piloto).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8. MÉTRICAS CLAVE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1. Tiempo de respuesta: </w:t>
            </w:r>
            <w:r>
              <w:rPr>
                <w:rFonts w:ascii="Arial" w:hAnsi="Arial"/>
                <w:color w:val="1E293B"/>
                <w:sz w:val="17"/>
              </w:rPr>
              <w:t>Reducir el rastreo ante alertas de horas/días a minutos.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2. Cobertura: </w:t>
            </w:r>
            <w:r>
              <w:rPr>
                <w:rFonts w:ascii="Arial" w:hAnsi="Arial"/>
                <w:color w:val="1E293B"/>
                <w:sz w:val="17"/>
              </w:rPr>
              <w:t>≥95% de productos con trazabilidad completa durante el piloto.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5. CANALES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Venta directa a productores y empacadoras.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Contacto directo con supermercados.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Piloto con empresa local en Cuernavaca.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Cámaras y asociaciones agroalimentarias.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Ferias, universidades e innovación.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Demostración vía QR en punto de venta.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8640"/>
            <w:gridSpan w:val="3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7. ESTRUCTURA DE COSTOS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Costos Variables (Por producto): </w:t>
            </w:r>
            <w:r>
              <w:rPr>
                <w:rFonts w:ascii="Arial" w:hAnsi="Arial"/>
                <w:color w:val="1E293B"/>
                <w:sz w:val="17"/>
              </w:rPr>
              <w:t>Generación de ID/QR, registro de datos, almacenamiento, registro verificable en Blockchain y consulta del consumidor.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Costos Fijos: </w:t>
            </w:r>
            <w:r>
              <w:rPr>
                <w:rFonts w:ascii="Arial" w:hAnsi="Arial"/>
                <w:color w:val="1E293B"/>
                <w:sz w:val="17"/>
              </w:rPr>
              <w:t>Desarrollo de plataforma, infraestructura tecnológica, seguridad, mantenimiento y soporte operativo.</w:t>
            </w:r>
          </w:p>
        </w:tc>
        <w:tc>
          <w:tcPr>
            <w:tcW w:type="dxa" w:w="5760"/>
            <w:gridSpan w:val="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369A1"/>
                <w:sz w:val="20"/>
              </w:rPr>
              <w:t>6. FLUJOS DE INGRESO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Quién paga: </w:t>
            </w:r>
            <w:r>
              <w:rPr>
                <w:rFonts w:ascii="Arial" w:hAnsi="Arial"/>
                <w:color w:val="1E293B"/>
                <w:sz w:val="17"/>
              </w:rPr>
              <w:t>Productores, empacadoras, distribuidores o supermercados.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Modelo: </w:t>
            </w:r>
            <w:r>
              <w:rPr>
                <w:rFonts w:ascii="Arial" w:hAnsi="Arial"/>
                <w:color w:val="1E293B"/>
                <w:sz w:val="17"/>
              </w:rPr>
              <w:t>Cuota de implementación + suscripción mensual + cobro por volumen de productos.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Precio inicial: </w:t>
            </w:r>
            <w:r>
              <w:rPr>
                <w:rFonts w:ascii="Arial" w:hAnsi="Arial"/>
                <w:color w:val="1E293B"/>
                <w:sz w:val="17"/>
              </w:rPr>
              <w:t>$30,000 MXN de implementación + mensualidad (sujeto a validación piloto).</w:t>
            </w:r>
          </w:p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293B"/>
                <w:sz w:val="17"/>
              </w:rPr>
              <w:t xml:space="preserve">Benchmark: </w:t>
            </w:r>
            <w:r>
              <w:rPr>
                <w:rFonts w:ascii="Arial" w:hAnsi="Arial"/>
                <w:color w:val="1E293B"/>
                <w:sz w:val="17"/>
              </w:rPr>
              <w:t>Se compara contra costos de trazabilidad, pérdidas por retiros amplios y software actual.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