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3D5C"/>
          <w:sz w:val="80"/>
        </w:rPr>
        <w:t>VitaGen-AI</w:t>
      </w:r>
    </w:p>
    <w:p>
      <w:pPr>
        <w:jc w:val="center"/>
      </w:pPr>
      <w:r>
        <w:rPr>
          <w:color w:val="1B9AAA"/>
          <w:sz w:val="28"/>
        </w:rPr>
        <w:t>Федеральная мультимодальная платформа</w:t>
        <w:br/>
        <w:t>прогнозирования репродуктивных исходов ВРТ</w:t>
        <w:br/>
        <w:t>на основе искусственного интеллекта</w:t>
      </w:r>
    </w:p>
    <w:p>
      <w:pPr>
        <w:jc w:val="center"/>
      </w:pPr>
      <w:r>
        <w:rPr>
          <w:b/>
          <w:sz w:val="26"/>
        </w:rPr>
        <w:br/>
        <w:t>БИЗНЕС-ПЛАН (федеральный уровень, 2026–2030)</w:t>
        <w:br/>
        <w:t>с международным направлением: Китай (Хайнань) и АТР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Инициатор проекта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Петрушина М. В., генеральный директор ООО «МедТехПрима»</w:t>
            </w:r>
          </w:p>
        </w:tc>
      </w:tr>
      <w:tr>
        <w:tc>
          <w:tcPr>
            <w:tcW w:type="dxa" w:w="3402"/>
            <w:shd w:val="clear" w:color="auto" w:fill="F3F8FB"/>
          </w:tcPr>
          <w:p>
            <w:r/>
            <w:r>
              <w:rPr>
                <w:sz w:val="20"/>
              </w:rPr>
              <w:t>Проектная компания (рекомендуется)</w:t>
            </w:r>
          </w:p>
        </w:tc>
        <w:tc>
          <w:tcPr>
            <w:tcW w:type="dxa" w:w="5669"/>
            <w:shd w:val="clear" w:color="auto" w:fill="F3F8FB"/>
          </w:tcPr>
          <w:p>
            <w:r/>
            <w:r>
              <w:rPr>
                <w:sz w:val="20"/>
              </w:rPr>
              <w:t>Непубличное АО «ВИТА ГЕН АИ» (создаётся при инвестиции)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Холдинг / правообладатель ИС на старте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ООО «МедТехПрима»</w:t>
            </w:r>
          </w:p>
        </w:tc>
      </w:tr>
      <w:tr>
        <w:tc>
          <w:tcPr>
            <w:tcW w:type="dxa" w:w="3402"/>
            <w:shd w:val="clear" w:color="auto" w:fill="F3F8FB"/>
          </w:tcPr>
          <w:p>
            <w:r/>
            <w:r>
              <w:rPr>
                <w:sz w:val="20"/>
              </w:rPr>
              <w:t>Потребность в инвестициях</w:t>
            </w:r>
          </w:p>
        </w:tc>
        <w:tc>
          <w:tcPr>
            <w:tcW w:type="dxa" w:w="5669"/>
            <w:shd w:val="clear" w:color="auto" w:fill="F3F8FB"/>
          </w:tcPr>
          <w:p>
            <w:r/>
            <w:r>
              <w:rPr>
                <w:sz w:val="20"/>
              </w:rPr>
              <w:t>70 млн ₽ за два раунда: Seed 35 млн ₽ (2026) + Series A 45 млн ₽ (2027)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Стадия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Прототип, предварительная валидация AUC = 0,89 (требуется проспективное исследование)</w:t>
            </w:r>
          </w:p>
        </w:tc>
      </w:tr>
      <w:tr>
        <w:tc>
          <w:tcPr>
            <w:tcW w:type="dxa" w:w="3402"/>
            <w:shd w:val="clear" w:color="auto" w:fill="F3F8FB"/>
          </w:tcPr>
          <w:p>
            <w:r/>
            <w:r>
              <w:rPr>
                <w:sz w:val="20"/>
              </w:rPr>
              <w:t>Дата составления</w:t>
            </w:r>
          </w:p>
        </w:tc>
        <w:tc>
          <w:tcPr>
            <w:tcW w:type="dxa" w:w="5669"/>
            <w:shd w:val="clear" w:color="auto" w:fill="F3F8FB"/>
          </w:tcPr>
          <w:p>
            <w:r/>
            <w:r>
              <w:rPr>
                <w:sz w:val="20"/>
              </w:rPr>
              <w:t>Октябрь 2026 г.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Гриф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Коммерческая тайна. Документ предназначен для авторизованных получателей.</w:t>
            </w:r>
          </w:p>
        </w:tc>
      </w:tr>
    </w:tbl>
    <w:p/>
    <w:p>
      <w:pPr>
        <w:jc w:val="center"/>
      </w:pPr>
      <w:r>
        <w:rPr>
          <w:i/>
          <w:sz w:val="18"/>
        </w:rPr>
        <w:t>Данный документ содержит коммерческую тайну и не подлежит передаче третьим лицам без письменного согласия правообладателя.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1. РЕЗЮМЕ ПРОЕКТА (EXECUTIVE SUMMARY)</w:t>
      </w:r>
    </w:p>
    <w:p>
      <w:r>
        <w:rPr>
          <w:b w:val="0"/>
          <w:i w:val="0"/>
          <w:sz w:val="22"/>
        </w:rPr>
        <w:t>Суть проекта. VitaGen-AI — российская мультимодальная ИИ-платформа, которая по пяти независимым источникам данных (морфокинетика эмбриона, геном эмбриона, клинические данные пациентки, геном пациентки, мужской фактор — DFI/MAR-тест) вычисляет прогноз имплантационного потенциала эмбриона и сопутствующую клиническую аналитику. Платформа превращает субъективную оценку эмбриолога в воспроизводимый цифровой скор и расширяется на весь путь пациента в ВРТ — от стимуляции до перинатальных прогнозов, включая иммуногенетический матчинг доноров и суррогатных матерей.</w:t>
      </w:r>
    </w:p>
    <w:p>
      <w:r>
        <w:rPr>
          <w:b w:val="0"/>
          <w:i w:val="0"/>
          <w:sz w:val="22"/>
        </w:rPr>
        <w:t>Цель проекта. Повысить эффективность программ ВРТ в России (средняя результативность на перенос по данным Минздрава РФ — около 35–40%), снизить долю неудачных и повторных циклов, обеспечить суверенную российскую альтернативу зарубежным ИИ-решениям и вывести продукт на рынки Азии через зону свободной торговли Хайнань.</w:t>
      </w:r>
    </w:p>
    <w:p>
      <w:pPr>
        <w:spacing w:before="240" w:after="80"/>
      </w:pPr>
      <w:r>
        <w:rPr>
          <w:b/>
          <w:color w:val="1B9AAA"/>
          <w:sz w:val="25"/>
        </w:rPr>
        <w:t>Ключевые финансовые показатели (базовый сценарий, млн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306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2028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2029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2030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Выручка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7,1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37,7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113,7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220,1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391,1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Операционные расходы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46,5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70,5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106,5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167,0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245,0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−39,4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−32,8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+7,2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+53,1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+146,1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Чистая прибыль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−39,5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−32,8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+6,8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+50,4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+138,8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Остаток денежных средств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0,5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20,8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34,0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91,1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239,2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Потребность в инвестициях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70 млн ₽ (Seed 35 млн ₽ + Series A 45 млн ₽)</w:t>
            </w:r>
          </w:p>
        </w:tc>
      </w:tr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Доля инвестора Seed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24,1% (pre-money 110 млн ₽, включая ИС 45 млн ₽)</w:t>
            </w:r>
          </w:p>
        </w:tc>
      </w:tr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Доля инвестора Series A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13,8% (pre-money 280 млн ₽)</w:t>
            </w:r>
          </w:p>
        </w:tc>
      </w:tr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EBITDA-безубыточность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2028 г.; кассовый выход в плюс — 2028 г.</w:t>
            </w:r>
          </w:p>
        </w:tc>
      </w:tr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Ожидаемая стоимость при выходе (2031)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1 350 млн ₽ (EBITDA 180 млн ₽ × 7,5)</w:t>
            </w:r>
          </w:p>
        </w:tc>
      </w:tr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IRR инвестора Seed / Series A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≈52% / ≈43%; кратность 8,0× / 4,2×</w:t>
            </w:r>
          </w:p>
        </w:tc>
      </w:tr>
      <w:tr>
        <w:tc>
          <w:tcPr>
            <w:tcW w:type="dxa" w:w="4535"/>
            <w:shd w:val="clear" w:color="auto" w:fill="EAF4F8"/>
          </w:tcPr>
          <w:p>
            <w:r/>
            <w:r>
              <w:rPr>
                <w:b/>
                <w:color w:val="0B3D5C"/>
              </w:rPr>
              <w:t>Дополнительный источник</w:t>
            </w:r>
          </w:p>
        </w:tc>
        <w:tc>
          <w:tcPr>
            <w:tcW w:type="dxa" w:w="4535"/>
            <w:shd w:val="clear" w:color="auto" w:fill="EAF4F8"/>
          </w:tcPr>
          <w:p>
            <w:r/>
            <w:r>
              <w:rPr>
                <w:b/>
              </w:rPr>
              <w:t>Гранты ФСИ, Сколково, ВЭБ.РФ, ДЗМ: 10–20 млн ₽ (non-dilutive)</w:t>
            </w:r>
          </w:p>
        </w:tc>
      </w:tr>
    </w:tbl>
    <w:p/>
    <w:p>
      <w:r>
        <w:rPr>
          <w:b w:val="0"/>
          <w:i w:val="0"/>
          <w:sz w:val="22"/>
        </w:rPr>
        <w:t>Направление использования средств (Раунд 1, 35 млн ₽): доработка ядра платформы и интеграция с МИС клиник — 12 млн ₽; клиническая валидация на 8–10 тыс. циклов — 7 млн ₽; регуляторика (регистрация ИИ-МИ) — 5 млн ₽; команда — 7 млн ₽; юридическое сопровождение и ИС — 2,5 млн ₽; резерв — 1,5 млн ₽. Раунд 2 (45 млн ₽): модули 2028 года, коммерческий запуск по Москве, региональные продажи, подготовка выхода в Китай (WFOE в Хайнане, NMPA).</w:t>
      </w:r>
    </w:p>
    <w:p>
      <w:r>
        <w:rPr>
          <w:b w:val="0"/>
          <w:i w:val="0"/>
          <w:sz w:val="22"/>
        </w:rPr>
        <w:t>Сделка. Привилегированные акции непубличного АО с ликвидационной привилегией 1,5×, акционерное соглашение (tag-along, drag-along, право первой продажи, вето на продажу ИС), опционный пул ~12% для команды. Интеллектуальная собственность проекта вносится в уставный капитал АО по отчёту независимого оценщика (45 млн ₽).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2. ОПИСАНИЕ КОМПАНИИ И ПРОЕКТА</w:t>
      </w:r>
    </w:p>
    <w:p>
      <w:pPr>
        <w:spacing w:before="240" w:after="80"/>
      </w:pPr>
      <w:r>
        <w:rPr>
          <w:b/>
          <w:color w:val="1B9AAA"/>
          <w:sz w:val="25"/>
        </w:rPr>
        <w:t>2.1. Холдинг и проектная компания</w:t>
      </w:r>
    </w:p>
    <w:p>
      <w:r>
        <w:rPr>
          <w:b w:val="0"/>
          <w:i w:val="0"/>
          <w:sz w:val="22"/>
        </w:rPr>
        <w:t>ООО «МедТехПрима» — действующий холдинг инициатора проекта (генеральный директор — Петрушина М. В.), в портфеле которого несколько медицинских технологических проектов. Для VitaGen рекомендуется создание отдельной проектной компании по следующим причинам:</w:t>
      </w:r>
    </w:p>
    <w:p>
      <w:pPr>
        <w:pStyle w:val="ListBullet"/>
        <w:ind w:left="340"/>
      </w:pPr>
      <w:r>
        <w:t>изоляция средств инвестора: деньги направлены только в VitaGen, без перетока в другие проекты холдинга;</w:t>
      </w:r>
    </w:p>
    <w:p>
      <w:pPr>
        <w:pStyle w:val="ListBullet"/>
        <w:ind w:left="340"/>
      </w:pPr>
      <w:r>
        <w:t>чистая интеллектуальная собственность: все РИДы проекта живут в одном юрлице — упрощает due diligence и exit;</w:t>
      </w:r>
    </w:p>
    <w:p>
      <w:pPr>
        <w:pStyle w:val="ListBullet"/>
        <w:ind w:left="340"/>
      </w:pPr>
      <w:r>
        <w:t>ограничение ответственности: регуляторные и клинические риски медицинского ИИ не затрагивают другие бизнесы холдинга;</w:t>
      </w:r>
    </w:p>
    <w:p>
      <w:pPr>
        <w:pStyle w:val="ListBullet"/>
        <w:ind w:left="340"/>
      </w:pPr>
      <w:r>
        <w:t>механика венчурных раундов: фонды и стратегические инвесторы требуют выделенного SPV/проектной компании с прозрачной cap table.</w:t>
      </w:r>
    </w:p>
    <w:p>
      <w:r>
        <w:rPr>
          <w:b w:val="0"/>
          <w:i w:val="0"/>
          <w:sz w:val="22"/>
        </w:rPr>
        <w:t>Рекомендуемая структура:</w:t>
      </w:r>
    </w:p>
    <w:p>
      <w:pPr>
        <w:pStyle w:val="ListBullet"/>
        <w:ind w:left="340"/>
      </w:pPr>
      <w:r>
        <w:t>ООО «МедТехПрима» — холдинг; на дату инвестирования вносит РИДы VitaGen в уставный капитал нового АО по отчёту независимого оценщика (45 млн ₽) и сохраняет долю в проектной компании;</w:t>
      </w:r>
    </w:p>
    <w:p>
      <w:pPr>
        <w:pStyle w:val="ListBullet"/>
        <w:ind w:left="340"/>
      </w:pPr>
      <w:r>
        <w:t>непубличное АО «ВИТА ГЕН АИ» — операционная проектная компания: обыкновенные акции (основатель/МедТехПрима) и привилегированные акции (инвесторы, ликвидационная привилегия 1,5×); акционерное соглашение; опционный пул ~12%;</w:t>
      </w:r>
    </w:p>
    <w:p>
      <w:pPr>
        <w:pStyle w:val="ListBullet"/>
        <w:ind w:left="340"/>
      </w:pPr>
      <w:r>
        <w:t>VitaGen AI (Hainan) Co., Ltd — wholly foreign-owned enterprise (WFOE) в зоне свободной торговли Хайнань (КНР) — международное направление (см. раздел 11).</w:t>
      </w:r>
    </w:p>
    <w:p>
      <w:r>
        <w:rPr>
          <w:b w:val="0"/>
          <w:i w:val="0"/>
          <w:sz w:val="22"/>
        </w:rPr>
        <w:t>Почему АО, а не ООО: для инвестора-фонда предпочтительна акционерная форма (привилегированные акции с фиксированным дивидендом и ликвидационной привилегией, стандартизация прав, перспектива размещения на МСП-бирже, участие институциональных фондов венчурных инвестиций); акционерное соглашение допускается для непубличного АО (ФЗ «Об акционерных обществах»).</w:t>
      </w:r>
    </w:p>
    <w:p>
      <w:pPr>
        <w:spacing w:before="240" w:after="80"/>
      </w:pPr>
      <w:r>
        <w:rPr>
          <w:b/>
          <w:color w:val="1B9AAA"/>
          <w:sz w:val="25"/>
        </w:rPr>
        <w:t>2.2. Текущий статус</w:t>
      </w:r>
    </w:p>
    <w:p>
      <w:pPr>
        <w:pStyle w:val="ListBullet"/>
        <w:ind w:left="340"/>
      </w:pPr>
      <w:r>
        <w:t>ИИ-модель в стадии прототипа; предварительные результаты внутренней валидации: AUC = 0,89 (требуется проспективное клиническое исследование); рассматриваются также transformer-based и multimodal fusion-подходы;</w:t>
      </w:r>
    </w:p>
    <w:p>
      <w:pPr>
        <w:pStyle w:val="ListBullet"/>
        <w:ind w:left="340"/>
      </w:pPr>
      <w:r>
        <w:t>РИД депонирован в реестре РИД ФИСРПС: свидетельство №1440-028-537 от 30.03.2026 (правообладатель на старте — Петрушина М. В.);</w:t>
      </w:r>
    </w:p>
    <w:p>
      <w:pPr>
        <w:pStyle w:val="ListBullet"/>
        <w:ind w:left="340"/>
      </w:pPr>
      <w:r>
        <w:t>сформирована команда-инициатор (научный, экономический, регуляторный консультанты, соавторы идеи, IT-консультанты);</w:t>
      </w:r>
    </w:p>
    <w:p>
      <w:pPr>
        <w:pStyle w:val="ListBullet"/>
        <w:ind w:left="340"/>
      </w:pPr>
      <w:r>
        <w:t>запланирован пилот с РНИМУ им. Н. И. Пирогова и клиниками-партнёрами (2026–2027).</w:t>
      </w:r>
    </w:p>
    <w:p>
      <w:pPr>
        <w:spacing w:before="240" w:after="80"/>
      </w:pPr>
      <w:r>
        <w:rPr>
          <w:b/>
          <w:color w:val="1B9AAA"/>
          <w:sz w:val="25"/>
        </w:rPr>
        <w:t>2.3. Организационно-правовая форма и юридические аспекты</w:t>
      </w:r>
    </w:p>
    <w:p>
      <w:pPr>
        <w:pStyle w:val="ListBullet"/>
        <w:ind w:left="340"/>
      </w:pPr>
      <w:r>
        <w:t>налоговый режим проектной компании: УСН «доходы» 5% (консервативно в модели); рассмотрение режима Сколково (0% на прибыль) при резидентстве — дополнительный драйвер юнит-экономики;</w:t>
      </w:r>
    </w:p>
    <w:p>
      <w:pPr>
        <w:pStyle w:val="ListBullet"/>
        <w:ind w:left="340"/>
      </w:pPr>
      <w:r>
        <w:t>медицинское ПО как медицинское изделие: регистрация в порядке для ПО с медицинским назначением (Минздрав РФ / Росздравнадзор); заявленные ДЗМ и Минздравом режимы упрощённой валидации («песочница») для ИИ-МИ;</w:t>
      </w:r>
    </w:p>
    <w:p>
      <w:pPr>
        <w:pStyle w:val="ListBullet"/>
        <w:ind w:left="340"/>
      </w:pPr>
      <w:r>
        <w:t>персональные и геномные данные: 152-ФЗ; геномные данные — специальная категория ПДн; обезличивание и хранение в российском облаке с сертификацией ФСТЭК/152-ФЗ (например, «Т1 Облако», «СберОблако»);</w:t>
      </w:r>
    </w:p>
    <w:p>
      <w:pPr>
        <w:pStyle w:val="ListBullet"/>
        <w:ind w:left="340"/>
      </w:pPr>
      <w:r>
        <w:t>этические ограничения: PGT-P по немедицинским признакам (выбор пола, внешние признаки) не применяется — этические рекомендации РАМН и приказы Минздрава; продукт работает только в медицинской парадигме безопасности.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3. ОПИСАНИЕ ПРОДУКТА</w:t>
      </w:r>
    </w:p>
    <w:p>
      <w:pPr>
        <w:spacing w:before="240" w:after="80"/>
      </w:pPr>
      <w:r>
        <w:rPr>
          <w:b/>
          <w:color w:val="1B9AAA"/>
          <w:sz w:val="25"/>
        </w:rPr>
        <w:t>3.1. Ядро платформы: 5 уровней данных → единый скор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51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351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Ценность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1. Морфокинетика эмбриона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Таймлапс-визуализация (20 000+ кадров), автоматический анализ 37 параметров развития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Выявление аномалий, незаметных глазу эмбриолога</w:t>
            </w:r>
          </w:p>
        </w:tc>
      </w:tr>
      <w:tr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2. Геном эмбриона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PGT-A (анеуплоидии), маркеры имплантационного потенциала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Отбор эмбрионов с высоким шансом приживления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3. Клиника пациентки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Возраст, АМГ, ИМТ, история ВРТ, состояние эндометрия, гормональный профиль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Учёт индивидуальных факторов риска</w:t>
            </w:r>
          </w:p>
        </w:tc>
      </w:tr>
      <w:tr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4. Геном пациентки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Полигенные скоры репродуктивного здоровья, маркеры иммунной совместимости (KIR/HLA-C)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Прогноз реакции эндометрия на имплантацию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5. Мужской фактор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Индекс фрагментации ДНК (DFI), MAR-тест, спермограмма, метод подготовки (ИКСИ/ПИКСИ)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Выявление скрытых повреждений отцовской ДНК — причины ранних потерь</w:t>
            </w:r>
          </w:p>
        </w:tc>
      </w:tr>
    </w:tbl>
    <w:p/>
    <w:p>
      <w:r>
        <w:rPr>
          <w:b w:val="0"/>
          <w:i w:val="0"/>
          <w:sz w:val="22"/>
        </w:rPr>
        <w:t>ИИ-модель (GNN / transformer-based, в исследовании) объединяет уровни в прогноз имплантационного потенциала 0–100 баллов с рекомендацией по селективному переносу. При неполноте данных (например, ограниченный донорский образец) архитектура с masking автоматически перераспределяет веса по доступным уровням.</w:t>
      </w:r>
    </w:p>
    <w:p>
      <w:pPr>
        <w:spacing w:before="240" w:after="80"/>
      </w:pPr>
      <w:r>
        <w:rPr>
          <w:b/>
          <w:color w:val="1B9AAA"/>
          <w:sz w:val="25"/>
        </w:rPr>
        <w:t>3.2. Модульная линейка (расширение платформы)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4706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1984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Этап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Ядро: прогноз имплантации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Скор 0–100 + селективный перенос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MVP, 2026–2027</w:t>
            </w:r>
          </w:p>
        </w:tc>
      </w:tr>
      <w:tr>
        <w:tc>
          <w:tcPr>
            <w:tcW w:type="dxa" w:w="2381"/>
            <w:shd w:val="clear" w:color="auto" w:fill="F3F8FB"/>
          </w:tcPr>
          <w:p>
            <w:r/>
            <w:r>
              <w:rPr>
                <w:sz w:val="20"/>
              </w:rPr>
              <w:t>niPGT-A</w:t>
            </w:r>
          </w:p>
        </w:tc>
        <w:tc>
          <w:tcPr>
            <w:tcW w:type="dxa" w:w="4706"/>
            <w:shd w:val="clear" w:color="auto" w:fill="F3F8FB"/>
          </w:tcPr>
          <w:p>
            <w:r/>
            <w:r>
              <w:rPr>
                <w:sz w:val="20"/>
              </w:rPr>
              <w:t>Неинвазивный прогноз плоидности по морфокинетике и клинике — альтернатива/дополнение биопсии</w:t>
            </w:r>
          </w:p>
        </w:tc>
        <w:tc>
          <w:tcPr>
            <w:tcW w:type="dxa" w:w="1984"/>
            <w:shd w:val="clear" w:color="auto" w:fill="F3F8FB"/>
          </w:tcPr>
          <w:p>
            <w:r/>
            <w:r>
              <w:rPr>
                <w:sz w:val="20"/>
              </w:rPr>
              <w:t>2028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Прогноз ответа яичников / СГЯ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Индивидуальная стартовая доза гонадотропинов, профилактика СГЯ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2028</w:t>
            </w:r>
          </w:p>
        </w:tc>
      </w:tr>
      <w:tr>
        <w:tc>
          <w:tcPr>
            <w:tcW w:type="dxa" w:w="2381"/>
            <w:shd w:val="clear" w:color="auto" w:fill="F3F8FB"/>
          </w:tcPr>
          <w:p>
            <w:r/>
            <w:r>
              <w:rPr>
                <w:sz w:val="20"/>
              </w:rPr>
              <w:t>Рецептивность эндометрия</w:t>
            </w:r>
          </w:p>
        </w:tc>
        <w:tc>
          <w:tcPr>
            <w:tcW w:type="dxa" w:w="4706"/>
            <w:shd w:val="clear" w:color="auto" w:fill="F3F8FB"/>
          </w:tcPr>
          <w:p>
            <w:r/>
            <w:r>
              <w:rPr>
                <w:sz w:val="20"/>
              </w:rPr>
              <w:t>Альтернатива дорогому тесту ERA: оптимизация дня переноса, freeze-all</w:t>
            </w:r>
          </w:p>
        </w:tc>
        <w:tc>
          <w:tcPr>
            <w:tcW w:type="dxa" w:w="1984"/>
            <w:shd w:val="clear" w:color="auto" w:fill="F3F8FB"/>
          </w:tcPr>
          <w:p>
            <w:r/>
            <w:r>
              <w:rPr>
                <w:sz w:val="20"/>
              </w:rPr>
              <w:t>2028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CLBR и Cost per Live Birth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Кумулятивная частота живорождения и стоимость одного живорождения для клиники/региона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2028 (B2G)</w:t>
            </w:r>
          </w:p>
        </w:tc>
      </w:tr>
      <w:tr>
        <w:tc>
          <w:tcPr>
            <w:tcW w:type="dxa" w:w="2381"/>
            <w:shd w:val="clear" w:color="auto" w:fill="F3F8FB"/>
          </w:tcPr>
          <w:p>
            <w:r/>
            <w:r>
              <w:rPr>
                <w:sz w:val="20"/>
              </w:rPr>
              <w:t>Матчинг донорства и СМ</w:t>
            </w:r>
          </w:p>
        </w:tc>
        <w:tc>
          <w:tcPr>
            <w:tcW w:type="dxa" w:w="4706"/>
            <w:shd w:val="clear" w:color="auto" w:fill="F3F8FB"/>
          </w:tcPr>
          <w:p>
            <w:r/>
            <w:r>
              <w:rPr>
                <w:sz w:val="20"/>
              </w:rPr>
              <w:t>Иммуногенетический матчинг KIR/HLA-C: подбор донора ооцитов/спермы и суррогатной матери (флаг cycle_type: surrogacy)</w:t>
            </w:r>
          </w:p>
        </w:tc>
        <w:tc>
          <w:tcPr>
            <w:tcW w:type="dxa" w:w="1984"/>
            <w:shd w:val="clear" w:color="auto" w:fill="F3F8FB"/>
          </w:tcPr>
          <w:p>
            <w:r/>
            <w:r>
              <w:rPr>
                <w:sz w:val="20"/>
              </w:rPr>
              <w:t>2029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Семейный геномный консилиум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Генотип отца: Pre-PGT-M/SR, AZF-микроделеции, PRS отца, эпигенетический возраст спермы — сквозной отчёт по рискам для пары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2029–2030</w:t>
            </w:r>
          </w:p>
        </w:tc>
      </w:tr>
      <w:tr>
        <w:tc>
          <w:tcPr>
            <w:tcW w:type="dxa" w:w="2381"/>
            <w:shd w:val="clear" w:color="auto" w:fill="F3F8FB"/>
          </w:tcPr>
          <w:p>
            <w:r/>
            <w:r>
              <w:rPr>
                <w:sz w:val="20"/>
              </w:rPr>
              <w:t>Перинатальные прогнозы</w:t>
            </w:r>
          </w:p>
        </w:tc>
        <w:tc>
          <w:tcPr>
            <w:tcW w:type="dxa" w:w="4706"/>
            <w:shd w:val="clear" w:color="auto" w:fill="F3F8FB"/>
          </w:tcPr>
          <w:p>
            <w:r/>
            <w:r>
              <w:rPr>
                <w:sz w:val="20"/>
              </w:rPr>
              <w:t>Риски ранних потерь (8–12 нед.), преэклампсия, ППР, ЗРП плода</w:t>
            </w:r>
          </w:p>
        </w:tc>
        <w:tc>
          <w:tcPr>
            <w:tcW w:type="dxa" w:w="1984"/>
            <w:shd w:val="clear" w:color="auto" w:fill="F3F8FB"/>
          </w:tcPr>
          <w:p>
            <w:r/>
            <w:r>
              <w:rPr>
                <w:sz w:val="20"/>
              </w:rPr>
              <w:t>2030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3.3. Клинические сценарии</w:t>
      </w:r>
    </w:p>
    <w:p>
      <w:pPr>
        <w:pStyle w:val="ListBullet"/>
        <w:ind w:left="340"/>
      </w:pPr>
      <w:r>
        <w:t>донорские ооциты + сперма отца: доминируют уровни 3–4 пациентки и уровень 5 отца; предотвращение «синдрома пустого переноса» при DFI &gt;30%;</w:t>
      </w:r>
    </w:p>
    <w:p>
      <w:pPr>
        <w:pStyle w:val="ListBullet"/>
        <w:ind w:left="340"/>
      </w:pPr>
      <w:r>
        <w:t>ооциты матери + донорская сперма: адаптация к овариальному резерву, учёт данных донора при их наличии (маскирование при отсутствии);</w:t>
      </w:r>
    </w:p>
    <w:p>
      <w:pPr>
        <w:pStyle w:val="ListBullet"/>
        <w:ind w:left="340"/>
      </w:pPr>
      <w:r>
        <w:t>суррогатное материнство: подмена источников уровней 3–4 на данные гестационной матери (patient_id_gestational), иммунный консилиум «СМ vs генетический отец», прогноз акушерских рисков СМ.</w:t>
      </w:r>
    </w:p>
    <w:p>
      <w:pPr>
        <w:spacing w:before="240" w:after="80"/>
      </w:pPr>
      <w:r>
        <w:rPr>
          <w:b/>
          <w:color w:val="1B9AAA"/>
          <w:sz w:val="25"/>
        </w:rPr>
        <w:t>3.4. УТП и инновационность</w:t>
      </w:r>
    </w:p>
    <w:p>
      <w:pPr>
        <w:pStyle w:val="ListBullet"/>
        <w:ind w:left="340"/>
      </w:pPr>
      <w:r>
        <w:t>единственная в России мультимодальная платформа (5 модальностей); коммерческие решения в РФ ограничены морфокинетикой;</w:t>
      </w:r>
    </w:p>
    <w:p>
      <w:pPr>
        <w:pStyle w:val="ListBullet"/>
        <w:ind w:left="340"/>
      </w:pPr>
      <w:r>
        <w:t>интеграция мужского фактора (DFI, MAR-тест) в прогноз имплантации — по обзорным публикациям 2024–2025 гг., коммерческих мировых аналогов с таким компонентом не выявлено;</w:t>
      </w:r>
    </w:p>
    <w:p>
      <w:pPr>
        <w:pStyle w:val="ListBullet"/>
        <w:ind w:left="340"/>
      </w:pPr>
      <w:r>
        <w:t>иммуногенетический матчинг пары (KIR/HLA-C) — компонент, отсутствующий в мировых коммерческих продуктах;</w:t>
      </w:r>
    </w:p>
    <w:p>
      <w:pPr>
        <w:pStyle w:val="ListBullet"/>
        <w:ind w:left="340"/>
      </w:pPr>
      <w:r>
        <w:t>рост AUC у мультимодальных моделей по данным обзоров — до +20–35% к однофакторным; наши предварительные 0,89 против 0,65–0,72 у традиционных методов (требуется проспективная валидация);</w:t>
      </w:r>
    </w:p>
    <w:p>
      <w:pPr>
        <w:pStyle w:val="ListBullet"/>
        <w:ind w:left="340"/>
      </w:pPr>
      <w:r>
        <w:t>100% российская разработка, данные в российском облаке — суверенитет, отсутствие санкционных рисков, замещение зарубежных решений в госсекторе.</w:t>
      </w:r>
    </w:p>
    <w:p>
      <w:pPr>
        <w:spacing w:before="240" w:after="80"/>
      </w:pPr>
      <w:r>
        <w:rPr>
          <w:b/>
          <w:color w:val="1B9AAA"/>
          <w:sz w:val="25"/>
        </w:rPr>
        <w:t>3.5. Стадия готовности и планы развития</w:t>
      </w:r>
    </w:p>
    <w:p>
      <w:r>
        <w:rPr>
          <w:b w:val="0"/>
          <w:i w:val="0"/>
          <w:sz w:val="22"/>
        </w:rPr>
        <w:t>Стадия: прототип + внутренняя валидация. План: 2026 — доработка ядра, интеграция с МИС, старт пилота; 2027 — завершение пилота (8–10 тыс. циклов), регистрация ИИ-МИ, первые коммерческие подключения; 2028 — модули niPGT-A/эндометрий/CLBR, масштабирование на Москву; 2029 — матчинг донорства/СМ, региональная экспансия, запуск WFOE в Хайнане; 2030 — перинатальные прогнозы, семейный геномный консилиум, коммерческий выход в Китае.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4. АНАЛИЗ РЫНКА И КОНКУРЕНТОВ</w:t>
      </w:r>
    </w:p>
    <w:p>
      <w:pPr>
        <w:spacing w:before="240" w:after="80"/>
      </w:pPr>
      <w:r>
        <w:rPr>
          <w:b/>
          <w:color w:val="1B9AAA"/>
          <w:sz w:val="25"/>
        </w:rPr>
        <w:t>4.1. Макроконтекст (РФ)</w:t>
      </w:r>
    </w:p>
    <w:p>
      <w:pPr>
        <w:pStyle w:val="ListBullet"/>
        <w:ind w:left="340"/>
      </w:pPr>
      <w:r>
        <w:t>рождений в РФ в 2024 г. — около 1,22 млн человек (Росстат, оперативные данные); суммарный коэффициент рождаемости — около 1,4 (Росстат, 2023–2024), значительно ниже уровня простого воспроизводства (2,1);</w:t>
      </w:r>
    </w:p>
    <w:p>
      <w:pPr>
        <w:pStyle w:val="ListBullet"/>
        <w:ind w:left="340"/>
      </w:pPr>
      <w:r>
        <w:t>распространённость бесплодия в мире — около 15–17% пар (ВОЗ); в РФ это порядка миллиона пар в репродуктивном возрасте, обращающихся за помощью;</w:t>
      </w:r>
    </w:p>
    <w:p>
      <w:pPr>
        <w:pStyle w:val="ListBullet"/>
        <w:ind w:left="340"/>
      </w:pPr>
      <w:r>
        <w:t>демографический приоритет: нацпроект «Семья» (Указ Президента РФ от 07.05.2024 № 309) — цель повышения СКР до 1,7 к 2030 г.; ВРТ — ключевой инструмент.</w:t>
      </w:r>
    </w:p>
    <w:p>
      <w:pPr>
        <w:spacing w:before="240" w:after="80"/>
      </w:pPr>
      <w:r>
        <w:rPr>
          <w:b/>
          <w:color w:val="1B9AAA"/>
          <w:sz w:val="25"/>
        </w:rPr>
        <w:t>4.2. Рынок ВРТ в России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948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51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Источник / метод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Циклы ВРТ в РФ в год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около 120–130 тыс. (рост ~5–7%/год)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Федеральный регистр ВРТ Минздрава РФ, публичные оценки 2022–2024 гг.</w:t>
            </w:r>
          </w:p>
        </w:tc>
      </w:tr>
      <w:tr>
        <w:tc>
          <w:tcPr>
            <w:tcW w:type="dxa" w:w="2608"/>
            <w:shd w:val="clear" w:color="auto" w:fill="F3F8FB"/>
          </w:tcPr>
          <w:p>
            <w:r/>
            <w:r>
              <w:rPr>
                <w:sz w:val="20"/>
              </w:rPr>
              <w:t>Доля циклов по ОМС</w:t>
            </w:r>
          </w:p>
        </w:tc>
        <w:tc>
          <w:tcPr>
            <w:tcW w:type="dxa" w:w="2948"/>
            <w:shd w:val="clear" w:color="auto" w:fill="F3F8FB"/>
          </w:tcPr>
          <w:p>
            <w:r/>
            <w:r>
              <w:rPr>
                <w:sz w:val="20"/>
              </w:rPr>
              <w:t>около 50–60%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Публичные заявления МЗ РФ о квотах ОМС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Средняя стоимость коммерческого цикла (Москва)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250–450 тыс. ₽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Открытые прайсы клиник, 2024–2025 гг.</w:t>
            </w:r>
          </w:p>
        </w:tc>
      </w:tr>
      <w:tr>
        <w:tc>
          <w:tcPr>
            <w:tcW w:type="dxa" w:w="2608"/>
            <w:shd w:val="clear" w:color="auto" w:fill="F3F8FB"/>
          </w:tcPr>
          <w:p>
            <w:r/>
            <w:r>
              <w:rPr>
                <w:sz w:val="20"/>
              </w:rPr>
              <w:t>Тариф ОМС на цикл</w:t>
            </w:r>
          </w:p>
        </w:tc>
        <w:tc>
          <w:tcPr>
            <w:tcW w:type="dxa" w:w="2948"/>
            <w:shd w:val="clear" w:color="auto" w:fill="F3F8FB"/>
          </w:tcPr>
          <w:p>
            <w:r/>
            <w:r>
              <w:rPr>
                <w:sz w:val="20"/>
              </w:rPr>
              <w:t>130–200 тыс. ₽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Региональные тарифы ОМС (открытые данные)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Клинический рынок ВРТ РФ (TAM)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25–30 млрд ₽/год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Расчёт: ~125 тыс. циклов × ~200 тыс. ₽ средневзвешенно</w:t>
            </w:r>
          </w:p>
        </w:tc>
      </w:tr>
      <w:tr>
        <w:tc>
          <w:tcPr>
            <w:tcW w:type="dxa" w:w="2608"/>
            <w:shd w:val="clear" w:color="auto" w:fill="F3F8FB"/>
          </w:tcPr>
          <w:p>
            <w:r/>
            <w:r>
              <w:rPr>
                <w:sz w:val="20"/>
              </w:rPr>
              <w:t>Доля Москвы в циклах РФ</w:t>
            </w:r>
          </w:p>
        </w:tc>
        <w:tc>
          <w:tcPr>
            <w:tcW w:type="dxa" w:w="2948"/>
            <w:shd w:val="clear" w:color="auto" w:fill="F3F8FB"/>
          </w:tcPr>
          <w:p>
            <w:r/>
            <w:r>
              <w:rPr>
                <w:sz w:val="20"/>
              </w:rPr>
              <w:t>около 20–25% (25–30 тыс. циклов/год)</w:t>
            </w:r>
          </w:p>
        </w:tc>
        <w:tc>
          <w:tcPr>
            <w:tcW w:type="dxa" w:w="3515"/>
            <w:shd w:val="clear" w:color="auto" w:fill="F3F8FB"/>
          </w:tcPr>
          <w:p>
            <w:r/>
            <w:r>
              <w:rPr>
                <w:sz w:val="20"/>
              </w:rPr>
              <w:t>Экспертная оценка: концентрация федеральных центров ВРТ и РНИМУ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SAM — софт и аналитика для ВРТ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2–3 млрд ₽/год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Экспертная оценка доли ИТ/аналитики в чеке цикла (8–10%)</w:t>
            </w:r>
          </w:p>
        </w:tc>
      </w:tr>
    </w:tbl>
    <w:p/>
    <w:p>
      <w:r>
        <w:rPr>
          <w:b w:val="0"/>
          <w:i w:val="0"/>
          <w:sz w:val="22"/>
        </w:rPr>
        <w:t>SOM VitaGen к 2030 г. (модель): 391 млн ₽/год — 85 клиник в РФ, 5 региональных контрактов B2G, сервис матча, ранний вход в Китай; это около 13–17% SAM РФ. Погонный потенциал: приказ Минздрава о применении ИИ-платформы в ВРТ по ОМС после успешного пилота резко ускоряет проникновение (как с таймлапс-системами).</w:t>
      </w:r>
    </w:p>
    <w:p>
      <w:pPr>
        <w:spacing w:before="240" w:after="80"/>
      </w:pPr>
      <w:r>
        <w:rPr>
          <w:b/>
          <w:color w:val="1B9AAA"/>
          <w:sz w:val="25"/>
        </w:rPr>
        <w:t>4.3.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204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306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Ценность VitaGen</w:t>
            </w:r>
          </w:p>
        </w:tc>
        <w:tc>
          <w:tcPr>
            <w:tcW w:type="dxa" w:w="204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Модель оплаты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Клиники ВРТ (B2B)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РНИМУ, частные центры ЭКО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Точность прогноза, экономия квот ОМС, репутация результативности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Подписка + за цикл</w:t>
            </w:r>
          </w:p>
        </w:tc>
      </w:tr>
      <w:tr>
        <w:tc>
          <w:tcPr>
            <w:tcW w:type="dxa" w:w="1928"/>
            <w:shd w:val="clear" w:color="auto" w:fill="F3F8FB"/>
          </w:tcPr>
          <w:p>
            <w:r/>
            <w:r>
              <w:rPr>
                <w:sz w:val="20"/>
              </w:rPr>
              <w:t>Донорские программы и СМ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Клиники суррогатного материнства, банки гамет</w:t>
            </w:r>
          </w:p>
        </w:tc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Прецизионный матчинг — сегмент с самыми высокими чеками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Плата за случай матча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Регионы и Минздрав (B2G)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Департаменты здравоохранения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CLBR, стоимость живорождения, управление квотами ОМС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Годовой контракт</w:t>
            </w:r>
          </w:p>
        </w:tc>
      </w:tr>
      <w:tr>
        <w:tc>
          <w:tcPr>
            <w:tcW w:type="dxa" w:w="1928"/>
            <w:shd w:val="clear" w:color="auto" w:fill="F3F8FB"/>
          </w:tcPr>
          <w:p>
            <w:r/>
            <w:r>
              <w:rPr>
                <w:sz w:val="20"/>
              </w:rPr>
              <w:t>Генетические лаборатории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PGT-лаборатории</w:t>
            </w:r>
          </w:p>
        </w:tc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Обогащение интерпретации PGT-A/PGT-M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Лицензия/rev-share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Перинатальные клиники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Акушерские структуры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Прогноз осложнений беременности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Модуль подписки</w:t>
            </w:r>
          </w:p>
        </w:tc>
      </w:tr>
      <w:tr>
        <w:tc>
          <w:tcPr>
            <w:tcW w:type="dxa" w:w="1928"/>
            <w:shd w:val="clear" w:color="auto" w:fill="F3F8FB"/>
          </w:tcPr>
          <w:p>
            <w:r/>
            <w:r>
              <w:rPr>
                <w:sz w:val="20"/>
              </w:rPr>
              <w:t>Пары (косвенно, B2C через клиники)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Пациенты ВРТ</w:t>
            </w:r>
          </w:p>
        </w:tc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«Семейный геномный консилиум»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Через клинику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4.4. Конкуренты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1247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Страна</w:t>
            </w:r>
          </w:p>
        </w:tc>
        <w:tc>
          <w:tcPr>
            <w:tcW w:type="dxa" w:w="2608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Тип данных</w:t>
            </w:r>
          </w:p>
        </w:tc>
        <w:tc>
          <w:tcPr>
            <w:tcW w:type="dxa" w:w="272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Ограничение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Ivy Fertility (AI)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США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Изображение + клиника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Не интегрирует мужской фактор/DFI, не адаптирован к РФ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Life Whisperer / эволюция в экосистеме CooperSurgical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США/Австралия</w:t>
            </w:r>
          </w:p>
        </w:tc>
        <w:tc>
          <w:tcPr>
            <w:tcW w:type="dxa" w:w="2608"/>
            <w:shd w:val="clear" w:color="auto" w:fill="F3F8FB"/>
          </w:tcPr>
          <w:p>
            <w:r/>
            <w:r>
              <w:rPr>
                <w:sz w:val="20"/>
              </w:rPr>
              <w:t>Морфология эмбриона</w:t>
            </w:r>
          </w:p>
        </w:tc>
        <w:tc>
          <w:tcPr>
            <w:tcW w:type="dxa" w:w="2721"/>
            <w:shd w:val="clear" w:color="auto" w:fill="F3F8FB"/>
          </w:tcPr>
          <w:p>
            <w:r/>
            <w:r>
              <w:rPr>
                <w:sz w:val="20"/>
              </w:rPr>
              <w:t>Однофокусность на «картинке»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Vitrolife Geri + AI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Швеция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Таймлапс + AI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Аппаратная привязка, нет геномики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Fairtility CHLOE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Израиль</w:t>
            </w:r>
          </w:p>
        </w:tc>
        <w:tc>
          <w:tcPr>
            <w:tcW w:type="dxa" w:w="2608"/>
            <w:shd w:val="clear" w:color="auto" w:fill="F3F8FB"/>
          </w:tcPr>
          <w:p>
            <w:r/>
            <w:r>
              <w:rPr>
                <w:sz w:val="20"/>
              </w:rPr>
              <w:t>Таймлапс + AI</w:t>
            </w:r>
          </w:p>
        </w:tc>
        <w:tc>
          <w:tcPr>
            <w:tcW w:type="dxa" w:w="2721"/>
            <w:shd w:val="clear" w:color="auto" w:fill="F3F8FB"/>
          </w:tcPr>
          <w:p>
            <w:r/>
            <w:r>
              <w:rPr>
                <w:sz w:val="20"/>
              </w:rPr>
              <w:t>Нет геномных и иммунных данных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ERICA / iDAScore (исследования)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ЕС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Морфология → плоидность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Точность 70–81% без мультимодальности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Коммерческие ИИ-решения в РФ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РФ</w:t>
            </w:r>
          </w:p>
        </w:tc>
        <w:tc>
          <w:tcPr>
            <w:tcW w:type="dxa" w:w="2608"/>
            <w:shd w:val="clear" w:color="auto" w:fill="F3F8FB"/>
          </w:tcPr>
          <w:p>
            <w:r/>
            <w:r>
              <w:rPr>
                <w:sz w:val="20"/>
              </w:rPr>
              <w:t>В основном морфокинетика</w:t>
            </w:r>
          </w:p>
        </w:tc>
        <w:tc>
          <w:tcPr>
            <w:tcW w:type="dxa" w:w="2721"/>
            <w:shd w:val="clear" w:color="auto" w:fill="F3F8FB"/>
          </w:tcPr>
          <w:p>
            <w:r/>
            <w:r>
              <w:rPr>
                <w:sz w:val="20"/>
              </w:rPr>
              <w:t>Нет мультимодальной платформы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VitaGen-AI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РФ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5 модальностей включая DFI и KIR/HLA-C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Стадия валидации — закрывается пилотом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4.5. SWOT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Сильные стороны</w:t>
            </w:r>
          </w:p>
        </w:tc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Слабые стороны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Уникальная мультимодальность (DFI + иммунный матчинг); 100% российская разработка; поддержка нацпроектов; ИС в портфеле; сильная научная экспертиза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Стадия прототипа — нет проспективной валидации; зависимость от доступа к данным клиник; регуляторный цикл регистрации ИИ-МИ</w:t>
            </w:r>
          </w:p>
        </w:tc>
      </w:tr>
      <w:tr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Возможности</w:t>
            </w:r>
          </w:p>
        </w:tc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Угрозы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Приказ Минздрава о применении ИИ в ВРТ; экономия ОМС как аргумент для B2G; экспорт в ЕАЭС/Китай (Хайнань); рост линейки модулей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Задержки регуляторики; выход крупного конкурента в РФ; замедление финансирования ОМС; конкуренты в Китае; репутационные риски ранних ошибок ИИ</w:t>
            </w:r>
          </w:p>
        </w:tc>
      </w:tr>
    </w:tbl>
    <w:p/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5. МАРКЕТИНГОВЫЙ ПЛАН И СТРАТЕГИЯ ПРОДАЖ</w:t>
      </w:r>
    </w:p>
    <w:p>
      <w:pPr>
        <w:spacing w:before="240" w:after="80"/>
      </w:pPr>
      <w:r>
        <w:rPr>
          <w:b/>
          <w:color w:val="1B9AAA"/>
          <w:sz w:val="25"/>
        </w:rPr>
        <w:t>5.1. Ценообразование (базовый сценарий)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Подписка клиники (SaaS + базовая аналитика)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2,2–2,8 млн ₽/год (в зависимости от года и размера клиники)</w:t>
            </w:r>
          </w:p>
        </w:tc>
      </w:tr>
      <w:tr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Доп. модули (ARPU на клинику)</w:t>
            </w:r>
          </w:p>
        </w:tc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0,15–1,0 млн ₽/год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Матчинг донорство/СМ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0,18 млн ₽ за случай</w:t>
            </w:r>
          </w:p>
        </w:tc>
      </w:tr>
      <w:tr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B2G-аналитика региона (CLBR/CPLB)</w:t>
            </w:r>
          </w:p>
        </w:tc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4–6 млн ₽/год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APAC-партнёр (лицензия, Хайнань/АТР)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8–8,5 млн ₽/год на партнёра</w:t>
            </w:r>
          </w:p>
        </w:tc>
      </w:tr>
      <w:tr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Обновления и поддержка</w:t>
            </w:r>
          </w:p>
        </w:tc>
        <w:tc>
          <w:tcPr>
            <w:tcW w:type="dxa" w:w="4535"/>
            <w:shd w:val="clear" w:color="auto" w:fill="F3F8FB"/>
          </w:tcPr>
          <w:p>
            <w:r/>
            <w:r>
              <w:rPr>
                <w:sz w:val="20"/>
              </w:rPr>
              <w:t>включены в подписку (обязательные обновления при изменении протоколов)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5.2. Каналы привлечения</w:t>
      </w:r>
    </w:p>
    <w:p>
      <w:pPr>
        <w:pStyle w:val="ListBullet"/>
        <w:ind w:left="340"/>
      </w:pPr>
      <w:r>
        <w:t>B2B-продажи в клиники: научные конгрессы (РОРЧ, репродуктивные форумы), личные связи в РНИМУ и профильных центрах, пилот как витрина результатов;</w:t>
      </w:r>
    </w:p>
    <w:p>
      <w:pPr>
        <w:pStyle w:val="ListBullet"/>
        <w:ind w:left="340"/>
      </w:pPr>
      <w:r>
        <w:t>B2G: ДЗМ Москвы как пилотный регион, затем минздравы регионов ЦФО/СЗФО/ПФО; тендеры и ГЧП-контракты;</w:t>
      </w:r>
    </w:p>
    <w:p>
      <w:pPr>
        <w:pStyle w:val="ListBullet"/>
        <w:ind w:left="340"/>
      </w:pPr>
      <w:r>
        <w:t>партнёрства: интеграция с поставщиками таймлапс-оборудования и МИС клиник (канал с низким CAC);</w:t>
      </w:r>
    </w:p>
    <w:p>
      <w:pPr>
        <w:pStyle w:val="ListBullet"/>
        <w:ind w:left="340"/>
      </w:pPr>
      <w:r>
        <w:t>экспорт: через Хайнань — дистрибьюторы и клиники АТР; участие в международных конгрессах (ESHRE, ASRM).</w:t>
      </w:r>
    </w:p>
    <w:p>
      <w:pPr>
        <w:spacing w:before="240" w:after="80"/>
      </w:pPr>
      <w:r>
        <w:rPr>
          <w:b/>
          <w:color w:val="1B9AAA"/>
          <w:sz w:val="25"/>
        </w:rPr>
        <w:t>5.3. Воронка продаж (B2B)</w:t>
      </w:r>
    </w:p>
    <w:p>
      <w:r>
        <w:rPr>
          <w:b w:val="0"/>
          <w:i w:val="0"/>
          <w:sz w:val="22"/>
        </w:rPr>
        <w:t>Научный контент → пилот на данных клиники (1–3 мес.) → сравнение прогнозов с фактическими исходами на её данных → коммерческий договор. Средний цикл сделки 6–9 месяцев. Юнит-экономика: LTV при горизонте 5 лет — порядка 12–15 млн ₽ на среднюю клинику; CAC (с учётом пилота) — 0,8–1,2 млн ₽; LTV/CAC &gt;10.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6. ПРОИЗВОДСТВЕННЫЙ / ОПЕРАЦИОННЫЙ ПЛАН И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14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247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38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География</w:t>
            </w:r>
          </w:p>
        </w:tc>
        <w:tc>
          <w:tcPr>
            <w:tcW w:type="dxa" w:w="1928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Объём / охват</w:t>
            </w:r>
          </w:p>
        </w:tc>
        <w:tc>
          <w:tcPr>
            <w:tcW w:type="dxa" w:w="204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Ключевой результат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Пилот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2026–2027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Москва (РНИМУ + 5–7 клиник)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8–10 тыс. циклов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Проспективная валидация, доказательная база, регистрация ИИ-МИ</w:t>
            </w:r>
          </w:p>
        </w:tc>
      </w:tr>
      <w:tr>
        <w:tc>
          <w:tcPr>
            <w:tcW w:type="dxa" w:w="1814"/>
            <w:shd w:val="clear" w:color="auto" w:fill="F3F8FB"/>
          </w:tcPr>
          <w:p>
            <w:r/>
            <w:r>
              <w:rPr>
                <w:sz w:val="20"/>
              </w:rPr>
              <w:t>Масштабирование на Москву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2028</w:t>
            </w:r>
          </w:p>
        </w:tc>
        <w:tc>
          <w:tcPr>
            <w:tcW w:type="dxa" w:w="2381"/>
            <w:shd w:val="clear" w:color="auto" w:fill="F3F8FB"/>
          </w:tcPr>
          <w:p>
            <w:r/>
            <w:r>
              <w:rPr>
                <w:sz w:val="20"/>
              </w:rPr>
              <w:t>Все клиники Москвы + первые модули</w:t>
            </w:r>
          </w:p>
        </w:tc>
        <w:tc>
          <w:tcPr>
            <w:tcW w:type="dxa" w:w="1928"/>
            <w:shd w:val="clear" w:color="auto" w:fill="F3F8FB"/>
          </w:tcPr>
          <w:p>
            <w:r/>
            <w:r>
              <w:rPr>
                <w:sz w:val="20"/>
              </w:rPr>
              <w:t>~32 клиники-абонента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Коммерческая выручка, контракт с ДЗМ на аналитику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Ключевые регионы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2029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ЦФО, СЗФО, ПФО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~55 клиников, 3 региона B2G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Региональные контракты, матчинг донорства</w:t>
            </w:r>
          </w:p>
        </w:tc>
      </w:tr>
      <w:tr>
        <w:tc>
          <w:tcPr>
            <w:tcW w:type="dxa" w:w="1814"/>
            <w:shd w:val="clear" w:color="auto" w:fill="F3F8FB"/>
          </w:tcPr>
          <w:p>
            <w:r/>
            <w:r>
              <w:rPr>
                <w:sz w:val="20"/>
              </w:rPr>
              <w:t>Федеральное масштабирование + Китай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2030</w:t>
            </w:r>
          </w:p>
        </w:tc>
        <w:tc>
          <w:tcPr>
            <w:tcW w:type="dxa" w:w="2381"/>
            <w:shd w:val="clear" w:color="auto" w:fill="F3F8FB"/>
          </w:tcPr>
          <w:p>
            <w:r/>
            <w:r>
              <w:rPr>
                <w:sz w:val="20"/>
              </w:rPr>
              <w:t>85+ клиник в РФ, Хайнань/АТР</w:t>
            </w:r>
          </w:p>
        </w:tc>
        <w:tc>
          <w:tcPr>
            <w:tcW w:type="dxa" w:w="1928"/>
            <w:shd w:val="clear" w:color="auto" w:fill="F3F8FB"/>
          </w:tcPr>
          <w:p>
            <w:r/>
            <w:r>
              <w:rPr>
                <w:sz w:val="20"/>
              </w:rPr>
              <w:t>~85 клиников, 4–6 APAC-партнёров</w:t>
            </w:r>
          </w:p>
        </w:tc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Выручка 391 млн ₽, выход WFOE в Хайнане</w:t>
            </w:r>
          </w:p>
        </w:tc>
      </w:tr>
    </w:tbl>
    <w:p/>
    <w:p>
      <w:r>
        <w:rPr>
          <w:b w:val="0"/>
          <w:i w:val="0"/>
          <w:sz w:val="22"/>
        </w:rPr>
        <w:t>Инфраструктура: РНИМУ им. Н. И. Пирогова и клиники-партнёры (доступ к циклам); российское облако с сертификацией ФСТЭК; МИС-интеграции (1C-Медицина и др.). Поставщики: облачные провайдеры, вычислительные ресурсы для обучения моделей, лаборатории-партнёры по DFI/генотипированию (договорные отношения, не собственная лаборатория).</w:t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7. ОРГАНИЗАЦИОННЫЙ ПЛАН И КОМАНДА</w:t>
      </w:r>
    </w:p>
    <w:p>
      <w:pPr>
        <w:spacing w:before="240" w:after="80"/>
      </w:pPr>
      <w:r>
        <w:rPr>
          <w:b/>
          <w:color w:val="1B9AAA"/>
          <w:sz w:val="25"/>
        </w:rPr>
        <w:t>7.1. Ключевые участники (из состава инициативной группы)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type="dxa" w:w="6236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Роль в проекте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Петрушина М. В.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Инициатор, генеральный директор ООО «МедТехПрима», правообладатель РИД, руководство проектом</w:t>
            </w:r>
          </w:p>
        </w:tc>
      </w:tr>
      <w:tr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Доброхотова Ю. Э., д.м.н.</w:t>
            </w:r>
          </w:p>
        </w:tc>
        <w:tc>
          <w:tcPr>
            <w:tcW w:type="dxa" w:w="6236"/>
            <w:shd w:val="clear" w:color="auto" w:fill="F3F8FB"/>
          </w:tcPr>
          <w:p>
            <w:r/>
            <w:r>
              <w:rPr>
                <w:sz w:val="20"/>
              </w:rPr>
              <w:t>Научный руководитель проекта (профессор, зав. кафедрой акушерства и гинекологии, РНИМУ им. Н. И. Пирогова)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Изотов О. И., к.м.н.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Медицинский директор ООО «МедТехПрима»; научный консультант (Российский университет медицины)</w:t>
            </w:r>
          </w:p>
        </w:tc>
      </w:tr>
      <w:tr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Смирнов С. Н., к.э.н.</w:t>
            </w:r>
          </w:p>
        </w:tc>
        <w:tc>
          <w:tcPr>
            <w:tcW w:type="dxa" w:w="6236"/>
            <w:shd w:val="clear" w:color="auto" w:fill="F3F8FB"/>
          </w:tcPr>
          <w:p>
            <w:r/>
            <w:r>
              <w:rPr>
                <w:sz w:val="20"/>
              </w:rPr>
              <w:t>Консультант по экономике (Финансовый университет при Правительстве РФ)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Танделов А. Т.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Консультант по регуляторике (ГК «Глобальные Медицинские технологии»)</w:t>
            </w:r>
          </w:p>
        </w:tc>
      </w:tr>
      <w:tr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Воронцов А. И.</w:t>
            </w:r>
          </w:p>
        </w:tc>
        <w:tc>
          <w:tcPr>
            <w:tcW w:type="dxa" w:w="6236"/>
            <w:shd w:val="clear" w:color="auto" w:fill="F3F8FB"/>
          </w:tcPr>
          <w:p>
            <w:r/>
            <w:r>
              <w:rPr>
                <w:sz w:val="20"/>
              </w:rPr>
              <w:t>Соавтор идеи, развитие партнёрств (ГК «Рич Кемикл», Академия Инноваторов)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N. Luo (КНР)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Консультант по международному маркетингу (в т.ч. направление АТР)</w:t>
            </w:r>
          </w:p>
        </w:tc>
      </w:tr>
      <w:tr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Z. Abbas (Гонконг)</w:t>
            </w:r>
          </w:p>
        </w:tc>
        <w:tc>
          <w:tcPr>
            <w:tcW w:type="dxa" w:w="6236"/>
            <w:shd w:val="clear" w:color="auto" w:fill="F3F8FB"/>
          </w:tcPr>
          <w:p>
            <w:r/>
            <w:r>
              <w:rPr>
                <w:sz w:val="20"/>
              </w:rPr>
              <w:t>IT-консультант: Big Data, ML, AI-разработки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РНИМУ им. Н. И. Пирогова и др.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Научно-клиническая база пилота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7.2. Штат и ФОТ (план)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368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Человек (среднесписочно)</w:t>
            </w:r>
          </w:p>
        </w:tc>
        <w:tc>
          <w:tcPr>
            <w:tcW w:type="dxa" w:w="368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ФОТ с отчислениями, млн 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12–14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24</w:t>
            </w:r>
          </w:p>
        </w:tc>
      </w:tr>
      <w:tr>
        <w:tc>
          <w:tcPr>
            <w:tcW w:type="dxa" w:w="1701"/>
            <w:shd w:val="clear" w:color="auto" w:fill="F3F8FB"/>
          </w:tcPr>
          <w:p>
            <w:r/>
            <w:r>
              <w:rPr>
                <w:sz w:val="20"/>
              </w:rPr>
              <w:t>2027</w:t>
            </w:r>
          </w:p>
        </w:tc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18–22</w:t>
            </w:r>
          </w:p>
        </w:tc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2028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28–34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62</w:t>
            </w:r>
          </w:p>
        </w:tc>
      </w:tr>
      <w:tr>
        <w:tc>
          <w:tcPr>
            <w:tcW w:type="dxa" w:w="1701"/>
            <w:shd w:val="clear" w:color="auto" w:fill="F3F8FB"/>
          </w:tcPr>
          <w:p>
            <w:r/>
            <w:r>
              <w:rPr>
                <w:sz w:val="20"/>
              </w:rPr>
              <w:t>2029</w:t>
            </w:r>
          </w:p>
        </w:tc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42–50</w:t>
            </w:r>
          </w:p>
        </w:tc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95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2030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60–70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140</w:t>
            </w:r>
          </w:p>
        </w:tc>
      </w:tr>
    </w:tbl>
    <w:p/>
    <w:p>
      <w:r>
        <w:rPr>
          <w:b w:val="0"/>
          <w:i w:val="0"/>
          <w:sz w:val="22"/>
        </w:rPr>
        <w:t>Ключевые наймы Раунда 1: ML-инженеры (2–3), интеграционный разработчик, эмбриолог-аналитик (FTE), менеджер клинических исследований, регуляторный специалист, B2B-менеджер (с 2027).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8. ФИНАНСОВЫЙ ПЛАН</w:t>
      </w:r>
    </w:p>
    <w:p>
      <w:r>
        <w:rPr>
          <w:b w:val="0"/>
          <w:i/>
          <w:sz w:val="22"/>
        </w:rPr>
        <w:t>Полная модель — в приложении «VitaGen_Финансовая_модель.xlsx» (3 сценария, переключатель, NPV/IRR, чувствительность). Ниже — ключевые результаты базового сценария.</w:t>
      </w:r>
    </w:p>
    <w:p>
      <w:pPr>
        <w:spacing w:before="240" w:after="80"/>
      </w:pPr>
      <w:r>
        <w:rPr>
          <w:b/>
          <w:color w:val="1B9AAA"/>
          <w:sz w:val="25"/>
        </w:rPr>
        <w:t>8.1. Допущения</w:t>
      </w:r>
    </w:p>
    <w:p>
      <w:pPr>
        <w:pStyle w:val="ListBullet"/>
        <w:ind w:left="340"/>
      </w:pPr>
      <w:r>
        <w:t>рынок: 120–130 тыс. циклов ВРТ/год в РФ (ФР ВРТ Минздрава), рост ~5–7%/год; цены — раздел 5.1;</w:t>
      </w:r>
    </w:p>
    <w:p>
      <w:pPr>
        <w:pStyle w:val="ListBullet"/>
        <w:ind w:left="340"/>
      </w:pPr>
      <w:r>
        <w:t>клиентская база: 3 → 12 → 32 → 55 → 85 клиник (2026–2030); B2G: 0 → 1 → 2 → 3 → 5 регионов; матчи: 0 → 8 → 25 → 45 → 70 случаев/год;</w:t>
      </w:r>
    </w:p>
    <w:p>
      <w:pPr>
        <w:pStyle w:val="ListBullet"/>
        <w:ind w:left="340"/>
      </w:pPr>
      <w:r>
        <w:t>APAC: 2029 — 1 партнёр (~8 млн ₽), 2030 — 3 партнёра (~25,5 млн ₽) после запуска WFOE в Хайнане;</w:t>
      </w:r>
    </w:p>
    <w:p>
      <w:pPr>
        <w:pStyle w:val="ListBullet"/>
        <w:ind w:left="340"/>
      </w:pPr>
      <w:r>
        <w:t>налог: УСН «доходы» 5% (без учёта льгот Сколково — консервативно);</w:t>
      </w:r>
    </w:p>
    <w:p>
      <w:pPr>
        <w:pStyle w:val="ListBullet"/>
        <w:ind w:left="340"/>
      </w:pPr>
      <w:r>
        <w:t>сценарии: пессимистичный — выручка ×0,75, расходы ×1,12; оптимистичный — выручка ×1,3, расходы ×0,95.</w:t>
      </w:r>
    </w:p>
    <w:p>
      <w:pPr>
        <w:spacing w:before="240" w:after="80"/>
      </w:pPr>
      <w:r>
        <w:rPr>
          <w:b/>
          <w:color w:val="1B9AAA"/>
          <w:sz w:val="25"/>
        </w:rPr>
        <w:t>8.2. P&amp;L (базовый сценарий, млн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306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2028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2029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2030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Выручка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7,1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37,7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113,7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220,1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391,1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ФОТ с отчислениями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24,0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40,0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62,0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95,0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140,0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Прочие расходы (НИОКР, маркетинг, инфра, админ, регуляторика)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22,5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30,5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44,5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72,0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105,0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Итого расходы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46,5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70,5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106,5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167,0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245,0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−39,4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−32,8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+7,2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+53,1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+146,1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Налог УСН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0,4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2,7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7,3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Чистая прибыль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−39,5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−32,8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+6,8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+50,4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+138,8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8.3. Денежный поток и точки безубыточности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306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2028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2029</w:t>
            </w:r>
          </w:p>
        </w:tc>
        <w:tc>
          <w:tcPr>
            <w:tcW w:type="dxa" w:w="119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2030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Остаток на начало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0,0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0,5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20,8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34,0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91,1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Операционный поток (EBITDA)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−39,4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−32,8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+7,2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+53,1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+146,1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Раунд 1 (Seed)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+35,0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Раунд 2 (Series A)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+45,0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Гранты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+5,0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+8,0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+6,0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+4,0</w:t>
            </w:r>
          </w:p>
        </w:tc>
        <w:tc>
          <w:tcPr>
            <w:tcW w:type="dxa" w:w="1191"/>
          </w:tcPr>
          <w:p>
            <w:r/>
            <w:r>
              <w:rPr>
                <w:sz w:val="20"/>
              </w:rPr>
              <w:t>+2,0</w:t>
            </w:r>
          </w:p>
        </w:tc>
      </w:tr>
      <w:tr>
        <w:tc>
          <w:tcPr>
            <w:tcW w:type="dxa" w:w="3061"/>
            <w:shd w:val="clear" w:color="auto" w:fill="F3F8FB"/>
          </w:tcPr>
          <w:p>
            <w:r/>
            <w:r>
              <w:rPr>
                <w:sz w:val="20"/>
              </w:rPr>
              <w:t>Остаток на конец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0,5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20,8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34,0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91,1</w:t>
            </w:r>
          </w:p>
        </w:tc>
        <w:tc>
          <w:tcPr>
            <w:tcW w:type="dxa" w:w="1191"/>
            <w:shd w:val="clear" w:color="auto" w:fill="F3F8FB"/>
          </w:tcPr>
          <w:p>
            <w:r/>
            <w:r>
              <w:rPr>
                <w:sz w:val="20"/>
              </w:rPr>
              <w:t>239,2</w:t>
            </w:r>
          </w:p>
        </w:tc>
      </w:tr>
    </w:tbl>
    <w:p/>
    <w:p>
      <w:r>
        <w:rPr>
          <w:b w:val="0"/>
          <w:i w:val="0"/>
          <w:sz w:val="22"/>
        </w:rPr>
        <w:t>EBITDA-безубыточность — 2028 г.; пик кассовой потребности покрывается раундами 1+2 (80 млн ₽ инвесторских средств с учётом грантов — с резервом). Расчётный NPV проекта (ставка 25%, горизонт до выхода) и IRR инвестора — раздел 8.5.</w:t>
      </w:r>
    </w:p>
    <w:p>
      <w:pPr>
        <w:spacing w:before="240" w:after="80"/>
      </w:pPr>
      <w:r>
        <w:rPr>
          <w:b/>
          <w:color w:val="1B9AAA"/>
          <w:sz w:val="25"/>
        </w:rPr>
        <w:t>8.4. CAPEX</w:t>
      </w:r>
    </w:p>
    <w:p>
      <w:r>
        <w:rPr>
          <w:b w:val="0"/>
          <w:i w:val="0"/>
          <w:sz w:val="22"/>
        </w:rPr>
        <w:t>Модель asset-light: собственного производства нет; существенные капитальные затраты отсутствуют. НИОКР текущего периода (до 2028 г.) учитываются в операционных расходах; при переходе на ОСНО возможна капитализация НИОКР по ПБУ 17/02. ИС вносится в УК АО как вклад (не денежный CAPEX).</w:t>
      </w:r>
    </w:p>
    <w:p>
      <w:pPr>
        <w:spacing w:before="240" w:after="80"/>
      </w:pPr>
      <w:r>
        <w:rPr>
          <w:b/>
          <w:color w:val="1B9AAA"/>
          <w:sz w:val="25"/>
        </w:rPr>
        <w:t>8.5. Эффективность инвестиций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Инвестор Seed</w:t>
            </w:r>
          </w:p>
        </w:tc>
        <w:tc>
          <w:tcPr>
            <w:tcW w:type="dxa" w:w="255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Инвестор Series 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Сумма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35 млн ₽ (2026)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45 млн ₽ (2027)</w:t>
            </w:r>
          </w:p>
        </w:tc>
      </w:tr>
      <w:tr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Pre / post-money</w:t>
            </w:r>
          </w:p>
        </w:tc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110 / 145 млн ₽</w:t>
            </w:r>
          </w:p>
        </w:tc>
        <w:tc>
          <w:tcPr>
            <w:tcW w:type="dxa" w:w="2551"/>
            <w:shd w:val="clear" w:color="auto" w:fill="F3F8FB"/>
          </w:tcPr>
          <w:p>
            <w:r/>
            <w:r>
              <w:rPr>
                <w:sz w:val="20"/>
              </w:rPr>
              <w:t>280 / 325 млн 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Доля сразу после раунда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24,1%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13,8%</w:t>
            </w:r>
          </w:p>
        </w:tc>
      </w:tr>
      <w:tr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Доля после размывания Series A</w:t>
            </w:r>
          </w:p>
        </w:tc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20,8%</w:t>
            </w:r>
          </w:p>
        </w:tc>
        <w:tc>
          <w:tcPr>
            <w:tcW w:type="dxa" w:w="2551"/>
            <w:shd w:val="clear" w:color="auto" w:fill="F3F8FB"/>
          </w:tcPr>
          <w:p>
            <w:r/>
            <w:r>
              <w:rPr>
                <w:sz w:val="20"/>
              </w:rPr>
              <w:t>13,8%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Сценарий выхода (2031): EBITDA 180 млн ₽ × 7,5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компания — 1 350 млн ₽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Выплата инвестору при выходе</w:t>
            </w:r>
          </w:p>
        </w:tc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≈281 млн ₽</w:t>
            </w:r>
          </w:p>
        </w:tc>
        <w:tc>
          <w:tcPr>
            <w:tcW w:type="dxa" w:w="2551"/>
            <w:shd w:val="clear" w:color="auto" w:fill="F3F8FB"/>
          </w:tcPr>
          <w:p>
            <w:r/>
            <w:r>
              <w:rPr>
                <w:sz w:val="20"/>
              </w:rPr>
              <w:t>≈186 млн 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Кратность (MOIC)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8,0×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4,2×</w:t>
            </w:r>
          </w:p>
        </w:tc>
      </w:tr>
      <w:tr>
        <w:tc>
          <w:tcPr>
            <w:tcW w:type="dxa" w:w="3685"/>
            <w:shd w:val="clear" w:color="auto" w:fill="F3F8FB"/>
          </w:tcPr>
          <w:p>
            <w:r/>
            <w:r>
              <w:rPr>
                <w:sz w:val="20"/>
              </w:rPr>
              <w:t>IRR</w:t>
            </w:r>
          </w:p>
        </w:tc>
        <w:tc>
          <w:tcPr>
            <w:tcW w:type="dxa" w:w="2835"/>
            <w:shd w:val="clear" w:color="auto" w:fill="F3F8FB"/>
          </w:tcPr>
          <w:p>
            <w:r/>
            <w:r>
              <w:rPr>
                <w:sz w:val="20"/>
              </w:rPr>
              <w:t>≈52%</w:t>
            </w:r>
          </w:p>
        </w:tc>
        <w:tc>
          <w:tcPr>
            <w:tcW w:type="dxa" w:w="2551"/>
            <w:shd w:val="clear" w:color="auto" w:fill="F3F8FB"/>
          </w:tcPr>
          <w:p>
            <w:r/>
            <w:r>
              <w:rPr>
                <w:sz w:val="20"/>
              </w:rPr>
              <w:t>≈43%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NPV при ставке 25% (Seed)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45,6 млн ₽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r>
        <w:rPr>
          <w:b w:val="0"/>
          <w:i w:val="0"/>
          <w:sz w:val="22"/>
        </w:rPr>
        <w:t>Чувствительность (инвестор Seed): при выходе по 5× EBITDA (900 млн ₽) — выплата 187 млн ₽ (5,3×); при 10× (1 800 млн ₽) — 374 млн ₽ (10,7×). Возможные стратегические покупатели: крупные российские IT/medtech холдинги, лабораторные сети, международные игроки (CooperSurgical, Vitrolife и др.), институты развития (ВЭБ.РФ), IPO на МСП-бирже.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9. ИНТЕЛЛЕКТУАЛЬНАЯ СОБСТВЕННОСТЬ: ПОРТФЕЛЬ И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4082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РИД / объект</w:t>
            </w:r>
          </w:p>
        </w:tc>
        <w:tc>
          <w:tcPr>
            <w:tcW w:type="dxa" w:w="1814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1247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Затраты, млн ₽</w:t>
            </w:r>
          </w:p>
        </w:tc>
        <w:tc>
          <w:tcPr>
            <w:tcW w:type="dxa" w:w="136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Рыночная оценка, млн 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Свидетельство №1440-028-537 от 30.03.2026 (реестр РИД ФИСРПС)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Получено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12–18</w:t>
            </w:r>
          </w:p>
        </w:tc>
      </w:tr>
      <w:tr>
        <w:tc>
          <w:tcPr>
            <w:tcW w:type="dxa" w:w="567"/>
            <w:shd w:val="clear" w:color="auto" w:fill="F3F8FB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ПОЭВМ «VitaGen-AI Core» (5 уровней данных)</w:t>
            </w:r>
          </w:p>
        </w:tc>
        <w:tc>
          <w:tcPr>
            <w:tcW w:type="dxa" w:w="1814"/>
            <w:shd w:val="clear" w:color="auto" w:fill="F3F8FB"/>
          </w:tcPr>
          <w:p>
            <w:r/>
            <w:r>
              <w:rPr>
                <w:sz w:val="20"/>
              </w:rPr>
              <w:t>Разработка / ЕРИР 2026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361"/>
            <w:shd w:val="clear" w:color="auto" w:fill="F3F8FB"/>
          </w:tcPr>
          <w:p>
            <w:r/>
            <w:r>
              <w:rPr>
                <w:sz w:val="20"/>
              </w:rPr>
              <w:t>20–28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ПОЭВМ модулей (эндометрий, niPGT-A, мужской геном, перинатология)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План 2027–2028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12–18</w:t>
            </w:r>
          </w:p>
        </w:tc>
      </w:tr>
      <w:tr>
        <w:tc>
          <w:tcPr>
            <w:tcW w:type="dxa" w:w="567"/>
            <w:shd w:val="clear" w:color="auto" w:fill="F3F8FB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Патентные заявки: прогноз с интеграцией DFI; иммунный матчинг KIR/HLA-C</w:t>
            </w:r>
          </w:p>
        </w:tc>
        <w:tc>
          <w:tcPr>
            <w:tcW w:type="dxa" w:w="1814"/>
            <w:shd w:val="clear" w:color="auto" w:fill="F3F8FB"/>
          </w:tcPr>
          <w:p>
            <w:r/>
            <w:r>
              <w:rPr>
                <w:sz w:val="20"/>
              </w:rPr>
              <w:t>План 2026–2027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361"/>
            <w:shd w:val="clear" w:color="auto" w:fill="F3F8FB"/>
          </w:tcPr>
          <w:p>
            <w:r/>
            <w:r>
              <w:rPr>
                <w:sz w:val="20"/>
              </w:rPr>
              <w:t>10–15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Know-how: обезличенный датасет, методологии, чек-листы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Формируется в пилоте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8–12</w:t>
            </w:r>
          </w:p>
        </w:tc>
      </w:tr>
      <w:tr>
        <w:tc>
          <w:tcPr>
            <w:tcW w:type="dxa" w:w="567"/>
            <w:shd w:val="clear" w:color="auto" w:fill="F3F8FB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Товарный знак VitaGen</w:t>
            </w:r>
          </w:p>
        </w:tc>
        <w:tc>
          <w:tcPr>
            <w:tcW w:type="dxa" w:w="1814"/>
            <w:shd w:val="clear" w:color="auto" w:fill="F3F8FB"/>
          </w:tcPr>
          <w:p>
            <w:r/>
            <w:r>
              <w:rPr>
                <w:sz w:val="20"/>
              </w:rPr>
              <w:t>Заявка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0,5</w:t>
            </w:r>
          </w:p>
        </w:tc>
        <w:tc>
          <w:tcPr>
            <w:tcW w:type="dxa" w:w="1361"/>
            <w:shd w:val="clear" w:color="auto" w:fill="F3F8FB"/>
          </w:tcPr>
          <w:p>
            <w:r/>
            <w:r>
              <w:rPr>
                <w:sz w:val="20"/>
              </w:rPr>
              <w:t>1–2</w:t>
            </w:r>
          </w:p>
        </w:tc>
      </w:tr>
    </w:tbl>
    <w:p/>
    <w:p>
      <w:pPr>
        <w:spacing w:before="240" w:after="80"/>
      </w:pPr>
      <w:r>
        <w:rPr>
          <w:b/>
          <w:color w:val="1B9AAA"/>
          <w:sz w:val="25"/>
        </w:rPr>
        <w:t>9.1. Оценка тремя подходами</w:t>
      </w:r>
    </w:p>
    <w:p>
      <w:pPr>
        <w:pStyle w:val="ListBullet"/>
        <w:ind w:left="340"/>
      </w:pPr>
      <w:r>
        <w:t>затратный: накопленные затраты на НИОКР с корректировкой на риск — 40–45 млн ₽;</w:t>
      </w:r>
    </w:p>
    <w:p>
      <w:pPr>
        <w:pStyle w:val="ListBullet"/>
        <w:ind w:left="340"/>
      </w:pPr>
      <w:r>
        <w:t>рыночный (сделки лицензирования medtech-AI, роялти 5–8%, дисконтирование потоков) — 55–75 млн ₽;</w:t>
      </w:r>
    </w:p>
    <w:p>
      <w:pPr>
        <w:pStyle w:val="ListBullet"/>
        <w:ind w:left="340"/>
      </w:pPr>
      <w:r>
        <w:t>доходный (доля ИС в стоимости проекта 30–40%) — 45–60 млн ₽.</w:t>
      </w:r>
    </w:p>
    <w:p>
      <w:r>
        <w:rPr>
          <w:b w:val="0"/>
          <w:i w:val="0"/>
          <w:sz w:val="22"/>
        </w:rPr>
        <w:t>Принятая консервативная оценка для вклада в уставный капитал АО «ВИТА ГЕН АИ»: 45 млн ₽ — по отчёту независимого оценщика (обязателен при внесении имущества: ФЗ «Об акционерных обществах», 273-ФЗ «Об оценочной деятельности в РФ»). Оценка ИС включается в pre-money Раунда 1 (110 млн ₽) и является активом, который инвестор приобретает косвенно — ИС принадлежит проектной компании, эксклюзивно и без обременений.</w:t>
      </w:r>
    </w:p>
    <w:p>
      <w:r>
        <w:rPr>
          <w:b w:val="0"/>
          <w:i w:val="0"/>
          <w:sz w:val="22"/>
        </w:rPr>
        <w:t>Стратегия правовой охраны (многоуровневая, по методике «Защита до патентования»). 1) Свидетельство РЦИС/ФИСРПС №1440-028-537 от 30.03.2026 — уже получено (алгоритм/прогноз; правообладатель на старте — Петрушина М. В., планируется передача вкладом в АО). 2) ПОЭВМ (код платформы) — регистрация в Роспатенте немедленно. 3) Депонирование (РИС, ст. 1257 ГК РФ, ~10 000 ₽/объект, 1–2 недели): ТЗ на разработку VitaGen-AI (критический приоритет); код разработки продукта (исходники/релизы) — отдельно от ТЗ как объект авторского права; клинические протоколы пилота (РНИМУ); презентация, методология и дорожная карта — фиксация даты до показа инвесторам/партнёрам. 4) Патентные заявки 2026–2027 на прорывные способы (DFI-интеграция, матчинг KIR/HLA-C). 5) Know-how — режим коммерческой тайны (ст. 1465 ГК РФ) с NDA и договорами с клиниками. Для КНР: при выходе в Хайнань — двойное депонирование ключевых ТЗ в NCAC. Мониторинг — патентные классы и конкурентные продукты; лицензирование — эксклюзивные лицензии партнёрам по регионам/АТР.</w:t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10. МЕЖДУНАРОДНАЯ МОНЕТИЗАЦИЯ: КИТАЙ (ХАЙНАНЬ) И АТР</w:t>
      </w:r>
    </w:p>
    <w:p>
      <w:r>
        <w:rPr>
          <w:b w:val="0"/>
          <w:i w:val="0"/>
          <w:sz w:val="22"/>
        </w:rPr>
        <w:t>Китай — крупнейший в мире рынок ВРТ: порядка 700–800 тыс. циклов в год (международные отраслевые оценки), распространённость бесплодия около 18% (оценки МЗ КНР), клинический рынок ~$15–20 млрд/год при росте двузначными темпами. Для российской компании путь входа — зона свободной торговли Хайнань.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7030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Юр. форма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VitaGen AI (Hainan) Co., Ltd — WFOE в зоне свободной торговли Хайнань; опционально промежуточный холд-ко в Гонконге</w:t>
            </w:r>
          </w:p>
        </w:tc>
      </w:tr>
      <w:tr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Налоговый режим</w:t>
            </w:r>
          </w:p>
        </w:tc>
        <w:tc>
          <w:tcPr>
            <w:tcW w:type="dxa" w:w="7030"/>
            <w:shd w:val="clear" w:color="auto" w:fill="F3F8FB"/>
          </w:tcPr>
          <w:p>
            <w:r/>
            <w:r>
              <w:rPr>
                <w:sz w:val="20"/>
              </w:rPr>
              <w:t>Льготный корпоративный налог 15% для отраслей по списку поощряемых (высокие технологии, здравоохранение) — политика СПК Госсовета КНР по Хайнаню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Регуляторика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NMPA: регистрация ПО как медизделия II класса (12–18 мес.); пилотный режим Боао Лэчэн для инновационных медизделий</w:t>
            </w:r>
          </w:p>
        </w:tc>
      </w:tr>
      <w:tr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Данные (PIPL)</w:t>
            </w:r>
          </w:p>
        </w:tc>
        <w:tc>
          <w:tcPr>
            <w:tcW w:type="dxa" w:w="7030"/>
            <w:shd w:val="clear" w:color="auto" w:fill="F3F8FB"/>
          </w:tcPr>
          <w:p>
            <w:r/>
            <w:r>
              <w:rPr>
                <w:sz w:val="20"/>
              </w:rPr>
              <w:t>Геномные и персональные данные не покидают КНР: локальный деплой модели в облаке КНР; экспорт только агрегированных метрик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Модель монетизации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Лицензия + revenue share с клиниками-партнёрами/дистрибьютором; опционально JV на позднем этапе</w:t>
            </w:r>
          </w:p>
        </w:tc>
      </w:tr>
      <w:tr>
        <w:tc>
          <w:tcPr>
            <w:tcW w:type="dxa" w:w="2041"/>
            <w:shd w:val="clear" w:color="auto" w:fill="F3F8FB"/>
          </w:tcPr>
          <w:p>
            <w:r/>
            <w:r>
              <w:rPr>
                <w:sz w:val="20"/>
              </w:rPr>
              <w:t>Этапы</w:t>
            </w:r>
          </w:p>
        </w:tc>
        <w:tc>
          <w:tcPr>
            <w:tcW w:type="dxa" w:w="7030"/>
            <w:shd w:val="clear" w:color="auto" w:fill="F3F8FB"/>
          </w:tcPr>
          <w:p>
            <w:r/>
            <w:r>
              <w:rPr>
                <w:sz w:val="20"/>
              </w:rPr>
              <w:t>2028 — gap-анализ NMPA, поиск партнёров; 2029 — регистрация WFOE, 1–2 пилотных партнёра (≈8 млн ₽ выручки в модели); 2030 — 3 партнёра (≈25,5 млн ₽), файлинг NMPA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Пайплайн АТР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Индия (~250 тыс. циклов/год, отраслевые оценки), Япония, Южная Корея, Сингапур, Индонезия, Таиланд — после отработки китайского сценария</w:t>
            </w:r>
          </w:p>
        </w:tc>
      </w:tr>
    </w:tbl>
    <w:p/>
    <w:p>
      <w:r>
        <w:rPr>
          <w:b w:val="0"/>
          <w:i w:val="0"/>
          <w:sz w:val="22"/>
        </w:rPr>
        <w:t>Риски: регуляторные задержки NMPA; геополитика; сильные локальные конкуренты; PIPL-требования; репатриация прибыли (структурирование через HK, двустороннее соглашение РФ–КНР). Митигация: старт с пилота без крупных вложений; локальный партнёр-дистрибьютор; юристы по NMPA/PIPL на Хайнане; контроль трансфертного ценообразования.</w:t>
      </w:r>
    </w:p>
    <w:p>
      <w:r>
        <w:br w:type="page"/>
      </w:r>
    </w:p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11. АНАЛИЗ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94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247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1247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4082"/>
            <w:shd w:val="clear" w:color="auto" w:fill="0B3D5C"/>
          </w:tcPr>
          <w:p>
            <w:r/>
            <w:r>
              <w:rPr>
                <w:b/>
                <w:color w:val="FFFFFF"/>
                <w:sz w:val="20"/>
              </w:rPr>
              <w:t>Минимизация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Регуляторные задержки регистрации ИИ-МИ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Пилот в режиме «песочницы» ДЗМ; ранняя подача; консультант по регуляторике в команде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Недостижение заявленной точности в проспективном исследовании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Критическое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Поэтапная валидация; консервативные обещания (не «первая в мире», а «одна из первых мультимодальных»); резервный бюджет на доработку моделей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Недоступность данных клиник (152-ФЗ, коммерческая тайна клиник)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Договоры с клиниками + обезличивание; моделирование на частичных данных (masking); РНИМУ как якорный партнёр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Выход крупного конкурента в РФ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Скорость получения доказательной базы; патенты; интеграция с МИС как lock-in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Замедление финансирования ОМС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Среднее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Смешанная выручка: коммерческие клиники, B2G, экспорт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Кадровый дефицит ML/эмбриологов-аналитиков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Среднее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Опционный пул; партнёрства с университетами; частичный remote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Геополитика и санкционные риски экспорта в Китай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Среднее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Хайнаньский WFOE как локальная компания; PIPL-комплаенс; диверсификация АТР</w:t>
            </w:r>
          </w:p>
        </w:tc>
      </w:tr>
      <w:tr>
        <w:tc>
          <w:tcPr>
            <w:tcW w:type="dxa" w:w="2494"/>
            <w:shd w:val="clear" w:color="auto" w:fill="F3F8FB"/>
          </w:tcPr>
          <w:p>
            <w:r/>
            <w:r>
              <w:rPr>
                <w:sz w:val="20"/>
              </w:rPr>
              <w:t>Репутационный риск ранних ошибок ИИ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1247"/>
            <w:shd w:val="clear" w:color="auto" w:fill="F3F8FB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4082"/>
            <w:shd w:val="clear" w:color="auto" w:fill="F3F8FB"/>
          </w:tcPr>
          <w:p>
            <w:r/>
            <w:r>
              <w:rPr>
                <w:sz w:val="20"/>
              </w:rPr>
              <w:t>ИИ как поддержка решения врача (СППВР), не автономное решение; дисклеймеры; клинический комитет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Пауээр-ризик: задержка Раунда 2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Грантовая обочка (ФСИ/Сколково/ДЗМ); план экономии при пессимистичном сценарии (×0,75 выручки)</w:t>
            </w:r>
          </w:p>
        </w:tc>
      </w:tr>
    </w:tbl>
    <w:p/>
    <w:p>
      <w:pPr>
        <w:spacing w:before="360" w:after="160"/>
        <w:shd w:val="clear" w:color="auto" w:fill="EAF4F8"/>
      </w:pPr>
      <w:r>
        <w:rPr>
          <w:b/>
          <w:color w:val="0B3D5C"/>
          <w:sz w:val="30"/>
        </w:rPr>
        <w:t>12. ПРИЛОЖЕНИЯ</w:t>
      </w:r>
    </w:p>
    <w:p>
      <w:r>
        <w:rPr>
          <w:b/>
          <w:i w:val="0"/>
          <w:sz w:val="22"/>
        </w:rPr>
        <w:t>Приложение 1. «VitaGen_Финансовая_модель.xlsx» — интерактивная модель (переключатель сценариев, листы: Допущения, Рынок, Выручка, Расходы, PnL, ДДС, Инвестор, ИС_Оценка, Китай_АТР).</w:t>
      </w:r>
    </w:p>
    <w:p>
      <w:r>
        <w:rPr>
          <w:b/>
          <w:i w:val="0"/>
          <w:sz w:val="22"/>
        </w:rPr>
        <w:t>Приложение 2. «VitaGen_Инвестиционная_презентация.pdf» — инвестиционная презентация для передачи инвестору.</w:t>
      </w:r>
    </w:p>
    <w:p>
      <w:r>
        <w:rPr>
          <w:b/>
          <w:i w:val="0"/>
          <w:sz w:val="22"/>
        </w:rPr>
        <w:t>Приложение 3. Исходные материалы: презентация VitaGen (16 слайдов), рекомендации к заполнению, дополнительные разработки платформы.</w:t>
      </w:r>
    </w:p>
    <w:p>
      <w:pPr>
        <w:spacing w:before="240" w:after="80"/>
      </w:pPr>
      <w:r>
        <w:rPr>
          <w:b/>
          <w:color w:val="1B9AAA"/>
          <w:sz w:val="25"/>
        </w:rPr>
        <w:t>Источники рыночных данных (атрибуция)</w:t>
      </w:r>
    </w:p>
    <w:p>
      <w:pPr>
        <w:pStyle w:val="ListBullet"/>
        <w:ind w:left="340"/>
      </w:pPr>
      <w:r>
        <w:t>Росстат — рождаемость и СКР (оперативные и годовые данные);</w:t>
      </w:r>
    </w:p>
    <w:p>
      <w:pPr>
        <w:pStyle w:val="ListBullet"/>
        <w:ind w:left="340"/>
      </w:pPr>
      <w:r>
        <w:t>Минздрав РФ / Федеральный регистр ВРТ — оценки объёма циклов ВРТ в РФ;</w:t>
      </w:r>
    </w:p>
    <w:p>
      <w:pPr>
        <w:pStyle w:val="ListBullet"/>
        <w:ind w:left="340"/>
      </w:pPr>
      <w:r>
        <w:t>ВОЗ — распространённость бесплодия (~15–17% пар);</w:t>
      </w:r>
    </w:p>
    <w:p>
      <w:pPr>
        <w:pStyle w:val="ListBullet"/>
        <w:ind w:left="340"/>
      </w:pPr>
      <w:r>
        <w:t>открытые прайсы клиник и региональные тарифы ОМС — стоимость циклов ВРТ;</w:t>
      </w:r>
    </w:p>
    <w:p>
      <w:pPr>
        <w:pStyle w:val="ListBullet"/>
        <w:ind w:left="340"/>
      </w:pPr>
      <w:r>
        <w:t>международные отраслевые оценки — рынок ВРТ Китая (~700–800 тыс. циклов/год), глобальный рынок ИИ в репродуктивной медицине, политика Хайнаньской ЗСТ (СПК Госсовета КНР), NMPA;</w:t>
      </w:r>
    </w:p>
    <w:p>
      <w:pPr>
        <w:pStyle w:val="ListBullet"/>
        <w:ind w:left="340"/>
      </w:pPr>
      <w:r>
        <w:t>обзоры: Беспалова О. Н. и соавт. // Российский вестник акушера-гинеколога. 2024;24(2):19–29 (ИИ в ВРТ) и др. публикации 2021–2025 гг., перечисленные в исходной презентации проекта.</w:t>
      </w:r>
    </w:p>
    <w:p>
      <w:r>
        <w:rPr>
          <w:b w:val="0"/>
          <w:i/>
          <w:sz w:val="20"/>
        </w:rPr>
        <w:t>Примечание: часть рыночных величин (структура SAM, доля Москвы, цены APAC-лицензий) — экспертные оценки для модели, помечены как таковые и подлежат верификации по мере получения данных пилота.</w:t>
      </w:r>
    </w:p>
    <w:p>
      <w:pPr>
        <w:spacing w:before="240" w:after="80"/>
      </w:pPr>
      <w:r>
        <w:rPr>
          <w:b/>
          <w:color w:val="1B9AAA"/>
          <w:sz w:val="25"/>
        </w:rPr>
        <w:t>Дисклеймер</w:t>
      </w:r>
    </w:p>
    <w:p>
      <w:r>
        <w:rPr>
          <w:b w:val="0"/>
          <w:i/>
          <w:sz w:val="20"/>
        </w:rPr>
        <w:t>Платформа находится в стадии клинической валидации. Указанные результаты точности (AUC = 0,89) — предварительные данные внутренней валидации и требуют подтверждения в проспективном исследовании. Финансовые прогнозы носят оценочный характер и не являются гарантией будущих результатов.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