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Times New Roman" w:hAnsi="Times New Roman" w:eastAsia="Times New Roman" w:cs="Times New Roman"/>
          <w:b/>
          <w:color w:val="555F6D"/>
          <w:sz w:val="24"/>
        </w:rPr>
        <w:t>КОММЕРЧЕСКОЕ ПРЕДЛОЖЕНИЕ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Проект: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анализ структуры закупок МНКЦ им. С.П. Боткина за 2025 год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Заказчик: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[наименование организации]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Исполнитель: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[ФИО / наименование]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Номер предложения: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[номер]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Дата: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19.10.2026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Срок действия предложения: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30 календарных дней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Рекомендуемая стоимость: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320 000 ₽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Срок выполнения: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25–35 рабочих дней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Результат: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PDF-отчёт с таблицами + офлайн-дашборд + Excel + полный реестр позиций за 2025 год</w:t>
      </w:r>
    </w:p>
    <w:p>
      <w:r>
        <w:br w:type="page"/>
      </w:r>
    </w:p>
    <w:p>
      <w:pPr>
        <w:pStyle w:val="Heading1"/>
      </w:pPr>
      <w:r>
        <w:t>1. Задача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Заказчику нужен разбор закупок МНКЦ им. С.П. Боткина за 2025 год </w:t>
      </w:r>
      <w:r>
        <w:rPr>
          <w:rFonts w:ascii="Times New Roman" w:hAnsi="Times New Roman" w:eastAsia="Times New Roman" w:cs="Times New Roman"/>
          <w:b/>
          <w:i w:val="0"/>
          <w:sz w:val="21"/>
        </w:rPr>
        <w:t>без хозяйственных расходов, фармации и услуг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: что закупалось, в каких объёмах, по каким ценам, из каких стран и какие позиции являются ключевыми.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Отличительная особенность задачи — не «топ-10», а </w:t>
      </w:r>
      <w:r>
        <w:rPr>
          <w:rFonts w:ascii="Times New Roman" w:hAnsi="Times New Roman" w:eastAsia="Times New Roman" w:cs="Times New Roman"/>
          <w:b/>
          <w:i w:val="0"/>
          <w:sz w:val="21"/>
        </w:rPr>
        <w:t>правило 80 %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: в отчёт включаются все товарные группы и все номенклатурные позиции, которые в сумме дают не менее 80 % объёма закупок в деньгах. Это даёт полную картину значимых закупок, а не выборочный рейтинг.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Дополнительно нужен </w:t>
      </w:r>
      <w:r>
        <w:rPr>
          <w:rFonts w:ascii="Times New Roman" w:hAnsi="Times New Roman" w:eastAsia="Times New Roman" w:cs="Times New Roman"/>
          <w:b/>
          <w:i w:val="0"/>
          <w:sz w:val="21"/>
        </w:rPr>
        <w:t>интерактивный дашборд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, который позволяет смотреть те же данные в разрезах и фильтрах. При этом </w:t>
      </w:r>
      <w:r>
        <w:rPr>
          <w:rFonts w:ascii="Times New Roman" w:hAnsi="Times New Roman" w:eastAsia="Times New Roman" w:cs="Times New Roman"/>
          <w:b/>
          <w:i w:val="0"/>
          <w:sz w:val="21"/>
        </w:rPr>
        <w:t>печатный PDF-отчёт с таблицами сохраняется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как основной документ.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Что не входит в задачу по запросу заказчика: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детализация по контрактам: карточки, номера, даты и предметы контрактов;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отдельный блок о российских участниках конкурсов;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выводы и рекомендации;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сравнение с 2024 годом;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внешние бенчмарки по другим ЛПУ;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презентация.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2. Что вы получите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№</w:t>
            </w:r>
          </w:p>
        </w:tc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Результат</w:t>
            </w:r>
          </w:p>
        </w:tc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Формат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Аналитический отчёт по 8 обязательным разделам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PDF + DOCX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Интерактивный дашборд: таблицы, графики, фильтры, светлая и тёмная темы, печать в PDF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HTML, офлайн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Рабочая книга Excel со всеми таблицами отчёта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XLSX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Полный реестр позиций за 2025 год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XLSX + CSV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Паспорт данных: источники, охват, классификатор, исключения, ограничения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PDF + DOCX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Реестр источников со ссылками и датами выгрузки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XLSX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Инструкция по работе с дашбордом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PDF + DOCX</w:t>
            </w:r>
          </w:p>
        </w:tc>
      </w:tr>
    </w:tbl>
    <w:p/>
    <w:p>
      <w:pPr>
        <w:pStyle w:val="Heading2"/>
      </w:pPr>
      <w:r>
        <w:t>2.1. Обязательные разделы отчёта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Общий объём закупок за 2025 год в деньгах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все закупки, профильные, исключённые, сверка, динамика.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Структура закупок по видам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оборудование, расходные материалы, имплантируемые изделия, реагенты, медмебель/одежда, прочее; дополнительно по 44-ФЗ / 223-ФЗ / малым закупкам.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Категории закупок по правилу 80 %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все товарные группы до достижения 80 %, а не фиксированный топ-10.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Топ номенклатуры по правилу 80 %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все позиции до достижения 80 %, с количеством, суммой, ценой, поставщиками.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Страна происхождения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Россия / импорт, страны, категории, доля «не определена».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6.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Внутренние ценовые бенчмарки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средневзвешенная цена, медиана, минимум, максимум, P25/P75, разброс, потенциал снижения к медиане и минимуму внутри закупок ЛПУ за 2025 год.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7.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Ключевая номенклатура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карточки позиций 80 %-набора.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8.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Реестр позиций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полная построчная выгрузка с источником по каждой строке, без контрактной детализации.</w:t>
      </w:r>
    </w:p>
    <w:p>
      <w:pPr>
        <w:pStyle w:val="Heading2"/>
      </w:pPr>
      <w:r>
        <w:t>2.2. Что показывает отчёт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сколько всего закупил центр за 2025 год и какая часть приходится на медицинские товары;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какие виды закупок доминируют и как они соотносятся;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какие товарные группы дают 80 % объёма — с полным перечнем, а не «топ-10»;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какие конкретные позиции дают 80 % объёма;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из каких стран происходят товары и где высока импортозависимость;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какие цены закупает ЛПУ по ключевой номенклатуре и какой разброс существует внутри 2025 года;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где средневзвешенная цена выше медианы и какой потенциал снижения это формирует;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какие позиции ключевые по объёму, частоте и влиянию на затраты;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какие ограничения данных нужно учитывать.</w:t>
      </w:r>
    </w:p>
    <w:p>
      <w:pPr>
        <w:pStyle w:val="Heading2"/>
      </w:pPr>
      <w:r>
        <w:t>2.3. Что показывает дашборд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Дашборд повторяет аналитику отчёта в интерактивном виде: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KPI-карточки: общий объём, профильный объём, исключения, количество позиций и поставщиков;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структура по видам, способам закупки и месяцам;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категории 80 % с диаграммой Парето;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номенклатура 80 % с поиском;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страна происхождения и доля импорта;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внутренние ценовые бенчмарки и разброс цен;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ключевая номенклатура;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реестр позиций с фильтрами и экспортом среза в CSV;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методика и ограничения.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Дашборд работает </w:t>
      </w:r>
      <w:r>
        <w:rPr>
          <w:rFonts w:ascii="Times New Roman" w:hAnsi="Times New Roman" w:eastAsia="Times New Roman" w:cs="Times New Roman"/>
          <w:b/>
          <w:i w:val="0"/>
          <w:sz w:val="21"/>
        </w:rPr>
        <w:t>офлайн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>: один HTML-файл, без сервера, интернета и установки. Открывается в Chrome, Edge и Firefox. Есть светлая, тёмная и системная темы, кнопка печати в PDF.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3. Как мы работаем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Старт и методика.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Фиксируем границы: период, подразделения, исключения (фармация, хозяйственные расходы, услуги), пограничные категории, классификатор.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Сбор данных.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ЕИС (44-ФЗ и 223-ФЗ), Портал поставщиков, ЕАТ «Берёзка», сайт учреждения, Госреестр медизделий. При наличии — внутренняя выгрузка ЛПУ для сверки. Внешние прайсы и предложения поставщиков как источник цен не используются.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Очистка и классификация.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Дедупликация, нормализация единиц и упаковок, разделение товаров и услуг, отнесение к видам и товарным группам, ручная проверка 80 % объёма.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Аналитика.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Правило 80 % для категорий и номенклатуры, страна происхождения, внутренние ценовые бенчмарки, ключевая номенклатура.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Дашборд.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Собираем офлайн-версию с фильтрами, графиками, таблицами, темами и печатью; проверяем совпадение цифр с отчётом.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6.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Отчёт и Excel.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Готовим печатную версию, рабочую книгу и реестр; проверяем сверки и оформление.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7.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Приёмка.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Передаём комплект, проводим промежуточную демонстрацию дашборда, вносим 2 раунда правок.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Промежуточная веха: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после сбора и классификации показываем выборку, охват и структуру категорий — до подготовки финального отчёта. Заказчик подтверждает классификатор и исключения.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4. Стоимость</w:t>
      </w:r>
    </w:p>
    <w:p>
      <w:pPr>
        <w:pStyle w:val="Heading2"/>
      </w:pPr>
      <w:r>
        <w:t>4.1. Рекомендуемый пакет «Стандарт» — 320 000 ₽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Полное соответствие техническому заданию: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все 8 обязательных разделов отчёта;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полный реестр позиций за 2025 год без контрактной детализации;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правило 80 % для категорий и номенклатуры;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страна происхождения с охватом не менее 70 % стоимости (или документированным объяснением);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внутренние бенчмарки для всех ключевых позиций;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офлайн-дашборд с фильтрами, графиками, таблицами, темами и печатью;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2 раунда правок;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промежуточная демонстрация дашборда — 1 онлайн-встреча до 1 часа;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срок — 25–35 рабочих дней.</w:t>
      </w:r>
    </w:p>
    <w:p>
      <w:pPr>
        <w:pStyle w:val="Heading2"/>
      </w:pPr>
      <w:r>
        <w:t>4.2. Пакет «Базовый» — 220 000 ₽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Для случая, если на первом этапе нужен только печатный отчёт и Excel, а дашборд можно отложить: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все 8 разделов отчёта в полном виде;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полный реестр позиций;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правило 80 %;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страна происхождения;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внутренние бенчмарки;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1 раунд правок;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срок — 20–25 рабочих дней.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Ограничение: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«Базовый» </w:t>
      </w:r>
      <w:r>
        <w:rPr>
          <w:rFonts w:ascii="Times New Roman" w:hAnsi="Times New Roman" w:eastAsia="Times New Roman" w:cs="Times New Roman"/>
          <w:b/>
          <w:i w:val="0"/>
          <w:sz w:val="21"/>
        </w:rPr>
        <w:t>не содержит дашборд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и поэтому не закрывает текущее требование заказчика. Если дашборд обязателен — используйте «Стандарт».</w:t>
      </w:r>
    </w:p>
    <w:p>
      <w:pPr>
        <w:pStyle w:val="Heading2"/>
      </w:pPr>
      <w:r>
        <w:t>4.3. Пакет «Расширенный» — 390 000 ₽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Всё, что входит в «Стандарт», плюс: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второй сценарий дашборда (например, отдельный управленческий вид или вид для закупок);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3 раунда правок;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приоритетная очередь — 20–25 рабочих дней;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обучение работе с дашбордом и Excel — 1 сессия до 1,5 часа.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Презентация, сравнение с 2024 годом, внешние бенчмарки и блок по российским участникам </w:t>
      </w:r>
      <w:r>
        <w:rPr>
          <w:rFonts w:ascii="Times New Roman" w:hAnsi="Times New Roman" w:eastAsia="Times New Roman" w:cs="Times New Roman"/>
          <w:b/>
          <w:i w:val="0"/>
          <w:sz w:val="21"/>
        </w:rPr>
        <w:t>не входят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по требованию заказчика.</w:t>
      </w:r>
    </w:p>
    <w:p>
      <w:pPr>
        <w:pStyle w:val="Heading2"/>
      </w:pPr>
      <w:r>
        <w:t>4.4. Сравнение пакетов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Параметр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Базовый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Стандарт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Расширенный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 разделов отчёта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Полный реестр позиций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Правило 80 %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Страна происхождения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Внутренние бенчмарки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Офлайн-дашборд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Второй сценарий дашборда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✔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Раунды правок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Обучение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 сессия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Срок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20–25 дн.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25–35 дн.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20–25 дн. приоритет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6"/>
              </w:rPr>
              <w:t>Стоимость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6"/>
              </w:rPr>
              <w:t>220 000 ₽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6"/>
              </w:rPr>
              <w:t>320 000 ₽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6"/>
              </w:rPr>
              <w:t>390 000 ₽</w:t>
            </w:r>
          </w:p>
        </w:tc>
      </w:tr>
    </w:tbl>
    <w:p/>
    <w:p>
      <w:pPr>
        <w:pStyle w:val="Heading2"/>
      </w:pPr>
      <w:r>
        <w:t>4.5. Дополнительные опции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Опция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Стоимость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Дополнительный сценарий дашборда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30 000 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Обновление отчёта и дашборда за 2026 год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90 000 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Дополнительный раунд правок сверх включённых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15 000 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Обучение сотрудников работе с дашбордом и Excel (1 сессия)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20 000 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Срочный режим (18–22 рабочих дня)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+30 % к стоимости пакета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Подготовка данных из 1С/ERP заказчика (вместо сбора с нуля)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−20 000 ₽ и −3–5 дней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Не предлагаются как опции: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презентация, сравнение с 2024 годом, внешние бенчмарки по другим ЛПУ, отдельный блок по российским участникам, выводы и рекомендации, контрактная детализация.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5. Обоснование стоимости</w:t>
      </w:r>
    </w:p>
    <w:p>
      <w:pPr>
        <w:pStyle w:val="Heading2"/>
      </w:pPr>
      <w:r>
        <w:t>5.1. Что определяет цену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Стоимость определяется не количеством страниц, а объёмом ручной и аналитической работы: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1.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Сбор данных из нескольких контуров.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ЕИС 44-ФЗ, ЕИС 223-ФЗ, Портал поставщиков, «Берёзка», сайт учреждения — у каждого свои форматы, карточки и ограничения. Нужно не просто выгрузить контракты, а собрать позиции, спецификации и суммы.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2.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Очистка и дедупликация.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Повторные публикации, лоты, дополнительные соглашения, расторжения, многолетние контракты, смешанные лоты «товар + услуга». Без этого объёмы завышаются, а структура искажается.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3.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Классификация и исключения.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Нужно отделить фармацию, хозяйственные расходы и услуги, не потеряв медицинские товары. Пограничные категории — реагенты, дезинфекция, медмебель, медодежда — требуют отдельного решения и флагов.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4.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Правило 80 %.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Это не сортировка и не «топ-10»: нужно привести номенклатуру к сопоставимому виду, рассчитать накопленные доли, проверить границу 80 % и включить все группы/позиции набора. Ручная проверка 80 % объёма обязательна.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5.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Страна происхождения.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В контрактах страна заполнена не всегда. Нужно сопоставление с регистрационными удостоверениями, производителями, брендами и моделями; для части позиций страна останется «не определена» — это честнее, чем подставлять страну поставщика.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6.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Внутренние ценовые бенчмарки.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Нужно привести цены к единице измерения, убрать выбросы, сопоставить позиции внутри 2025 года, рассчитать медиану, P25/P75, отклонения и потенциал снижения. Внешние источники не используются.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7.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Дашборд.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Это отдельный продукт: проектирование экранов, подготовка данных, фильтры, графики, таблицы, экспорт, темы, печать и проверка совпадения цифр с отчётом. Только на разработку и QA уходит 30–40 часов.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8.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Отчёт и Excel.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Не «выгрузка в таблицу», а печатный документ с таблицами, сверками, проверкой оформления и рабочая книга, пригодная для фильтрации и сводных таблиц.</w:t>
      </w:r>
    </w:p>
    <w:p>
      <w:pPr>
        <w:spacing w:after="40"/>
        <w:ind w:left="369" w:hanging="369"/>
      </w:pPr>
      <w:r>
        <w:rPr>
          <w:rFonts w:ascii="Times New Roman" w:hAnsi="Times New Roman" w:eastAsia="Times New Roman" w:cs="Times New Roman"/>
          <w:b w:val="0"/>
          <w:sz w:val="21"/>
        </w:rPr>
        <w:t>9.</w:t>
        <w:tab/>
      </w:r>
      <w:r>
        <w:rPr>
          <w:rFonts w:ascii="Times New Roman" w:hAnsi="Times New Roman" w:eastAsia="Times New Roman" w:cs="Times New Roman"/>
          <w:b/>
          <w:i w:val="0"/>
          <w:sz w:val="21"/>
        </w:rPr>
        <w:t>QA и правки.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Сверка отчёта, дашборда и Excel, выборочная проверка цифр, 2 раунда правок.</w:t>
      </w:r>
    </w:p>
    <w:p>
      <w:pPr>
        <w:pStyle w:val="Heading2"/>
      </w:pPr>
      <w:r>
        <w:t>5.2. Почему 320 000 ₽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Добавлен дашборд.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Это 30–40 часов отдельной работы: дизайн экранов, фильтры, графики, таблицы, экспорт, темы, печать, QA. Без дашборда проект стоил бы 220 000 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Убраны разделы, которые не нужны заказчику.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Контрактная детализация, отдельный блок по российским участникам, выводы и рекомендации, внешние бенчмарки, сравнение с 2024 годом и презентация исключены. Это снижает трудоёмкость, но не компенсирует разработку дашборда полностью.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Основная ценность — не выгрузка, а приведённая к сопоставимому виду база.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Правило 80 %, страна происхождения, внутренние бенчмарки и реестр позиций требуют ручной проверки и не получаются простым экспортом из ЕИС.</w:t>
      </w:r>
    </w:p>
    <w:p>
      <w:pPr>
        <w:pStyle w:val="Heading2"/>
      </w:pPr>
      <w:r>
        <w:t>5.3. С чем сравнивать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Вариант</w:t>
            </w:r>
          </w:p>
        </w:tc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Диапазон</w:t>
            </w:r>
          </w:p>
        </w:tc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Что реально получает заказчик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Самостоятельный сбор силами сотрудника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150 000 – 300 000 ₽ (время)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60–120 часов работы, без готовой методики, классификатора, дашборда и QA; высокий риск двойного счёта и пропусков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Фрилансер «только парсинг»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70 000 – 150 000 ₽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реестр позиций, часто без классификации, страны и бенчмарков; дашборда нет; доводить до отчёта всё равно заказчику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Сильный фрилансер / мини-команда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250 000 – 400 000 ₽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сбор, нормализация, аналитика, отчёт; дашборд — не всегда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Аналитическое агентство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500 000 – 1 200 000 ₽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полный цикл, но дороже и дольше; результат сложнее переиспользовать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Штатный аналитик на 1,5–2 месяца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250 000 – 400 000 ₽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 налогами и рабочим местом; нужен готовый специалист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Наш пакет «Стандарт» — 320 000 ₽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находится в середине диапазона «сильный фрилансер / мини-команда» и в 1,5–4 раза ниже агентского. При этом в него входят все 8 разделов ТЗ, полный реестр, внутренние бенчмарки и офлайн-дашборд, а не только выгрузка.</w:t>
      </w:r>
    </w:p>
    <w:p>
      <w:pPr>
        <w:pStyle w:val="Heading2"/>
      </w:pPr>
      <w:r>
        <w:t>5.4. Почему не дешевле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Дешёвое предложение обычно закрывает только видимую часть: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выгрузка контрактов без позиционной детализации;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«топ-10» вместо правила 80 %;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страна по стране поставщика, а не по товару;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цены без приведения к единице и без выбросов;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отсутствие сверки «профильные + исключённые = всего»;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отсутствие дашборда или дашборд, который открывается только с сервером;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отсутствие паспорта данных и ограничений.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 результате заказчик получает цифры, которые трудно проверить и опасно использовать в переговорах. Мы делаем результат, который можно проверить: у каждой цифры есть источник, у каждой оценки — пометка, у каждого раздела — методика.</w:t>
      </w:r>
    </w:p>
    <w:p>
      <w:pPr>
        <w:pStyle w:val="Heading2"/>
      </w:pPr>
      <w:r>
        <w:t>5.5. Цена в контексте эффекта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Если профильный объём закупок составляет </w:t>
      </w:r>
      <w:r>
        <w:rPr>
          <w:rFonts w:ascii="Times New Roman" w:hAnsi="Times New Roman" w:eastAsia="Times New Roman" w:cs="Times New Roman"/>
          <w:b/>
          <w:i w:val="0"/>
          <w:sz w:val="21"/>
        </w:rPr>
        <w:t>1 млрд ₽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, то 1 % — это </w:t>
      </w:r>
      <w:r>
        <w:rPr>
          <w:rFonts w:ascii="Times New Roman" w:hAnsi="Times New Roman" w:eastAsia="Times New Roman" w:cs="Times New Roman"/>
          <w:b/>
          <w:i w:val="0"/>
          <w:sz w:val="21"/>
        </w:rPr>
        <w:t>10 млн ₽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. Стоимость пакета «Стандарт» — 320 000 ₽, то есть </w:t>
      </w:r>
      <w:r>
        <w:rPr>
          <w:rFonts w:ascii="Times New Roman" w:hAnsi="Times New Roman" w:eastAsia="Times New Roman" w:cs="Times New Roman"/>
          <w:b/>
          <w:i w:val="0"/>
          <w:sz w:val="21"/>
        </w:rPr>
        <w:t>3,2 % от одного процента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потенциального эффекта. Даже снижение цен на 0,3 % по одной значимой группе даёт около 3 млн ₽ — на порядок больше стоимости отчёта.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Это не гарантия экономии: результат зависит от структуры закупок, конкуренции и условий поставки. Но отчёт и дашборд дают базу для предметного разговора: где цена выше медианы, где максимальный разброс, где высока импортозависимость.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6. Сроки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Этап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Срок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Старт и согласование методики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2–3 рабочих дня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Сбор данных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5–7 рабочих дней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Очистка и классификация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5–7 рабочих дней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Аналитика и внутренние бенчмарки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5–7 рабочих дней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Дашборд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7–10 рабочих дней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Отчёт и Excel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5–7 рабочих дней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Рассмотрение и правки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3–5 рабочих дней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6"/>
              </w:rPr>
              <w:t>Итого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6"/>
              </w:rPr>
              <w:t>25–35 рабочих дней (5–7 недель)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 параллельном выполнении этапов — 25–30 рабочих дней. Срочный режим — 18–22 рабочих дня с надбавкой 30 %.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Срок начинается после получения аванса и всех необходимых данных. Задержка обратной связи заказчика сдвигает срок пропорционально.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7. Условия оплаты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Платёж</w:t>
            </w:r>
          </w:p>
        </w:tc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Сумма</w:t>
            </w:r>
          </w:p>
        </w:tc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Когда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Аванс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50 %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после подписания договора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Финальный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50 %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после подписания акта приёмки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Форма расчётов — безналичный перевод. [Указать: НДС не облагается / включая НДС 20 %.]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Для пакета «Расширенный» возможна разбивка: 40 % — аванс, 30 % — после промежуточной демонстрации дашборда, 30 % — после приёмки.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8. Что не входит в стоимость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покупка платных подписок и баз данных;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юридическая, закупочная и тендерная экспертиза;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участие в закупках от имени заказчика;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аудит исполнения контрактов и проверка поставок;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интеграция с 1С, CRM и BI-платформами (кроме подготовки данных из выгрузки заказчика);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мобильное приложение;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прогнозирование цен и закупок;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подготовка тендерной документации и расчёт НМЦК;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контрактная детализация: карточки, номера, даты и предметы контрактов;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отдельный анализ российских участников конкурсов;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выводы и рекомендации;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сравнение с 2024 годом;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внешние бенчмарки по другим ЛПУ и открытым прайсам;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презентация и защита в формате слайдов;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публикация результатов и передача третьим лицам.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9. Приёмка и гарантии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Приёмка — поэтапная: после сбора/классификации и после финального комплекта.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Включены </w:t>
      </w:r>
      <w:r>
        <w:rPr>
          <w:rFonts w:ascii="Times New Roman" w:hAnsi="Times New Roman" w:eastAsia="Times New Roman" w:cs="Times New Roman"/>
          <w:b/>
          <w:i w:val="0"/>
          <w:sz w:val="21"/>
        </w:rPr>
        <w:t>2 раунда правок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в пределах ТЗ.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Дашборд проверяется на чистой машине без интернета: открывается, фильтры работают, цифры совпадают с отчётом.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Гарантия на корректность сборки: цифры в отчёте, дашборде и Excel воспроизводимы из исходных данных.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Для каждой цифры указывается источник; для каждой оценки — класс достоверности.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Ошибки, допущенные исполнителем, исправляются бесплатно в течение 30 дней после сдачи.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Исполнитель не отвечает за изменения на стороне источников данных и за полноту закрытых закупок.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Результат передаётся для внутреннего использования; перепродажа третьим лицам — по согласованию.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10. Почему это выгодно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Альтернатива</w:t>
            </w:r>
          </w:p>
        </w:tc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Стоимость</w:t>
            </w:r>
          </w:p>
        </w:tc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Самостоятельный сбор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150 000 – 300 000 ₽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время сотрудника, риск ошибок и двойного счёта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Фрилансер «только парсинг»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70 000 – 150 000 ₽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 классификации, страны, бенчмарков и дашборда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Штатный аналитик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250 000 – 400 000 ₽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1,5–2 месяца с налогами и рабочим местом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Агентство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500 000 – 1 200 000 ₽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дольше, дороже, сложнее переиспользовать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6"/>
              </w:rPr>
              <w:t>Наш «Стандарт»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6"/>
              </w:rPr>
              <w:t>320 000 ₽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полное ТЗ, реестр, страна, внутренние бенчмарки, дашборд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Дополнительно: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работа на открытых источниках — без подписок и зависимости от платных сервисов;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дашборд работает офлайн и не требует сервера;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результат остаётся у заказчика в виде Excel, PDF и HTML, его можно обновлять и переиспользовать;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методика и классификатор документированы — следующие периоды и подразделения добавляются быстрее.</w:t>
      </w:r>
    </w:p>
    <w:p>
      <w:pPr>
        <w:spacing w:before="40" w:after="120"/>
        <w:pBdr>
          <w:bottom w:val="single" w:sz="4" w:space="1" w:color="B8C2CC"/>
        </w:pBdr>
      </w:pPr>
    </w:p>
    <w:p>
      <w:pPr>
        <w:pStyle w:val="Heading1"/>
      </w:pPr>
      <w:r>
        <w:t>11. Контакты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[ФИО]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[телефон]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[email]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[telegram]</w:t>
      </w:r>
    </w:p>
    <w:p>
      <w:pPr>
        <w:spacing w:before="40" w:after="120"/>
        <w:pBdr>
          <w:bottom w:val="single" w:sz="4" w:space="1" w:color="B8C2CC"/>
        </w:pBdr>
      </w:pPr>
    </w:p>
    <w:p>
      <w:pPr>
        <w:spacing w:before="40" w:after="120"/>
        <w:pBdr>
          <w:bottom w:val="single" w:sz="4" w:space="1" w:color="B8C2CC"/>
        </w:pBd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90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555F6D"/>
        <w:sz w:val="16"/>
      </w:rPr>
      <w:t xml:space="preserve">Стр. </w:t>
    </w:r>
    <w:r>
      <w:rPr>
        <w:rFonts w:ascii="Times New Roman" w:hAnsi="Times New Roman" w:eastAsia="Times New Roman" w:cs="Times New Roman"/>
        <w:color w:val="555F6D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 w:cs="Times New Roman"/>
        <w:color w:val="555F6D"/>
        <w:sz w:val="16"/>
      </w:rPr>
      <w:t>Коммерческое предложение — анализ закупок МНКЦ им. С.П. Боткина за 2025 год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— анализ закупок МНКЦ им. С.П. Боткина за 2025 год</dc:title>
  <dc:subject/>
  <dc:creator>Аналитический проект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