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Times New Roman" w:hAnsi="Times New Roman" w:eastAsia="Times New Roman" w:cs="Times New Roman"/>
          <w:b/>
          <w:color w:val="555F6D"/>
          <w:sz w:val="24"/>
        </w:rPr>
        <w:t>ТЕХНИЧЕСКОЕ ЗАДАНИЕ</w:t>
      </w:r>
    </w:p>
    <w:p>
      <w:pPr>
        <w:spacing w:before="40" w:after="160"/>
        <w:jc w:val="center"/>
      </w:pPr>
      <w:r>
        <w:rPr>
          <w:rFonts w:ascii="Times New Roman" w:hAnsi="Times New Roman" w:eastAsia="Times New Roman" w:cs="Times New Roman"/>
          <w:b/>
          <w:color w:val="1F3A5F"/>
          <w:sz w:val="42"/>
        </w:rPr>
        <w:t>Анализ структуры закупок МНКЦ им. С.П. Боткина за 2025 год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Статус документа: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проект для согласования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Версия: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2.1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Дата: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19.10.2026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Приложение: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№ 2 к договору (после подписания)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76"/>
        <w:gridCol w:w="4876"/>
      </w:tblGrid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6"/>
              </w:rPr>
              <w:t>Заказчик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[наименование организации]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6"/>
              </w:rPr>
              <w:t>Исполнитель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[ФИО / наименование]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6"/>
              </w:rPr>
              <w:t>Объект анализа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МНКЦ им. С.П. Боткина (полное наименование, ИНН, КПП и перечень обособленных подразделений — Приложение А)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6"/>
              </w:rPr>
              <w:t>Период анализа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01.01.2025 — 31.12.2025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6"/>
              </w:rPr>
              <w:t>Основание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Коммерческое предложение № [номер] от [дата]</w:t>
            </w:r>
          </w:p>
        </w:tc>
      </w:tr>
    </w:tbl>
    <w:p/>
    <w:p>
      <w:r>
        <w:br w:type="page"/>
      </w:r>
    </w:p>
    <w:p>
      <w:pPr>
        <w:pStyle w:val="Heading1"/>
      </w:pPr>
      <w:r>
        <w:t>1. Термины и сокращения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Термин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ЛПУ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лечебно-профилактическое учреждение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ЕИС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Единая информационная система в сфере закупок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44-ФЗ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Федеральный закон от 05.04.2013 № 44-ФЗ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223-ФЗ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Федеральный закон от 18.07.2011 № 223-ФЗ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НМЦК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начальная (максимальная) цена контракта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ОКПД2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Общероссийский классификатор продукции по видам экономической деятельности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КТРУ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Каталог товаров, работ, услуг для обеспечения государственных и муниципальных нужд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Контракт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Заключённый контракт (договор) по 44-ФЗ, 223-ФЗ или в рамках закупок малого объёма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Позиция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Отдельная строка закупки: наименование, единица измерения, количество, цена за единицу, сумма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Товарная группа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Укрупнённая категория однородных товаров (например, «Эндоскопия», «Шовный материал», «Сосудистые изделия»)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Номенклатура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Конкретный товар, приведённый к сопоставимому виду (наименование + ОКПД2/КТРУ + единица измерения + ключевые характеристики)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Правило 80 %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Включение в отчёт всех товарных групп или номенклатурных позиций, которые в сумме дают не менее 80 % объёма закупок в денежном выражении; это не «топ-10»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Внутренний бенчмарк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Сопоставимая цена за единицу, рассчитанная по закупкам самого ЛПУ за 2025 год: средневзвешенная, медиана, минимум, максимум, P25/P75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Дашборд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Интерактивная HTML-страница с данными, таблицами, графиками и фильтрами, работающая офлайн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Страна происхождения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Страна происхождения товара по контракту, спецификации, регистрационному удостоверению или официальным данным производителя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Факт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Значение, полученное из первичного источника без изменений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Значение, рассчитанное, агрегированное или полученное при неполных данных; помечается в отчёте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Дата выгрузки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Дата, на которую зафиксирован срез данных; указывается в отчёте, дашборде и реестре</w:t>
            </w:r>
          </w:p>
        </w:tc>
      </w:tr>
    </w:tbl>
    <w:p/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2. Назначение и цель</w:t>
      </w:r>
    </w:p>
    <w:p>
      <w:pPr>
        <w:pStyle w:val="Heading2"/>
      </w:pPr>
      <w:r>
        <w:t>2.1. Назначение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Дать заказчику объективную картину закупок МНКЦ им. С.П. Боткина за 2025 год в части медицинских товаров, оборудования и расходных материалов — без хозяйственных расходов, фармации и услуг — чтобы определить значимые товарные группы, ключевую номенклатуру, ценовые ориентиры и структуру поставок.</w:t>
      </w:r>
    </w:p>
    <w:p>
      <w:pPr>
        <w:pStyle w:val="Heading2"/>
      </w:pPr>
      <w:r>
        <w:t>2.2. Цель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Получить ответы на следующие вопросы: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Каков общий объём закупок за 2025 год в денежном выражении и какая часть приходится на профильные медицинские товары?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Какова структура закупок по видам: оборудование, расходные материалы, имплантируемые изделия, лабораторные реагенты, медицинская мебель и одежда, прочее?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Какие товарные группы формируют 80 % объёма закупок — полный перечень значимых групп, а не фиксированный «топ-10»?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Какая номенклатура формирует 80 % объёма — полный перечень значимых позиций?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Из каких стран происходят закупаемые товары и какова доля российских и импортных товаров?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6.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Какие цены закупает ЛПУ по ключевой номенклатуре и какой разброс цен существует внутри 2025 года?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7.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Какие позиции являются ключевыми по объёму, частоте закупок и влиянию на затраты?</w:t>
      </w:r>
    </w:p>
    <w:p>
      <w:pPr>
        <w:pStyle w:val="Heading2"/>
      </w:pPr>
      <w:r>
        <w:t>2.3. Потребители результата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Руководство, коммерческая служба, отдел закупок и аналитический блок заказчика. Использование результата — внутреннее.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3. Предмет и состав результата</w:t>
      </w:r>
    </w:p>
    <w:p>
      <w:pPr>
        <w:pStyle w:val="Heading2"/>
      </w:pPr>
      <w:r>
        <w:t>3.1. Предмет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Выполнение работ по сбору, обработке, классификации и анализу данных о закупках МНКЦ им. С.П. Боткина за 2025 год, подготовка аналитического отчёта, интерактивного дашборда и реестра позиций в соответствии с настоящим ТЗ.</w:t>
      </w:r>
    </w:p>
    <w:p>
      <w:pPr>
        <w:pStyle w:val="Heading2"/>
      </w:pPr>
      <w:r>
        <w:t>3.2. Состав результата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№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Результат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Формат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Обязательность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Аналитический отчёт по разделам 6.1–6.8 и 7 настоящего ТЗ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PDF, DOCX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Обязательно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Интерактивный дашборд: таблицы, графики, фильтры, светлая и тёмная темы, печать в PDF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HTML, офлайн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Обязательно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Рабочая книга Excel с таблицами отчёта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XLSX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Обязательно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Реестр позиций (позиционная выгрузка)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XLSX, CSV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Обязательно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Методика и паспорт данных: источники, классификатор, исключения, ограничения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PDF, DOCX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Обязательно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Реестр источников: ссылки, даты выгрузки, охват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XLSX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Обязательно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Инструкция по работе с дашбордом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PDF, DOCX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Обязательно</w:t>
            </w:r>
          </w:p>
        </w:tc>
      </w:tr>
    </w:tbl>
    <w:p/>
    <w:p>
      <w:pPr>
        <w:pStyle w:val="Heading2"/>
      </w:pPr>
      <w:r>
        <w:t>3.3. Принципы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Без детализации по контрактам.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Отчёт и дашборд не содержат карточек контрактов, номеров контрактов, дат заключения, описаний предметов контрактов и контрактной аналитики. Данные контрактов используются только для сбора, дедупликации и проверки; в результат выходят позиции, агрегаты и аналитические срезы.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Одна цифра — один источник.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Для каждого агрегата должна быть возможность перейти к строке реестра или к исходному источнику. Все оценочные значения помечаются отдельно.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Правило 80 % без подмены.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Для категорий и номенклатуры включаются все группы/позиции до достижения 80 % объёма, а не фиксированный «топ-10».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Только внутренние бенчмарки.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Цены сравниваются с ценами самого ЛПУ за 2025 год. Сравнение с другими ЛПУ и внешними прайсами не выполняется.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4. Границы исследования</w:t>
      </w:r>
    </w:p>
    <w:p>
      <w:pPr>
        <w:pStyle w:val="Heading2"/>
      </w:pPr>
      <w:r>
        <w:t>4.1. Период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01.01.2025 — 31.12.2025. Учёт — по дате заключения контракта. Если данных о дате заключения нет, используется дата публикации контракта в источнике; способ фиксируется в паспорте данных.</w:t>
      </w:r>
    </w:p>
    <w:p>
      <w:pPr>
        <w:pStyle w:val="Heading2"/>
      </w:pPr>
      <w:r>
        <w:t>4.2. Объект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МНКЦ им. С.П. Боткина и его обособленные подразделения, закупки которых публикуются от имени учреждения или его филиалов. Полный перечень подразделений и ИНН/КПП фиксируется в Приложении А.</w:t>
      </w:r>
    </w:p>
    <w:p>
      <w:pPr>
        <w:pStyle w:val="Heading2"/>
      </w:pPr>
      <w:r>
        <w:t>4.3. Что включается в анализ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медицинское оборудование: визуализация (МРТ, КТ, рентген, маммография), УЗИ, эндоскопия, лабораторное оборудование, ИВЛ и анестезия, мониторинг, кардио- и радиотерапевтическое, хирургическое, стерилизационное и иное медицинское оборудование;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расходные материалы: эндоскопические, шовные, сосудистые (стенты, катетеры, проводники), имплантируемые изделия и металлоконструкции, инфузионно-инъекционные, лабораторные, дезинфекция и стерилизация, одноразовые изделия медицинского назначения, офтальмологические, диализные, урологические и иные расходные материалы;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лабораторные реагенты и расходные материалы для лабораторий — с отдельным флагом «пограничная категория»;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медицинская мебель и медицинская одежда — только если подтверждено медицинское назначение; с отдельным флагом;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прочие товары медицинского назначения, если они относятся к профилю и не попадают в исключения.</w:t>
      </w:r>
    </w:p>
    <w:p>
      <w:pPr>
        <w:pStyle w:val="Heading2"/>
      </w:pPr>
      <w:r>
        <w:t>4.4. Что исключается из основного анализа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Фармация и лекарственные препараты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: лекарственные средства, включая растворы, зарегистрированные как лекарственные препараты (ОКПД2 21), витамины, вакцины, препараты крови и т. п.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Хозяйственные расходы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: канцелярия, офисная мебель, хозяйственные товары, бытовая техника, продукты питания, вода, спецодежда без медицинского назначения, коммунальные услуги, связь, IT-оборудование общего назначения, программное обеспечение, автотранспорт, топливо, строительные материалы, ремонт помещений.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Услуги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: техническое обслуживание и ремонт оборудования, обучение, логистика, утилизация, клининг, охрана, строительство, капитальный ремонт, медицинские услуги, услуги связи, банковские, аудиторские, юридические и иные услуги.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Работы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: строительно-монтажные, проектные, пусконаладочные и иные работы, если они не являются неотъемлемой частью поставки товара.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Иные закупки, не относящиеся к медицинским товарам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: всё, что не проходит классификатор профиля, фиксируется в листе «Исключения» с указанием причины.</w:t>
      </w:r>
    </w:p>
    <w:p>
      <w:pPr>
        <w:pStyle w:val="Heading2"/>
      </w:pPr>
      <w:r>
        <w:t>4.5. Спорные и пограничные категории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 пограничным относятся: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лабораторные реагенты;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дезинфицирующие средства и антисептики;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медицинская мебель;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медицинская одежда и бельё;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запасные части и расходные материалы к медицинскому оборудованию;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программное обеспечение и лицензии для медицинского оборудования;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смешанные лоты «товар + услуга».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Правило: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пограничные категории включаются в общий реестр и в общую сумму, но </w:t>
      </w:r>
      <w:r>
        <w:rPr>
          <w:rFonts w:ascii="Times New Roman" w:hAnsi="Times New Roman" w:eastAsia="Times New Roman" w:cs="Times New Roman"/>
          <w:b/>
          <w:i w:val="0"/>
          <w:sz w:val="21"/>
        </w:rPr>
        <w:t>выделяются отдельным признаком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</w:t>
      </w:r>
      <w:r>
        <w:rPr>
          <w:rFonts w:ascii="Consolas" w:hAnsi="Consolas" w:eastAsia="Consolas" w:cs="Consolas"/>
          <w:b w:val="0"/>
          <w:i w:val="0"/>
          <w:sz w:val="21"/>
        </w:rPr>
        <w:t>scope = borderline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. В отчёте и дашборде они показываются отдельной строкой/разделом, чтобы заказчик видел структуру как с пограничными, так и без них. Если заказчик хочет видеть только «чистый» медицинский профиль, он может отфильтровать пограничные категории.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Смешанные лоты.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Если в контракте есть и товар, и услуга/работа, и позиции разделимы — в анализ включается товарная часть, услуга/работа относится в исключения с указанием суммы. Если разделить нельзя — контракт включается целиком с флагом «смешанный лот» и пояснением; сумма услуг оценивается и показывается справочно.</w:t>
      </w:r>
    </w:p>
    <w:p>
      <w:pPr>
        <w:pStyle w:val="Heading2"/>
      </w:pPr>
      <w:r>
        <w:t>4.6. Территориальные рамки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Закупки ЛПУ в Российской Федерации, независимо от региона поставщика.</w:t>
      </w:r>
    </w:p>
    <w:p>
      <w:pPr>
        <w:pStyle w:val="Heading2"/>
      </w:pPr>
      <w:r>
        <w:t>4.7. Денежная единица и НДС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Все суммы — в рублях РФ. Цены приводятся с НДС, как в контракте. Для товаров с разными ставками НДС дополнительно рассчитывается цена без НДС; методика фиксируется в паспорте данных. Иностранная валюта пересчитывается в рубли по курсу ЦБ РФ на дату заключения контракта; факт пересчёта помечается.</w:t>
      </w:r>
    </w:p>
    <w:p>
      <w:pPr>
        <w:pStyle w:val="Heading2"/>
      </w:pPr>
      <w:r>
        <w:t>4.8. Что не анализируется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Контрактная детализация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: карточки контрактов, номера и даты контрактов, предметы контрактов, топ контрактов, динамика по контрактам. Эти данные используются только внутри процесса сбора и проверки.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Внешние бенчмарки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: сравнение с другими ЛПУ, открытыми прайсами и коммерческими предложениями поставщиков не выполняется.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Сравнение с 2024 годом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и другими периодами.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Отдельный блок о российских участниках конкурсов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: доля российских поставщиков, российских производителей и участников процедур отдельно не анализируется. Страна происхождения товара при этом определяется.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Выводы и рекомендации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: отчёт и дашборд носят описательный характер и не содержат управленческих выводов или рекомендаций.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Презентация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и защита в формате слайдов.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5. Требования к данным</w:t>
      </w:r>
    </w:p>
    <w:p>
      <w:pPr>
        <w:pStyle w:val="Heading2"/>
      </w:pPr>
      <w:r>
        <w:t>5.1. Источники данных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Работа ведётся на открытых и бесплатных источниках. Платные подписки и базы данных не приобретаются.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Приоритет</w:t>
            </w:r>
          </w:p>
        </w:tc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Источник</w:t>
            </w:r>
          </w:p>
        </w:tc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Что используется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ЕИС, реестр контрактов 44-ФЗ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позиции, спецификации, суммы, поставщики, статусы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ЕИС, реестр договоров 223-ФЗ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позиции, спецификации, суммы, поставщики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Портал поставщиков (zakupki.mos.ru)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закупки малого объёма, котировочные сессии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ЕАТ «Берёзка»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закупки малого объёма, если применимо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Официальный сайт учреждения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раздел закупок, положения о закупках, документы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Госреестр медизделий Росздравнадзора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регистрационные удостоверения, производитель, страна, модель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Внутренние данные ЛПУ (при передаче)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сверка, обогащение, недостающие позиции; формат — Excel/CSV/1С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Внешние прайсы, каталоги поставщиков и коммерческие предложения как источник цен </w:t>
      </w:r>
      <w:r>
        <w:rPr>
          <w:rFonts w:ascii="Times New Roman" w:hAnsi="Times New Roman" w:eastAsia="Times New Roman" w:cs="Times New Roman"/>
          <w:b/>
          <w:i w:val="0"/>
          <w:sz w:val="21"/>
        </w:rPr>
        <w:t>не используются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.</w:t>
      </w:r>
    </w:p>
    <w:p>
      <w:pPr>
        <w:pStyle w:val="Heading2"/>
      </w:pPr>
      <w:r>
        <w:t>5.2. Единица учёта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Позиция. Каждая строка реестра — одна позиция закупки. Контракт используется как технический контейнер для сбора, дедупликации и сверки; в отчёт и дашборд контрактная детализация не выводится.</w:t>
      </w:r>
    </w:p>
    <w:p>
      <w:pPr>
        <w:pStyle w:val="Heading2"/>
      </w:pPr>
      <w:r>
        <w:t>5.3. Полнота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Целевой охват — </w:t>
      </w:r>
      <w:r>
        <w:rPr>
          <w:rFonts w:ascii="Times New Roman" w:hAnsi="Times New Roman" w:eastAsia="Times New Roman" w:cs="Times New Roman"/>
          <w:b/>
          <w:i w:val="0"/>
          <w:sz w:val="21"/>
        </w:rPr>
        <w:t>не менее 95 % стоимости закупок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ЛПУ за 2025 год по профилю исследования. Для контроля проводится выборочная сверка не менее 20 контрактов (или 5 % контрактов, если их меньше 400) с первичным источником. Результат сверки оформляется в паспорте данных.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Если источник не публикует часть закупок малого объёма, это фиксируется как ограничение; исполнитель не отвечает за отсутствие данных, которые не опубликованы.</w:t>
      </w:r>
    </w:p>
    <w:p>
      <w:pPr>
        <w:pStyle w:val="Heading2"/>
      </w:pPr>
      <w:r>
        <w:t>5.4. Обязательные поля реестра позиций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Блок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Поля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Позиция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position_id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, исходное наименование, нормализованное наименование, ОКПД2, КТРУ, единица измерения (исходная/нормализованная), количество, цена за единицу, сумма позиции, НДС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Товар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страна происхождения, производитель, бренд, модель, регистрационное удостоверение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Поставщик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наименование, ИНН, КПП, регион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Классификация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scope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(main / borderline / excluded), причина исключения, категория L1, L2, L3, признак «смешанный лот»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Качество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confidence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(факт / оценка), комментарий, источник атрибуции, признак дубля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Источник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ссылка на исходный источник, дата выгрузки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Не включаются в реестр: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номер контракта, дата контракта, предмет контракта, цена контракта, статус контракта, карточка контракта. Эти данные остаются во внутренней рабочей базе исполнителя для проверки, но не передаются в составе результата.</w:t>
      </w:r>
    </w:p>
    <w:p>
      <w:pPr>
        <w:pStyle w:val="Heading2"/>
      </w:pPr>
      <w:r>
        <w:t>5.5. Нормализация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Обязательные преобразования: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приведение единиц измерения к базовым (шт., мл, г, м, упаковка) с сохранением исходного значения;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разделение цены за упаковку и цены за единицу;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устранение дублей: повторные публикации, лоты, дополнительные соглашения, расторжения, перепубликации;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отсечение позиций, не относящихся к профилю;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приведение наименований к сопоставимому виду без потери ключевых характеристик;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6.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привязка к месяцу и кварталу 2025 года;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7.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обработка многолетних контрактов и рамочных договоров — только для корректного учёта позиций; в отчёт контрактная детализация не выводится.</w:t>
      </w:r>
    </w:p>
    <w:p>
      <w:pPr>
        <w:pStyle w:val="Heading2"/>
      </w:pPr>
      <w:r>
        <w:t>5.6. Классификация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Основа — ОКПД2 и КТРУ; для позиций без кодов — нормализованное наименование и ключевые слова.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Иерархия: </w:t>
      </w:r>
      <w:r>
        <w:rPr>
          <w:rFonts w:ascii="Times New Roman" w:hAnsi="Times New Roman" w:eastAsia="Times New Roman" w:cs="Times New Roman"/>
          <w:b/>
          <w:i w:val="0"/>
          <w:sz w:val="21"/>
        </w:rPr>
        <w:t>L1 — вид закупки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, </w:t>
      </w:r>
      <w:r>
        <w:rPr>
          <w:rFonts w:ascii="Times New Roman" w:hAnsi="Times New Roman" w:eastAsia="Times New Roman" w:cs="Times New Roman"/>
          <w:b/>
          <w:i w:val="0"/>
          <w:sz w:val="21"/>
        </w:rPr>
        <w:t>L2 — товарная группа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, </w:t>
      </w:r>
      <w:r>
        <w:rPr>
          <w:rFonts w:ascii="Times New Roman" w:hAnsi="Times New Roman" w:eastAsia="Times New Roman" w:cs="Times New Roman"/>
          <w:b/>
          <w:i w:val="0"/>
          <w:sz w:val="21"/>
        </w:rPr>
        <w:t>L3 — номенклатурная позиция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Каждой позиции присваивается </w:t>
      </w:r>
      <w:r>
        <w:rPr>
          <w:rFonts w:ascii="Consolas" w:hAnsi="Consolas" w:eastAsia="Consolas" w:cs="Consolas"/>
          <w:b w:val="0"/>
          <w:i w:val="0"/>
          <w:sz w:val="21"/>
        </w:rPr>
        <w:t>scope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sz w:val="21"/>
        </w:rPr>
        <w:t>main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(основной профиль), </w:t>
      </w:r>
      <w:r>
        <w:rPr>
          <w:rFonts w:ascii="Consolas" w:hAnsi="Consolas" w:eastAsia="Consolas" w:cs="Consolas"/>
          <w:b w:val="0"/>
          <w:i w:val="0"/>
          <w:sz w:val="21"/>
        </w:rPr>
        <w:t>borderline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(пограничная), </w:t>
      </w:r>
      <w:r>
        <w:rPr>
          <w:rFonts w:ascii="Consolas" w:hAnsi="Consolas" w:eastAsia="Consolas" w:cs="Consolas"/>
          <w:b w:val="0"/>
          <w:i w:val="0"/>
          <w:sz w:val="21"/>
        </w:rPr>
        <w:t>excluded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(исключено).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Позиции, которые не удалось классифицировать автоматически, проходят ручную проверку. Для 80 % объёма ручная проверка обязательна.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Классификатор и правила отнесения фиксируются в Приложении Б и паспорте данных. Изменение классификатора после согласования этапа 2 — отдельная работа.</w:t>
      </w:r>
    </w:p>
    <w:p>
      <w:pPr>
        <w:pStyle w:val="Heading2"/>
      </w:pPr>
      <w:r>
        <w:t>5.7. Страна происхождения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Приоритет — поле страны происхождения в контракте/спецификации.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Если поле не заполнено — страна определяется по регистрационному удостоверению, официальным данным производителя, бренду/модели и документации к товару.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Если страну определить нельзя — указывается «не определена»; запрещается подставлять страну по догадке или по стране поставщика.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Для каждой позиции фиксируется источник атрибуции и </w:t>
      </w:r>
      <w:r>
        <w:rPr>
          <w:rFonts w:ascii="Consolas" w:hAnsi="Consolas" w:eastAsia="Consolas" w:cs="Consolas"/>
          <w:b w:val="0"/>
          <w:i w:val="0"/>
          <w:sz w:val="21"/>
        </w:rPr>
        <w:t>confidence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(факт / оценка).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Целевой охват — </w:t>
      </w:r>
      <w:r>
        <w:rPr>
          <w:rFonts w:ascii="Times New Roman" w:hAnsi="Times New Roman" w:eastAsia="Times New Roman" w:cs="Times New Roman"/>
          <w:b/>
          <w:i w:val="0"/>
          <w:sz w:val="21"/>
        </w:rPr>
        <w:t>не менее 70 % стоимости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профильных закупок с определённой страной. Если охват ниже, в отчёте указывается фактический охват, причины и перечень крупнейших неатрибутированных позиций. Снижение охвата из-за отсутствия данных в источниках не является нарушением, если методика соблюдена.</w:t>
      </w:r>
    </w:p>
    <w:p>
      <w:pPr>
        <w:pStyle w:val="Heading2"/>
      </w:pPr>
      <w:r>
        <w:t>5.8. Внутренние ценовые бенчмарки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Рассчитываются </w:t>
      </w:r>
      <w:r>
        <w:rPr>
          <w:rFonts w:ascii="Times New Roman" w:hAnsi="Times New Roman" w:eastAsia="Times New Roman" w:cs="Times New Roman"/>
          <w:b/>
          <w:i w:val="0"/>
          <w:sz w:val="21"/>
        </w:rPr>
        <w:t>только по закупкам ЛПУ за 2025 год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. Сравнение с другими ЛПУ и внешними прайсами не выполняется.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Метрики по каждой ключевой позиции:</w:t>
      </w:r>
    </w:p>
    <w:p>
      <w:pPr>
        <w:pStyle w:val="ListBullet2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средневзвешенная цена;</w:t>
      </w:r>
    </w:p>
    <w:p>
      <w:pPr>
        <w:pStyle w:val="ListBullet2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медиана;</w:t>
      </w:r>
    </w:p>
    <w:p>
      <w:pPr>
        <w:pStyle w:val="ListBullet2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минимум и максимум;</w:t>
      </w:r>
    </w:p>
    <w:p>
      <w:pPr>
        <w:pStyle w:val="ListBullet2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P25 и P75;</w:t>
      </w:r>
    </w:p>
    <w:p>
      <w:pPr>
        <w:pStyle w:val="ListBullet2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количество закупок (позиций) и поставщиков;</w:t>
      </w:r>
    </w:p>
    <w:p>
      <w:pPr>
        <w:pStyle w:val="ListBullet2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разброс цен (max/min, коэффициент вариации).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Потенциал снижения к медиане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sz w:val="21"/>
        </w:rPr>
        <w:t>(средневзвешенная цена − медиана) × количество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, если средневзвешенная выше медианы.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Потенциал снижения к минимуму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: </w:t>
      </w:r>
      <w:r>
        <w:rPr>
          <w:rFonts w:ascii="Consolas" w:hAnsi="Consolas" w:eastAsia="Consolas" w:cs="Consolas"/>
          <w:b w:val="0"/>
          <w:i w:val="0"/>
          <w:sz w:val="21"/>
        </w:rPr>
        <w:t>(средневзвешенная цена − минимум) × количество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, если средневзвешенная выше минимума.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Потенциал является </w:t>
      </w:r>
      <w:r>
        <w:rPr>
          <w:rFonts w:ascii="Times New Roman" w:hAnsi="Times New Roman" w:eastAsia="Times New Roman" w:cs="Times New Roman"/>
          <w:b/>
          <w:i w:val="0"/>
          <w:sz w:val="21"/>
        </w:rPr>
        <w:t>оценкой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, а не гарантией экономии; учитываются ограничения по условиям поставки, срокам, гарантии и комплектации.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6.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Выбросы (ниже P5 или выше P95) анализируются отдельно; причины указываются.</w:t>
      </w:r>
    </w:p>
    <w:p>
      <w:pPr>
        <w:pStyle w:val="Heading2"/>
      </w:pPr>
      <w:r>
        <w:t>5.9. Классы достоверности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Каждое значение в отчёте, дашборде и реестре сопровождается признаком: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факт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данные первичного источника без изменений;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оценка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расчётное, агрегированное или неполное значение.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 шапке отчёта, на каждом экране дашборда и на каждом листе Excel приводится расшифровка. Оценочные значения не предназначены для официальной отчётности.</w:t>
      </w:r>
    </w:p>
    <w:p>
      <w:pPr>
        <w:pStyle w:val="Heading2"/>
      </w:pPr>
      <w:r>
        <w:t>5.10. Ограничения данных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Исполнитель отвечает за корректность сбора и обработки в рамках согласованной методики, но </w:t>
      </w:r>
      <w:r>
        <w:rPr>
          <w:rFonts w:ascii="Times New Roman" w:hAnsi="Times New Roman" w:eastAsia="Times New Roman" w:cs="Times New Roman"/>
          <w:b/>
          <w:i w:val="0"/>
          <w:sz w:val="21"/>
        </w:rPr>
        <w:t>не отвечает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за: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полноту и достоверность сведений, публикуемых первичными источниками;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отсутствие в источниках закрытых закупок и закупок, не подлежащих публикации;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изменения данных после даты выгрузки;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невозможность определить страну/производителя, если этих данных нет в документации;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неполноту сведений об участниках процедур, если публикуются только победители.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6. Требования к аналитике</w:t>
      </w:r>
    </w:p>
    <w:p>
      <w:pPr>
        <w:pStyle w:val="Heading2"/>
      </w:pPr>
      <w:r>
        <w:t>6.1. Общий объём закупок за 2025 год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Обязательные показатели: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общая сумма всех закупок ЛПУ за 2025 год (справочно);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сумма профильных закупок;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сумма исключённых закупок по причинам: фармация, хозяйственные расходы, услуги, работы, прочее;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доля профильных закупок в общей сумме;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количество позиций и поставщиков;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средняя и медианная сумма позиции;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динамика по месяцам и кварталам;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таблица сверки: «профильные + исключённые = всего», с отклонением не более 1 %.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Требование: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общий объём показывается в двух разрезах: (а) все закупки ЛПУ, (б) профильные закупки. Контрактная детализация не выводится.</w:t>
      </w:r>
    </w:p>
    <w:p>
      <w:pPr>
        <w:pStyle w:val="Heading2"/>
      </w:pPr>
      <w:r>
        <w:t>6.2. Структура закупок по видам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Таблица и диаграмма по укрупнённым видам: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медицинское оборудование;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расходные материалы;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имплантируемые изделия и металлоконструкции;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лабораторные реагенты и расходные материалы;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медицинская мебель и одежда;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6.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прочие медицинские товары;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7.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пограничные категории (отдельной строкой).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Для каждого вида: сумма, доля, количество позиций, количество поставщиков, средняя сумма позиции. Дополнительно — разрез по способу закупки: 44-ФЗ, 223-ФЗ, закупки малого объёма, иные.</w:t>
      </w:r>
    </w:p>
    <w:p>
      <w:pPr>
        <w:pStyle w:val="Heading2"/>
      </w:pPr>
      <w:r>
        <w:t>6.3. Категории закупок по правилу 80 %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Правило.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Товарные группы сортируются по сумме закупок за 2025 год по убыванию. В отчёт включаются все группы, которые в сумме дают </w:t>
      </w:r>
      <w:r>
        <w:rPr>
          <w:rFonts w:ascii="Times New Roman" w:hAnsi="Times New Roman" w:eastAsia="Times New Roman" w:cs="Times New Roman"/>
          <w:b/>
          <w:i w:val="0"/>
          <w:sz w:val="21"/>
        </w:rPr>
        <w:t>не менее 80 %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профильного объёма. Количество групп не фиксируется и не ограничивается десятью.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Алгоритм: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Рассчитать сумму по каждой группе L2.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Отсортировать по убыванию.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Рассчитать накопленную долю.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Определить минимальное число групп </w:t>
      </w:r>
      <w:r>
        <w:rPr>
          <w:rFonts w:ascii="Consolas" w:hAnsi="Consolas" w:eastAsia="Consolas" w:cs="Consolas"/>
          <w:b w:val="0"/>
          <w:i w:val="0"/>
          <w:sz w:val="21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, при котором накопленная доля ≥ 80 %.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Включить все группы с 1-й по </w:t>
      </w:r>
      <w:r>
        <w:rPr>
          <w:rFonts w:ascii="Consolas" w:hAnsi="Consolas" w:eastAsia="Consolas" w:cs="Consolas"/>
          <w:b w:val="0"/>
          <w:i w:val="0"/>
          <w:sz w:val="21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-ю. Если на границе 80 % несколько групп имеют одинаковую сумму, включить все группы с этой суммой.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6.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Показать фактическую накопленную долю (она может быть больше 80 %).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7.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Группы за пределами 80 % не включаются в основную таблицу, но остаются в Excel и дашборде.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Обязательные столбцы таблицы: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№;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товарная группа;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сумма, ₽;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доля, %;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накопленная доля, %;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количество позиций;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количество поставщиков;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средняя сумма позиции, ₽;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комментарий.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Требования: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диаграмма Парето с линией 80 %;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текстовое описание каждой группы: что входит, кто поставляет, какая динамика, на что обратить внимание;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явная пометка, что это не «топ-10», а все группы до достижения 80 %;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если 80 % достигается на 8 группах — в таблице 8 групп; если на 27 — 27 групп.</w:t>
      </w:r>
    </w:p>
    <w:p>
      <w:pPr>
        <w:pStyle w:val="Heading2"/>
      </w:pPr>
      <w:r>
        <w:t>6.4. Топ номенклатуры по правилу 80 %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Правило.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Номенклатурные позиции сортируются по сумме за 2025 год по убыванию. В отчёт включаются все позиции, которые в сумме дают </w:t>
      </w:r>
      <w:r>
        <w:rPr>
          <w:rFonts w:ascii="Times New Roman" w:hAnsi="Times New Roman" w:eastAsia="Times New Roman" w:cs="Times New Roman"/>
          <w:b/>
          <w:i w:val="0"/>
          <w:sz w:val="21"/>
        </w:rPr>
        <w:t>не менее 80 %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профильного объёма. Количество позиций не фиксируется.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Требования к сопоставимости: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одна позиция = один товар с одинаковым ОКПД2/КТРУ, единицей измерения и ключевыми характеристиками;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разные фасовки, модели и комплектации не объединяются;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упаковка пересчитывается в цену за единицу;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позиции с неполными характеристиками объединяются на уровне «наименование + единица» и помечаются </w:t>
      </w:r>
      <w:r>
        <w:rPr>
          <w:rFonts w:ascii="Consolas" w:hAnsi="Consolas" w:eastAsia="Consolas" w:cs="Consolas"/>
          <w:b w:val="0"/>
          <w:i w:val="0"/>
          <w:sz w:val="21"/>
        </w:rPr>
        <w:t>confidence = оценка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Обязательные столбцы: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№;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номенклатура;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ОКПД2/КТРУ;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единица измерения;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количество;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сумма, ₽;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доля, %;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накопленная доля, %;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средняя цена;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медиана;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количество поставщиков;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страна;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категория.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Требования: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диаграмма Парето с линией 80 %;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полный 80 %-набор в Excel и дашборде; в отчёте — таблица всех позиций набора (длинная таблица может быть вынесена в приложение);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пояснение, почему позиция считается ключевой: объём, частота, импортозависимость, цена;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не заменять 80 %-набор на «топ-10» или «топ-20».</w:t>
      </w:r>
    </w:p>
    <w:p>
      <w:pPr>
        <w:pStyle w:val="Heading2"/>
      </w:pPr>
      <w:r>
        <w:t>6.5. Страна происхождения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Обязательные таблицы: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Сводка по странам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: страна, сумма, доля, количество позиций, количество поставщиков, основные категории, </w:t>
      </w:r>
      <w:r>
        <w:rPr>
          <w:rFonts w:ascii="Consolas" w:hAnsi="Consolas" w:eastAsia="Consolas" w:cs="Consolas"/>
          <w:b w:val="0"/>
          <w:i w:val="0"/>
          <w:sz w:val="21"/>
        </w:rPr>
        <w:t>confidence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Россия / импорт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: доля российских товаров, доля импортных, доля «не определена».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По категориям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: доля импорта в каждой значимой товарной группе (80 %-набор).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Крупнейшие неатрибутированные позиции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: наименование, сумма, причина отсутствия страны.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Требования: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не подставлять страну по стране поставщика;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для каждой страны указывать источник атрибуции;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отдельно показать «не определена» и не включать её в доли России/импорта без пояснения;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если охват ниже 70 %, указать фактический охват и ограничения.</w:t>
      </w:r>
    </w:p>
    <w:p>
      <w:pPr>
        <w:pStyle w:val="Heading2"/>
      </w:pPr>
      <w:r>
        <w:t>6.6. Внутренние ценовые бенчмарки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Обязательная таблица по ключевой номенклатуре (80 %-набор; в печатной версии — не менее 30 ключевых позиций, полный набор — в Excel и дашборде):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Обязательные столбцы: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№;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номенклатура;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единица измерения;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количество за 2025 год;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сумма, ₽;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средневзвешенная цена;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медиана;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минимум;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максимум;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P25;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P75;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количество закупок;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количество поставщиков;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отклонение от медианы, %;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потенциал снижения к медиане, ₽;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потенциал снижения к минимуму, ₽;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confidence.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Требования: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методика расчёта цен и выбросов — в паспорте данных;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только внутренние бенчмарки, без сравнения с другими ЛПУ и внешними прайсами;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потенциал снижения — только оценка, с формулой и допущениями;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отдельный список выбросов и нестандартных позиций;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пояснения по ценовому разбросу: где разброс максимален, где средневзвешенная цена выше медианы, где данных недостаточно;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запрещается утверждать, что «цена завышена», без сопоставимых данных и учёта условий поставки.</w:t>
      </w:r>
    </w:p>
    <w:p>
      <w:pPr>
        <w:pStyle w:val="Heading2"/>
      </w:pPr>
      <w:r>
        <w:t>6.7. Ключевая номенклатура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Таблица ключевых позиций (80 %-набор) с карточкой по каждой позиции: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наименование, ОКПД2/КТРУ, единица измерения;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количество и сумма за 2025 год, доля и накопленная доля;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средняя, медианная, минимальная и максимальная цена;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количество поставщиков;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страна, производитель, бренд, модель (если определены);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категория L1/L2;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отклонение от медианы и потенциал снижения;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комментарий: почему позиция ключевая и какие особенности закупки нужно учитывать.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 отчёте — все позиции 80 %-набора; при большом количестве строк допускается вынести полную таблицу в приложение, а в основном тексте оставить сводку и топ-50 для чтения. Полный перечень — в Excel и дашборде.</w:t>
      </w:r>
    </w:p>
    <w:p>
      <w:pPr>
        <w:pStyle w:val="Heading2"/>
      </w:pPr>
      <w:r>
        <w:t>6.8. Реестр позиций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Реестр — полная построчная выгрузка всех профильных позиций за 2025 год. Требования: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одна строка = одна позиция;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все обязательные поля из раздела 5.4;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уникальный </w:t>
      </w:r>
      <w:r>
        <w:rPr>
          <w:rFonts w:ascii="Consolas" w:hAnsi="Consolas" w:eastAsia="Consolas" w:cs="Consolas"/>
          <w:b w:val="0"/>
          <w:i w:val="0"/>
          <w:sz w:val="21"/>
        </w:rPr>
        <w:t>position_id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ссылка на источник и дата выгрузки;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фильтры, закреплённые шапки, итоговые строки;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отсутствие объединённых ячеек в таблице данных;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отдельный лист «Исключения» с причиной исключения и суммой;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отдельный лист «Сверка» с расхождением сумм;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объём: все позиции, а не только 80 %-набор;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без номеров и дат контрактов, без карточек контрактов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7. Требования к отчёту</w:t>
      </w:r>
    </w:p>
    <w:p>
      <w:pPr>
        <w:pStyle w:val="Heading2"/>
      </w:pPr>
      <w:r>
        <w:t>7.1. Структура отчёта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Титульный лист.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Основные показатели (1–2 страницы): ключевые цифры, структура, значимые группы, страна происхождения, ценовые диапазоны, ограничения. Раздел носит описательный характер и не содержит выводов и рекомендаций.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Методика и источники (2–3 страницы): период, дата выгрузки, охват, исключения, классы достоверности, ограничения.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Общий объём закупок за 2025 год (2–3 страницы).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Структура закупок по видам (3–5 страниц).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6.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Категории закупок по правилу 80 % (4–6 страниц).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7.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Топ номенклатуры по правилу 80 % (4–6 страниц).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8.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Страна происхождения (3–4 страницы).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9.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Внутренние ценовые бенчмарки (4–6 страниц).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10.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Ключевая номенклатура (4–6 страниц).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Приложения: глоссарий, классификатор, паспорт данных, реестр источников, таблицы.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Ориентировочный объём — 30–45 страниц без приложений. Если объём 80 %-набора большой, таблицы выносятся в приложение, а в основном тексте остаются сводки и комментарии.</w:t>
      </w:r>
    </w:p>
    <w:p>
      <w:pPr>
        <w:pStyle w:val="Heading2"/>
      </w:pPr>
      <w:r>
        <w:t>7.2. Требования к оформлению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язык — русский;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формат — A4, книжная ориентация; широкие таблицы — альбомная;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шрифт — читаемый (например, Times New Roman / Arial), кегль основного текста 10–12;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сквозная нумерация страниц, колонтитулы с названием отчёта и датой выгрузки;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оглавление с интерактивными закладками в PDF;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каждая таблица — номер, название, единицы измерения, источник, период, примечания;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каждый рисунок — номер, название, источник;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сноски для оценочных значений;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отсутствие обрезки таблиц и графиков при печати;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повтор шапок таблиц на каждой странице;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разрывы страниц по разделам;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единый визуальный стиль графиков, читаемые подписи и единицы;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цветовая схема — нейтральная, пригодная для чёрно-белой печати.</w:t>
      </w:r>
    </w:p>
    <w:p>
      <w:pPr>
        <w:pStyle w:val="Heading2"/>
      </w:pPr>
      <w:r>
        <w:t>7.3. Требования к нейтральности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Отчёт и дашборд носят описательный характер: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не содержат выводов и рекомендаций;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не содержат юридических и тендерных заключений;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не содержат оценок конкретных поставщиков и рекомендаций по выбору победителя;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разделяют «факты» и «оценки»;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содержат ограничения и риски интерпретации данных.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8. Требования к дашборду</w:t>
      </w:r>
    </w:p>
    <w:p>
      <w:pPr>
        <w:pStyle w:val="Heading2"/>
      </w:pPr>
      <w:r>
        <w:t>8.1. Общие требования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Дашборд — </w:t>
      </w:r>
      <w:r>
        <w:rPr>
          <w:rFonts w:ascii="Times New Roman" w:hAnsi="Times New Roman" w:eastAsia="Times New Roman" w:cs="Times New Roman"/>
          <w:b/>
          <w:i w:val="0"/>
          <w:sz w:val="21"/>
        </w:rPr>
        <w:t>статический HTML-файл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, открывается в браузере без сервера и без интернета.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Не требует установки, регистрации и платных подписок.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Совместимость: Chrome, Edge, Firefox актуальных версий на Windows.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Все данные встроены в файл; внешние CDN и API не используются.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Время открытия — не более 10 секунд; отзывчивость фильтров — не более 3 секунд на полном объёме данных.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6.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Светлая, тёмная и системная темы; переключение без перезагрузки.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7.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Кнопка «Печать / PDF»; печать всегда в светлой теме, A4, без обрезки таблиц и графиков.</w:t>
      </w:r>
    </w:p>
    <w:p>
      <w:pPr>
        <w:pStyle w:val="Heading2"/>
      </w:pPr>
      <w:r>
        <w:t>8.2. Обязательные экраны/разделы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Основные показатели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KPI-карточки: общий объём, профильный объём, исключения, количество позиций, количество поставщиков, доля российских товаров.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Структура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по видам, способам закупки, динамика по месяцам/кварталам.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Категории 80 %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таблица, Pareto с линией 80 %, детализация по группе.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Номенклатура 80 %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таблица, Pareto, поиск.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Страна происхождения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сводка по странам, Россия/импорт, по категориям.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6.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Ценовые бенчмарки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таблица, разброс цен, отклонение от медианы, потенциал снижения.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7.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Ключевая номенклатура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карточки/таблица.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8.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Реестр позиций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таблица с фильтрами, поиском и экспортом.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9.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Методика и ограничения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источники, дата выгрузки, классификатор, классы достоверности.</w:t>
      </w:r>
    </w:p>
    <w:p>
      <w:pPr>
        <w:pStyle w:val="Heading2"/>
      </w:pPr>
      <w:r>
        <w:t>8.3. Фильтры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Обязательные: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товарная группа L2;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вид закупки L1;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страна происхождения;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российский/импортный товар;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поставщик;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диапазон суммы позиции;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поиск по наименованию;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сброс фильтров.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Фильтры должны работать одновременно и обновлять все виджеты экрана. Выбранные фильтры отображаются в шапке.</w:t>
      </w:r>
    </w:p>
    <w:p>
      <w:pPr>
        <w:pStyle w:val="Heading2"/>
      </w:pPr>
      <w:r>
        <w:t>8.4. Таблицы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сортировка по столбцам;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поиск;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итоговые строки;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экспорт отображаемого среза в CSV;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отсутствие объединённых ячеек;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корректная печать широких таблиц.</w:t>
      </w:r>
    </w:p>
    <w:p>
      <w:pPr>
        <w:pStyle w:val="Heading2"/>
      </w:pPr>
      <w:r>
        <w:t>8.5. Графики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Pareto (столбцы + накопленная доля) с линией 80 %;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структура (столбчатая/кольцевая);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динамика (линейная);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страна (горизонтальная столбчатая);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ценовой разброс (диапазон min–max / ящик с усами);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единый стиль, подписи, единицы, подсказки.</w:t>
      </w:r>
    </w:p>
    <w:p>
      <w:pPr>
        <w:pStyle w:val="Heading2"/>
      </w:pPr>
      <w:r>
        <w:t>8.6. Данные и качество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все цифры дашборда совпадают с отчётом и Excel;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на каждом экране — дата выгрузки, источники, охват, ограничения;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оценочные значения помечены;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фильтры не должны «терять» данные: сумма отфильтрованного среза + сумма исключённых = общая сумма;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 отсутствии данных отображается «нет данных», а не ноль.</w:t>
      </w:r>
    </w:p>
    <w:p>
      <w:pPr>
        <w:pStyle w:val="Heading2"/>
      </w:pPr>
      <w:r>
        <w:t>8.7. Передача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один HTML-файл (или папка с HTML и встроенными данными) без внешних зависимостей;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инструкция по открытию и работе;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файл проверяется на чистой машине без интернета.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9. Требования к Excel</w:t>
      </w:r>
    </w:p>
    <w:p>
      <w:pPr>
        <w:pStyle w:val="Heading2"/>
      </w:pPr>
      <w:r>
        <w:t>9.1. Состав рабочей книги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Лист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00_README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назначение, дата выгрузки, источники, ограничения, навигация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01_Общий_объем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общая сумма, профильная, исключения, сверка, динамика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02_Структура_по_видам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виды закупок, суммы, доли, количество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03_Категории_80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все товарные группы 80 %-набора, накопленная доля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04_Топ_номенклатуры_80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все позиции 80 %-набора, накопленная доля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05_Страна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сводка по странам, Россия/импорт, по категориям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06_Бенчмарки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внутренние ценовые бенчмарки, отклонения, потенциал снижения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07_Ключевая_номенклатура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карточки ключевых позиций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08_Реестр_позиций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полный построчный реестр без контрактной детализации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09_Исключения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исключённые позиции с причиной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10_Сверка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расхождения сумм, дубли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11_Методика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классификатор, правила, глоссарий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12_Источники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ссылки, даты выгрузки, охват</w:t>
            </w:r>
          </w:p>
        </w:tc>
      </w:tr>
    </w:tbl>
    <w:p/>
    <w:p>
      <w:pPr>
        <w:pStyle w:val="Heading2"/>
      </w:pPr>
      <w:r>
        <w:t>9.2. Требования к оформлению Excel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таблицы — «плоские», без объединённых ячеек в данных;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автофильтр и закреплённая шапка на каждом листе;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числовые форматы: суммы — с разделителями, проценты — с одним знаком после запятой;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итоговые строки;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условное форматирование для отклонений и пропусков;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отсутствие скрытых строк и столбцов;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лист </w:t>
      </w:r>
      <w:r>
        <w:rPr>
          <w:rFonts w:ascii="Consolas" w:hAnsi="Consolas" w:eastAsia="Consolas" w:cs="Consolas"/>
          <w:b w:val="0"/>
          <w:i w:val="0"/>
          <w:sz w:val="21"/>
        </w:rPr>
        <w:t>08_Реестр_позиций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пригоден для сводных таблиц;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каждая выгрузка содержит дату и источник;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файл открывается в Excel без ошибок и предупреждений;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кодировка CSV — UTF-8, разделитель — точка с запятой (для российских настроек).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10. Методика и документация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В состав результата входит </w:t>
      </w:r>
      <w:r>
        <w:rPr>
          <w:rFonts w:ascii="Times New Roman" w:hAnsi="Times New Roman" w:eastAsia="Times New Roman" w:cs="Times New Roman"/>
          <w:b/>
          <w:i w:val="0"/>
          <w:sz w:val="21"/>
        </w:rPr>
        <w:t>паспорт данных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, включающий: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перечень источников и дат выгрузки;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поисковые запросы и параметры выборки;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охват: количество позиций, сумма, доля от общей суммы;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правила исключения и классификатор;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правила нормализации единиц и упаковок;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6.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правила дедупликации;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7.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методику определения страны происхождения;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8.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методику внутренних ценовых бенчмарков и обработки выбросов;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9.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классы достоверности;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10.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ограничения и известные расхождения;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глоссарий.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Документация должна позволять заказчику или третьему лицу воспроизвести расчёты на тех же исходных данных.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11. Приёмка результата</w:t>
      </w:r>
    </w:p>
    <w:p>
      <w:pPr>
        <w:pStyle w:val="Heading2"/>
      </w:pPr>
      <w:r>
        <w:t>11.1. Критерии приёмки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№</w:t>
            </w:r>
          </w:p>
        </w:tc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Критерий</w:t>
            </w:r>
          </w:p>
        </w:tc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Наличие всех разделов отчёта по п. 7.1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100 %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Сверка «профильные + исключённые = всего»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отклонение ≤ 1 %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Правило 80 % для категорий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накопленная доля ≥ 80 %, все группы набора включены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Правило 80 % для номенклатуры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накопленная доля ≥ 80 %, все позиции набора включены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Реестр позиций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одна строка = одна позиция, дублей нет, контрактной детализации нет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Заполнение обязательных полей реестра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≥ 95 % строк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Ссылка на источник в реестре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≥ 95 % строк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Страна происхождения определена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≥ 70 % стоимости профильных закупок или документированное объяснение недостижимости; остальное — «не определена»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Внутренние бенчмарки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рассчитаны для всех ключевых позиций; внешние сравнения отсутствуют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Дашборд открывается офлайн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без сервера и интернета, в Chrome/Edge/Firefox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Фильтры и экспорт дашборда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работают, сумма среза сходится с отчётом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Соответствие цифр отчёта, дашборда и Excel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выборочная проверка ≥ 10 значений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Оформление и печать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A4, без обрезки таблиц и графиков, шапки повторяются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Документация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паспорт данных, реестр источников и инструкция по дашборду переданы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Итерации правок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 раунда включены</w:t>
            </w:r>
          </w:p>
        </w:tc>
      </w:tr>
    </w:tbl>
    <w:p/>
    <w:p>
      <w:pPr>
        <w:pStyle w:val="Heading2"/>
      </w:pPr>
      <w:r>
        <w:t>11.2. Порядок приёмки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Исполнитель передаёт промежуточный результат после сбора и классификации данных: выборка, охват, структура категорий.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Заказчик рассматривает промежуточный результат в течение 3 рабочих дней и подтверждает классификатор и исключения.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Исполнитель передаёт финальный комплект: отчёт, дашборд, Excel, реестр, документацию.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Заказчик рассматривает финальный комплект в течение 5 рабочих дней.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Замечания передаются в письменной форме с указанием пункта ТЗ или таблицы.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6.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Результат считается принятым при подписании акта или при отсутствии мотивированных замечаний в срок.</w:t>
      </w:r>
    </w:p>
    <w:p>
      <w:pPr>
        <w:pStyle w:val="Heading2"/>
      </w:pPr>
      <w:r>
        <w:t>11.3. Итерации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В стоимость включены </w:t>
      </w:r>
      <w:r>
        <w:rPr>
          <w:rFonts w:ascii="Times New Roman" w:hAnsi="Times New Roman" w:eastAsia="Times New Roman" w:cs="Times New Roman"/>
          <w:b/>
          <w:i w:val="0"/>
          <w:sz w:val="21"/>
        </w:rPr>
        <w:t>2 раунда правок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в пределах ТЗ. Дополнительные правки, изменение классификатора, добавление новых разрезов или периода — отдельная работа по согласованию.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12. Этапы и сроки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Этап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Содержание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Результат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Срок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Старт, согласование методики, исключений, классификатора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согласованная методика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2–3 рабочих дня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Сбор данных: ЕИС, Портал поставщиков, сайт, внутренние данные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выборка, охват, паспорт данных (черновик)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5–7 рабочих дней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Очистка, дедупликация, классификация, исключения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реестр, классификатор, сверка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5–7 рабочих дней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Аналитика: 80 %, страна, внутренние бенчмарки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расчётные таблицы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5–7 рабочих дней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Дашборд: экраны, фильтры, графики, темы, печать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HTML-дашборд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7–10 рабочих дней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Отчёт и Excel, оформление, QA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проект отчёта и книги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5–7 рабочих дней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Рассмотрение, правки, финальная сдача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финальный комплект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3–5 рабочих дней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6"/>
              </w:rPr>
              <w:t>Итого</w:t>
            </w:r>
          </w:p>
        </w:tc>
        <w:tc>
          <w:tcPr>
            <w:tcW w:type="dxa" w:w="2438"/>
          </w:tcPr>
          <w:p>
            <w:pPr>
              <w:jc w:val="left"/>
            </w:pPr>
            <w:r/>
          </w:p>
        </w:tc>
        <w:tc>
          <w:tcPr>
            <w:tcW w:type="dxa" w:w="2438"/>
          </w:tcPr>
          <w:p>
            <w:pPr>
              <w:jc w:val="left"/>
            </w:pPr>
            <w:r/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6"/>
              </w:rPr>
              <w:t>25–35 рабочих дней (5–7 недель)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Сроки указаны после получения аванса и всех необходимых данных. При параллельном выполнении этапов 1–5 — 25–30 рабочих дней; при последовательном — до 35. Задержка обратной связи заказчика сдвигает срок пропорционально. Срочный режим (18–22 рабочих дня) — опция с надбавкой.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13. Роли и ответственность</w:t>
      </w:r>
    </w:p>
    <w:p>
      <w:pPr>
        <w:pStyle w:val="Heading2"/>
      </w:pPr>
      <w:r>
        <w:t>13.1. Исполнитель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собирает и обрабатывает данные;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разрабатывает классификатор и методику;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выполняет аналитику и расчёты;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разрабатывает дашборд;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готовит отчёт, Excel и реестр;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проводит QA и исправляет ошибки;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передаёт комплект и инструкцию по дашборду.</w:t>
      </w:r>
    </w:p>
    <w:p>
      <w:pPr>
        <w:pStyle w:val="Heading2"/>
      </w:pPr>
      <w:r>
        <w:t>13.2. Заказчик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предоставляет полное наименование, ИНН/КПП, перечень подразделений ЛПУ;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подтверждает исключения и пограничные категории;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передаёт внутренние данные, если они есть;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назначает контактное лицо;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рассматривает промежуточные и финальные результаты в срок;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отвечает на вопросы в течение 2 рабочих дней;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не изменяет предмет и границы после согласования этапа 0 без отдельного согласования.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14. Что не входит в объём работ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Приобретение платных подписок, баз данных и сервисов.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Юридическая, закупочная и тендерная экспертиза; участие в закупках от имени заказчика.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Аудит первичных данных и проверка исполнения контрактов.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Интеграция с 1С, CRM, BI-платформами и иными внутренними системами.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Мобильное приложение.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6.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Прогнозирование цен и закупок.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7.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Оценка конкретных поставщиков и рекомендации по выбору победителя.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8.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Подготовка тендерной документации и расчёт НМЦК.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9.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Сравнение с 2024 годом и другими ЛПУ.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10.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Внешние ценовые бенчмарки и анализ открытых прайсов.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Отдельный анализ российских участников конкурсов: доля российских поставщиков, производителей и участников процедур.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12.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Выводы и рекомендации: отчёт и дашборд носят описательный характер.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13.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Презентация и защита в формате слайдов.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14.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Публикация результатов и передача третьим лицам.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15.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Контрактная детализация: карточки, номера, даты и предметы контрактов.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15. Конфиденциальность и права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Результаты передаются заказчику для внутреннего использования.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Исполнитель не публикует данные заказчика и результаты без письменного согласия.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Исполнитель вправе использовать обезличенную методику и подходы в других проектах.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Права на первичные данные принадлежат источникам; исполнитель не передаёт их третьим лицам в виде, нарушающем условия источников.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Заказчик вправе использовать результаты в своей организации без ограничения срока; перепродажа результатов третьим лицам не допускается без согласования.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16. Приложения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Приложение</w:t>
            </w:r>
          </w:p>
        </w:tc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Содержание</w:t>
            </w:r>
          </w:p>
        </w:tc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Полное наименование, ИНН/КПП, перечень подразделений ЛПУ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заполняется на этапе 0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Классификатор: виды, товарные группы, исключения, пограничные категории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заполняется на этапе 2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Шаблоны таблиц отчёта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прилагается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Поля реестра позиций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прилагается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Чек-лист приёмки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прилагается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Е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Глоссарий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прилагается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Ж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Инструкция по работе с дашбордом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прилагается</w:t>
            </w:r>
          </w:p>
        </w:tc>
      </w:tr>
    </w:tbl>
    <w:p/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17. Подписи сторон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Исполнитель: ______________________ / [ФИО]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Заказчик: ______________________ / [ФИО]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Дата: ______________</w:t>
      </w:r>
    </w:p>
    <w:p>
      <w:pPr>
        <w:spacing w:before="40" w:after="120"/>
        <w:pBdr>
          <w:bottom w:val="single" w:sz="4" w:space="1" w:color="B8C2CC"/>
        </w:pBd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90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555F6D"/>
        <w:sz w:val="16"/>
      </w:rPr>
      <w:t xml:space="preserve">Стр. </w:t>
    </w:r>
    <w:r>
      <w:rPr>
        <w:rFonts w:ascii="Times New Roman" w:hAnsi="Times New Roman" w:eastAsia="Times New Roman" w:cs="Times New Roman"/>
        <w:color w:val="555F6D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 w:cs="Times New Roman"/>
        <w:color w:val="555F6D"/>
        <w:sz w:val="16"/>
      </w:rPr>
      <w:t>Техническое задание — анализ закупок МНКЦ им. С.П. Боткина за 2025 год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— анализ закупок МНКЦ им. С.П. Боткина за 2025 год</dc:title>
  <dc:subject/>
  <dc:creator>Аналитический проект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