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Times New Roman" w:hAnsi="Times New Roman" w:eastAsia="Times New Roman" w:cs="Times New Roman"/>
          <w:b/>
          <w:color w:val="555F6D"/>
          <w:sz w:val="24"/>
        </w:rPr>
        <w:t>ИНСТРУКЦИЯ ПО РАБОТЕ С ДАШБОРДОМ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ГБУЗ «ММНКЦ им. С.П. Боткина» ДЗМ — анализ закупок за 2025 год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Приложение Ж к комплекту: отчёт, рабочая книга Excel, дашборд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Дата выгрузки данных: 2026-10-22</w:t>
      </w:r>
    </w:p>
    <w:p>
      <w:r>
        <w:br w:type="page"/>
      </w:r>
    </w:p>
    <w:p>
      <w:pPr>
        <w:pStyle w:val="Heading1"/>
      </w:pPr>
      <w:r>
        <w:t>1. Назначение и состав комплекта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Дашборд — статический HTML-файл со встроенными данными. Он открывается двойным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щелчком в браузере, работает без интернета, без сервера и без установки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дополнительных программ. Все графики и таблицы строятся в браузере из данных,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записанных в сам файл.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4876"/>
        <w:gridCol w:w="4876"/>
      </w:tblGrid>
      <w:tr>
        <w:trPr>
          <w:tblHeader w:val="true"/>
          <w:cantSplit w:val="true"/>
        </w:trPr>
        <w:tc>
          <w:tcPr>
            <w:tcW w:type="dxa" w:w="4876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1F3A5F"/>
                <w:sz w:val="16"/>
              </w:rPr>
              <w:t>Файл</w:t>
            </w:r>
          </w:p>
        </w:tc>
        <w:tc>
          <w:tcPr>
            <w:tcW w:type="dxa" w:w="4876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1F3A5F"/>
                <w:sz w:val="16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sz w:val="16"/>
              </w:rPr>
              <w:t>dashboard.html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интерактивный дашборд: показатели, графики, таблицы, фильтры, экспорт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sz w:val="16"/>
              </w:rPr>
              <w:t>REPORT_Botkin_2025.pdf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sz w:val="16"/>
              </w:rPr>
              <w:t>.docx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аналитический отчёт: объёмы, структура, 80 %-наборы, страна, бенчмарки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sz w:val="16"/>
              </w:rPr>
              <w:t>ММНКЦ_Боткина_2025_аналитика.xlsx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рабочая книга: реестр позиций, сверка, бенчмарки, методика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sz w:val="16"/>
              </w:rPr>
              <w:t>Реестр_позиций_Боткина_2025.xlsx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тот же реестр позиций отдельным файлом XLSX (37 столбцов, автофильтр, закреплённая шапка)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sz w:val="16"/>
              </w:rPr>
              <w:t>Реестр_позиций_Боткина_2025.csv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тот же реестр позиций в CSV (UTF-8, разделитель «;»)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sz w:val="16"/>
              </w:rPr>
              <w:t>Методика_и_паспорт_данных.pdf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sz w:val="16"/>
              </w:rPr>
              <w:t>.docx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методика, паспорт данных, источники и ограничения — отдельным документом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sz w:val="16"/>
              </w:rPr>
              <w:t>Инструкция_по_работе_с_дашбордом.pdf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sz w:val="16"/>
              </w:rPr>
              <w:t>.docx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настоящая инструкция</w:t>
            </w:r>
          </w:p>
        </w:tc>
      </w:tr>
    </w:tbl>
    <w:p/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Данные в дашборде: 3 679 позиций профиля на общую сумму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5 436 685 542,52 ₽; всего в выгрузке 6 275 позиций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(2 306 контрактов и договоров за 2025 год).</w:t>
      </w:r>
    </w:p>
    <w:p>
      <w:pPr>
        <w:pStyle w:val="Heading1"/>
      </w:pPr>
      <w:r>
        <w:t>2. Как открыть дашборд</w:t>
      </w:r>
    </w:p>
    <w:p>
      <w:pPr>
        <w:spacing w:after="40"/>
        <w:ind w:left="369" w:hanging="369"/>
      </w:pPr>
      <w:r>
        <w:rPr>
          <w:rFonts w:ascii="Times New Roman" w:hAnsi="Times New Roman" w:eastAsia="Times New Roman" w:cs="Times New Roman"/>
          <w:b w:val="0"/>
          <w:sz w:val="21"/>
        </w:rPr>
        <w:t>1.</w:t>
        <w:tab/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 xml:space="preserve">Скопировать файл </w:t>
      </w:r>
      <w:r>
        <w:rPr>
          <w:rFonts w:ascii="Consolas" w:hAnsi="Consolas" w:eastAsia="Consolas" w:cs="Consolas"/>
          <w:b w:val="0"/>
          <w:i w:val="0"/>
          <w:sz w:val="21"/>
        </w:rPr>
        <w:t>dashboard.html</w:t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 xml:space="preserve"> в любую папку на компьютере.</w:t>
      </w:r>
    </w:p>
    <w:p>
      <w:pPr>
        <w:spacing w:after="40"/>
        <w:ind w:left="369" w:hanging="369"/>
      </w:pPr>
      <w:r>
        <w:rPr>
          <w:rFonts w:ascii="Times New Roman" w:hAnsi="Times New Roman" w:eastAsia="Times New Roman" w:cs="Times New Roman"/>
          <w:b w:val="0"/>
          <w:sz w:val="21"/>
        </w:rPr>
        <w:t>2.</w:t>
        <w:tab/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>Открыть файл двойным щелчком. По умолчанию он откроется в браузере по умолчанию.</w:t>
      </w:r>
    </w:p>
    <w:p>
      <w:pPr>
        <w:spacing w:after="40"/>
        <w:ind w:left="369" w:hanging="369"/>
      </w:pPr>
      <w:r>
        <w:rPr>
          <w:rFonts w:ascii="Times New Roman" w:hAnsi="Times New Roman" w:eastAsia="Times New Roman" w:cs="Times New Roman"/>
          <w:b w:val="0"/>
          <w:sz w:val="21"/>
        </w:rPr>
        <w:t>3.</w:t>
        <w:tab/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>Проверить, что открылся Chrome, Edge или Firefox актуальной версии.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Если браузер открывает файл как текст, выбрать вручную «Открыть с помощью →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браузер». Интернет, VPN и корпоративные ресурсы не требуются: все данные,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шрифты и библиотека диаграмм встроены в файл.</w:t>
      </w:r>
    </w:p>
    <w:p>
      <w:pPr>
        <w:pStyle w:val="Heading1"/>
      </w:pPr>
      <w:r>
        <w:t>3. Экраны дашборда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4876"/>
        <w:gridCol w:w="4876"/>
      </w:tblGrid>
      <w:tr>
        <w:trPr>
          <w:tblHeader w:val="true"/>
          <w:cantSplit w:val="true"/>
        </w:trPr>
        <w:tc>
          <w:tcPr>
            <w:tcW w:type="dxa" w:w="4876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1F3A5F"/>
                <w:sz w:val="16"/>
              </w:rPr>
              <w:t>Раздел</w:t>
            </w:r>
          </w:p>
        </w:tc>
        <w:tc>
          <w:tcPr>
            <w:tcW w:type="dxa" w:w="4876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1F3A5F"/>
                <w:sz w:val="16"/>
              </w:rPr>
              <w:t>Что показывает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Показатели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карточки ключевых показателей: общий объём, профильный объём, отсечено фильтрами, исключения, число позиций, число поставщиков, доля российских товаров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Обзор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структура по видам закупки, способам закупки, динамика по месяцам и кварталам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Категории 80 %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Pareto-диаграмма товарных групп с линией 80 %, таблица групп, детализация выбранной группы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Номенклатура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Pareto-диаграмма и таблица позиций 80 %-набора, поиск по наименованию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Страны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сводка по странам происхождения, Россия и импорт, структура по товарным группам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Бенчмарки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внутренние ценовые ориентиры: медиана, разброс min–max, отклонение от медианы, потенциал снижения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Ключевая номенклатура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карточки позиций 80 %-набора: объём, закупки, поставщики, цена, страна, месяцы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Реестр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полный построчный реестр позиций с сортировкой и экспортом в CSV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Методика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правила расчёта, классы достоверности, ограничения и краткая инструкция</w:t>
            </w:r>
          </w:p>
        </w:tc>
      </w:tr>
    </w:tbl>
    <w:p/>
    <w:p>
      <w:pPr>
        <w:pStyle w:val="Heading1"/>
      </w:pPr>
      <w:r>
        <w:t>4. Фильтры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 xml:space="preserve">Фильтры расположены в панели под шапкой. Они применяются </w:t>
      </w:r>
      <w:r>
        <w:rPr>
          <w:rFonts w:ascii="Times New Roman" w:hAnsi="Times New Roman" w:eastAsia="Times New Roman" w:cs="Times New Roman"/>
          <w:b/>
          <w:i w:val="0"/>
          <w:sz w:val="21"/>
        </w:rPr>
        <w:t>одновременно</w:t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 xml:space="preserve"> ко всем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разделам дашборда: показатели, графики и таблицы пересчитываются по срезу.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4876"/>
        <w:gridCol w:w="4876"/>
      </w:tblGrid>
      <w:tr>
        <w:trPr>
          <w:tblHeader w:val="true"/>
          <w:cantSplit w:val="true"/>
        </w:trPr>
        <w:tc>
          <w:tcPr>
            <w:tcW w:type="dxa" w:w="4876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1F3A5F"/>
                <w:sz w:val="16"/>
              </w:rPr>
              <w:t>Фильтр</w:t>
            </w:r>
          </w:p>
        </w:tc>
        <w:tc>
          <w:tcPr>
            <w:tcW w:type="dxa" w:w="4876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1F3A5F"/>
                <w:sz w:val="16"/>
              </w:rPr>
              <w:t>Назначение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Вид закупки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одна из групп § 6.2 ТЗ: оборудование, расходные материалы, имплантаты, реагенты, мебель и одежда, прочие медицинские товары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Товарная группа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уровень L2 классификатора (например, «Перчатки и изделия медицинские из резины»)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Страна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страна происхождения товара по данным ЕИС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Происхождение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Россия и импорт / только Россия / только импорт / страна не указана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Поставщик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конкретный поставщик по ИНН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Сумма от, ₽ / Сумма до, ₽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диапазон суммы позиции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Поиск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подстрока в наименовании позиции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номенклатура 80 %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только строки, относящиеся к номенклатурному 80 %-набору (256 позиций из 1 344)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без оценочных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исключить позиции с расчётными суммами</w:t>
            </w:r>
          </w:p>
        </w:tc>
      </w:tr>
    </w:tbl>
    <w:p/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Под панелью выводятся «чипсы» с активными фильтрами. У каждого чипа есть крестик,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который снимает соответствующий фильтр. Кнопка «Сбросить» очищает все фильтры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одновременно.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Фильтры не меняют учёт: карточки «Профильный объём», «Отсечено фильтрами»,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«Исключено» и «Общий объём 2025» всегда дают проверяемое равенство —</w:t>
      </w:r>
    </w:p>
    <w:p>
      <w:pPr>
        <w:jc w:val="both"/>
      </w:pPr>
      <w:r>
        <w:rPr>
          <w:rFonts w:ascii="Times New Roman" w:hAnsi="Times New Roman" w:eastAsia="Times New Roman" w:cs="Times New Roman"/>
          <w:b/>
          <w:i w:val="0"/>
          <w:sz w:val="21"/>
        </w:rPr>
        <w:t>срез + отсечено фильтрами + исключено = общий объём</w:t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>.</w:t>
      </w:r>
    </w:p>
    <w:p>
      <w:pPr>
        <w:pStyle w:val="Heading1"/>
      </w:pPr>
      <w:r>
        <w:t>5. Таблицы</w:t>
      </w:r>
    </w:p>
    <w:p>
      <w:pPr>
        <w:pStyle w:val="ListBullet"/>
        <w:spacing w:after="40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Сортировка — щелчок по заголовку столбца; повторный щелчок меняет направление.</w:t>
      </w:r>
    </w:p>
    <w:p>
      <w:pPr>
        <w:pStyle w:val="ListBullet"/>
        <w:spacing w:after="40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Поиск — поле в панели фильтров либо поле поиска над таблицей номенклатуры.</w:t>
      </w:r>
    </w:p>
    <w:p>
      <w:pPr>
        <w:pStyle w:val="ListBullet"/>
        <w:spacing w:after="40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Итоговые строки — внизу каждой таблицы: сумма и количество по текущему срезу.</w:t>
      </w:r>
    </w:p>
    <w:p>
      <w:pPr>
        <w:pStyle w:val="ListBullet"/>
        <w:spacing w:after="40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Экспорт — кнопка «CSV» выгружает текущий отфильтрованный срез реестра. Разделитель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«;», кодировка UTF-8 с BOM, файл открывается в Excel без настройки.</w:t>
      </w:r>
    </w:p>
    <w:p>
      <w:pPr>
        <w:pStyle w:val="ListBullet"/>
        <w:spacing w:after="40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Реестр позиций подгружается по мере прокрутки; в печать выводится полностью.</w:t>
      </w:r>
    </w:p>
    <w:p>
      <w:pPr>
        <w:pStyle w:val="Heading1"/>
      </w:pPr>
      <w:r>
        <w:t>6. Графики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4876"/>
        <w:gridCol w:w="4876"/>
      </w:tblGrid>
      <w:tr>
        <w:trPr>
          <w:tblHeader w:val="true"/>
          <w:cantSplit w:val="true"/>
        </w:trPr>
        <w:tc>
          <w:tcPr>
            <w:tcW w:type="dxa" w:w="4876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1F3A5F"/>
                <w:sz w:val="16"/>
              </w:rPr>
              <w:t>График</w:t>
            </w:r>
          </w:p>
        </w:tc>
        <w:tc>
          <w:tcPr>
            <w:tcW w:type="dxa" w:w="4876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color w:val="1F3A5F"/>
                <w:sz w:val="16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Структура по видам и способам закупки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доли в профильном объёме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Динамика по месяцам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помесячный объём профильных закупок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Pareto категорий и номенклатуры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ранжирование по сумме с накопленной долей и линией 80 %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Страны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объём и доля по странам происхождения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Разброс цен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«ящик» min–P25–медиана–P75–max по позициям; логарифмическая шкала, 100 % — медиана</w:t>
            </w:r>
          </w:p>
        </w:tc>
      </w:tr>
    </w:tbl>
    <w:p/>
    <w:p>
      <w:pPr>
        <w:pStyle w:val="Heading1"/>
      </w:pPr>
      <w:r>
        <w:t>7. Темы и печать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Кнопка «Тема» переключает светлую, тёмную и системную тему без перезагрузки страницы.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Кнопка «Печать / PDF» открывает диалог печати браузера: в настройках нужно выбрать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формат A4, ориентацию «альбомная» для широких таблиц и включить «фоновую графику».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Печать всегда выполняется в светлой теме, с повтором шапок таблиц на каждой странице.</w:t>
      </w:r>
    </w:p>
    <w:p>
      <w:pPr>
        <w:pStyle w:val="Heading1"/>
      </w:pPr>
      <w:r>
        <w:t>8. Факт и оценка</w:t>
      </w:r>
    </w:p>
    <w:p>
      <w:pPr>
        <w:pStyle w:val="ListBullet"/>
        <w:spacing w:after="40"/>
      </w:pPr>
      <w:r>
        <w:rPr>
          <w:rFonts w:ascii="Times New Roman" w:hAnsi="Times New Roman" w:eastAsia="Times New Roman" w:cs="Times New Roman"/>
          <w:b/>
          <w:i w:val="0"/>
          <w:sz w:val="21"/>
        </w:rPr>
        <w:t>Факт</w:t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 xml:space="preserve"> — сумма позиции опубликована в ЕИС.</w:t>
      </w:r>
    </w:p>
    <w:p>
      <w:pPr>
        <w:pStyle w:val="ListBullet"/>
        <w:spacing w:after="40"/>
      </w:pPr>
      <w:r>
        <w:rPr>
          <w:rFonts w:ascii="Times New Roman" w:hAnsi="Times New Roman" w:eastAsia="Times New Roman" w:cs="Times New Roman"/>
          <w:b/>
          <w:i w:val="0"/>
          <w:sz w:val="21"/>
        </w:rPr>
        <w:t>Оценка</w:t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 xml:space="preserve"> — контракт не содержит сумм позиций (или количества), поэтому сумма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распределена по цене контракта пропорционально цене за единицу. Такие позиции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помечены словом «оценка» и составляют 45,7 % профиля.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Фильтр «без оценочных» убирает их из среза.</w:t>
      </w:r>
    </w:p>
    <w:p>
      <w:pPr>
        <w:pStyle w:val="Heading1"/>
      </w:pPr>
      <w:r>
        <w:t>9. Ограничения и правила интерпретации</w:t>
      </w:r>
    </w:p>
    <w:p>
      <w:pPr>
        <w:spacing w:after="40"/>
        <w:ind w:left="369" w:hanging="369"/>
      </w:pPr>
      <w:r>
        <w:rPr>
          <w:rFonts w:ascii="Times New Roman" w:hAnsi="Times New Roman" w:eastAsia="Times New Roman" w:cs="Times New Roman"/>
          <w:b w:val="0"/>
          <w:sz w:val="21"/>
        </w:rPr>
        <w:t>1.</w:t>
        <w:tab/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>Дашборд носит описательный характер: выводов и рекомендаций он не содержит.</w:t>
      </w:r>
    </w:p>
    <w:p>
      <w:pPr>
        <w:spacing w:after="40"/>
        <w:ind w:left="369" w:hanging="369"/>
      </w:pPr>
      <w:r>
        <w:rPr>
          <w:rFonts w:ascii="Times New Roman" w:hAnsi="Times New Roman" w:eastAsia="Times New Roman" w:cs="Times New Roman"/>
          <w:b w:val="0"/>
          <w:sz w:val="21"/>
        </w:rPr>
        <w:t>2.</w:t>
        <w:tab/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>Страна происхождения — по полю «Страна происхождения» в спецификации ЕИС; по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стране поставщика она не подставляется. Определено 92,2 %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стоимости профильных закупок.</w:t>
      </w:r>
    </w:p>
    <w:p>
      <w:pPr>
        <w:spacing w:after="40"/>
        <w:ind w:left="369" w:hanging="369"/>
      </w:pPr>
      <w:r>
        <w:rPr>
          <w:rFonts w:ascii="Times New Roman" w:hAnsi="Times New Roman" w:eastAsia="Times New Roman" w:cs="Times New Roman"/>
          <w:b w:val="0"/>
          <w:sz w:val="21"/>
        </w:rPr>
        <w:t>3.</w:t>
        <w:tab/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>Бенчмарки — внутренние, рассчитаны только по закупкам учреждения за 2025 год;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внешние прайсы и данные других учреждений не используются.</w:t>
      </w:r>
    </w:p>
    <w:p>
      <w:pPr>
        <w:spacing w:after="40"/>
        <w:ind w:left="369" w:hanging="369"/>
      </w:pPr>
      <w:r>
        <w:rPr>
          <w:rFonts w:ascii="Times New Roman" w:hAnsi="Times New Roman" w:eastAsia="Times New Roman" w:cs="Times New Roman"/>
          <w:b w:val="0"/>
          <w:sz w:val="21"/>
        </w:rPr>
        <w:t>4.</w:t>
        <w:tab/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>Правило 80 % — все группы и позиции до накопленной доли 80 % профильного объёма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включительно; наборы категорий (8 из 26) и номенклатуры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(256 из 1 344) рассчитаны независимо.</w:t>
      </w:r>
    </w:p>
    <w:p>
      <w:pPr>
        <w:spacing w:after="40"/>
        <w:ind w:left="369" w:hanging="369"/>
      </w:pPr>
      <w:r>
        <w:rPr>
          <w:rFonts w:ascii="Times New Roman" w:hAnsi="Times New Roman" w:eastAsia="Times New Roman" w:cs="Times New Roman"/>
          <w:b w:val="0"/>
          <w:sz w:val="21"/>
        </w:rPr>
        <w:t>5.</w:t>
        <w:tab/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>Потенциал снижения — оценочная величина, а не гарантия экономии.</w:t>
      </w:r>
    </w:p>
    <w:p>
      <w:pPr>
        <w:spacing w:after="40"/>
        <w:ind w:left="369" w:hanging="369"/>
      </w:pPr>
      <w:r>
        <w:rPr>
          <w:rFonts w:ascii="Times New Roman" w:hAnsi="Times New Roman" w:eastAsia="Times New Roman" w:cs="Times New Roman"/>
          <w:b w:val="0"/>
          <w:sz w:val="21"/>
        </w:rPr>
        <w:t>6.</w:t>
        <w:tab/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>Сравнение с другими учреждениями и с другими годами в дашборд не входит.</w:t>
      </w:r>
    </w:p>
    <w:p>
      <w:pPr>
        <w:spacing w:after="40"/>
        <w:ind w:left="369" w:hanging="369"/>
      </w:pPr>
      <w:r>
        <w:rPr>
          <w:rFonts w:ascii="Times New Roman" w:hAnsi="Times New Roman" w:eastAsia="Times New Roman" w:cs="Times New Roman"/>
          <w:b w:val="0"/>
          <w:sz w:val="21"/>
        </w:rPr>
        <w:t>7.</w:t>
        <w:tab/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>Дашборд не содержит реквизитов контрактов и сведений о конкретных закупках —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только обезличенные позиции реестра.</w:t>
      </w:r>
    </w:p>
    <w:p>
      <w:pPr>
        <w:pStyle w:val="Heading1"/>
      </w:pPr>
      <w:r>
        <w:t>10. Возможные вопросы</w:t>
      </w:r>
    </w:p>
    <w:p>
      <w:pPr>
        <w:jc w:val="both"/>
      </w:pPr>
      <w:r>
        <w:rPr>
          <w:rFonts w:ascii="Times New Roman" w:hAnsi="Times New Roman" w:eastAsia="Times New Roman" w:cs="Times New Roman"/>
          <w:b/>
          <w:i w:val="0"/>
          <w:sz w:val="21"/>
        </w:rPr>
        <w:t>Дашборд открылся без графиков.</w:t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 xml:space="preserve"> Проверьте, что файл сохранён целиком и имеет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 xml:space="preserve">расширение </w:t>
      </w:r>
      <w:r>
        <w:rPr>
          <w:rFonts w:ascii="Consolas" w:hAnsi="Consolas" w:eastAsia="Consolas" w:cs="Consolas"/>
          <w:b w:val="0"/>
          <w:i w:val="0"/>
          <w:sz w:val="21"/>
        </w:rPr>
        <w:t>.html</w:t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 xml:space="preserve">, а не </w:t>
      </w:r>
      <w:r>
        <w:rPr>
          <w:rFonts w:ascii="Consolas" w:hAnsi="Consolas" w:eastAsia="Consolas" w:cs="Consolas"/>
          <w:b w:val="0"/>
          <w:i w:val="0"/>
          <w:sz w:val="21"/>
        </w:rPr>
        <w:t>.html.txt</w:t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>. При переименовании сохраняйте расширение.</w:t>
      </w:r>
    </w:p>
    <w:p>
      <w:pPr>
        <w:jc w:val="both"/>
      </w:pPr>
      <w:r>
        <w:rPr>
          <w:rFonts w:ascii="Times New Roman" w:hAnsi="Times New Roman" w:eastAsia="Times New Roman" w:cs="Times New Roman"/>
          <w:b/>
          <w:i w:val="0"/>
          <w:sz w:val="21"/>
        </w:rPr>
        <w:t>Фильтры не применяются.</w:t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 xml:space="preserve"> Проверьте значения во всех полях панели: выбранный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диапазон суммы или текст поиска могут исключать большую часть среза. Кнопка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«Сбросить» возвращает исходное состояние.</w:t>
      </w:r>
    </w:p>
    <w:p>
      <w:pPr>
        <w:jc w:val="both"/>
      </w:pPr>
      <w:r>
        <w:rPr>
          <w:rFonts w:ascii="Times New Roman" w:hAnsi="Times New Roman" w:eastAsia="Times New Roman" w:cs="Times New Roman"/>
          <w:b/>
          <w:i w:val="0"/>
          <w:sz w:val="21"/>
        </w:rPr>
        <w:t>В CSV нет всех строк.</w:t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 xml:space="preserve"> Экспортируется текущий отфильтрованный срез. Сбросьте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фильтры кнопкой «Сбросить» и повторите экспорт.</w:t>
      </w:r>
    </w:p>
    <w:p>
      <w:pPr>
        <w:jc w:val="both"/>
      </w:pPr>
      <w:r>
        <w:rPr>
          <w:rFonts w:ascii="Times New Roman" w:hAnsi="Times New Roman" w:eastAsia="Times New Roman" w:cs="Times New Roman"/>
          <w:b/>
          <w:i w:val="0"/>
          <w:sz w:val="21"/>
        </w:rPr>
        <w:t>Печать обрезает таблицы.</w:t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 xml:space="preserve"> В диалоге печати включите «фоновую графику» и выберите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альбомную ориентацию; для печати реестра используйте масштаб 60–70 %.</w:t>
      </w:r>
    </w:p>
    <w:p>
      <w:pPr>
        <w:jc w:val="both"/>
      </w:pPr>
      <w:r>
        <w:rPr>
          <w:rFonts w:ascii="Times New Roman" w:hAnsi="Times New Roman" w:eastAsia="Times New Roman" w:cs="Times New Roman"/>
          <w:b/>
          <w:i w:val="0"/>
          <w:sz w:val="21"/>
        </w:rPr>
        <w:t>Расхождение с отчётом.</w:t>
      </w:r>
      <w:r>
        <w:rPr>
          <w:rFonts w:ascii="Times New Roman" w:hAnsi="Times New Roman" w:eastAsia="Times New Roman" w:cs="Times New Roman"/>
          <w:b w:val="0"/>
          <w:i w:val="0"/>
          <w:sz w:val="21"/>
        </w:rPr>
        <w:t xml:space="preserve"> Проверьте, что открыт файл той же выгрузки: дата выгрузки</w:t>
      </w:r>
    </w:p>
    <w:p>
      <w:pPr>
        <w:jc w:val="both"/>
      </w:pPr>
      <w:r>
        <w:rPr>
          <w:rFonts w:ascii="Times New Roman" w:hAnsi="Times New Roman" w:eastAsia="Times New Roman" w:cs="Times New Roman"/>
          <w:b w:val="0"/>
          <w:i w:val="0"/>
          <w:sz w:val="21"/>
        </w:rPr>
        <w:t>указана в шапке дашборда и в паспорте данных (приложение В) отчёта.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90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555F6D"/>
        <w:sz w:val="16"/>
      </w:rPr>
      <w:t xml:space="preserve">Стр. </w:t>
    </w:r>
    <w:r>
      <w:rPr>
        <w:rFonts w:ascii="Times New Roman" w:hAnsi="Times New Roman" w:eastAsia="Times New Roman" w:cs="Times New Roman"/>
        <w:color w:val="555F6D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 w:cs="Times New Roman"/>
        <w:color w:val="555F6D"/>
        <w:sz w:val="16"/>
      </w:rPr>
      <w:t>Инструкция по работе с дашбордом — МНКЦ им. С.П. Боткина, 2025 год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 работе с дашбордом — МНКЦ им. С.П. Боткина, 2025 год</dc:title>
  <dc:subject/>
  <dc:creator>Аналитический проект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