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 w:eastAsia="Times New Roman" w:cs="Times New Roman"/>
          <w:b/>
          <w:color w:val="555F6D"/>
          <w:sz w:val="24"/>
        </w:rPr>
        <w:t>МЕТОДИКА И ПАСПОРТ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ГБУЗ «ММНКЦ им. С.П. Боткина» ДЗМ — анализ закупок за 2025 год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Приложение к комплекту: отчёт, рабочая книга Excel, дашборд, реестр позиций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Документ содержит методику расчётов, перечень источников и параметров выборки, правила исключения, нормализации и дедупликации, методику определения страны происхождения и внутренних ценовых бенчмарков, классы достоверности, ограничения и глоссарий.</w:t>
      </w:r>
    </w:p>
    <w:p>
      <w:r>
        <w:br w:type="page"/>
      </w:r>
    </w:p>
    <w:p>
      <w:pPr>
        <w:pStyle w:val="Heading1"/>
      </w:pPr>
      <w:r>
        <w:t>2. Методика и источники</w:t>
      </w:r>
    </w:p>
    <w:p>
      <w:pPr>
        <w:pStyle w:val="Heading2"/>
      </w:pPr>
      <w:r>
        <w:t>2.1. Период и единица учёта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Период анализа — 01.01.2025–31.12.2025. Единица учёта — контракт (договор) по дате заключения. Для 223-ФЗ дата размещения использовалась только как окно отбора; в выборку попали договоры с датой заключения в 2025 году. Позиция контракта — отдельная строка спецификации; если спецификация не опубликована, сумма распределяется по цене контракта и помечается как оценка.</w:t>
      </w:r>
    </w:p>
    <w:p>
      <w:pPr>
        <w:pStyle w:val="Heading2"/>
      </w:pPr>
      <w:r>
        <w:t>2.2. Источники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44-ФЗ — реестр контрактов ЕИС (zakupki.gov.ru/epz/contract/search/results.html), карточки «Общая информация» и «Платёжная информация и объект закупки». 223-ФЗ — реестр договоров ЕИС (zakupki.gov.ru/epz/contractfz223/search/results.html), карточки «Информация о договоре» и «Предмет договора». Поиск вёлся по наименованию заказчика с проверкой ИНН, КПП и ОГРН; одноимённые учреждения в других регионах исключены.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Параметры выборки. 44-ФЗ: строка поиска «Боткина» с морфологией, признак «закупки по 44-ФЗ», все публикуемые этапы контракта, интервал даты заключения 01.01.2025 – 31.12.2025, сортировка по дате обновления, постраничный обход реестра. 223-ФЗ: строка поиска «Боткина» с морфологией, интервал даты размещения 01.01.2025 – 31.12.2025 с последующим отбором по дате заключения 2025 года, постраничный обход реестра. Отбор заказчика — по совпадению ИНН 7714082636 и КПП 771401001; записи с другими реквизитами отброшены. Из каждой карточки извлекались цена и дата заключения, поставщик, способ закупки и позиции с количеством, ценой за единицу, суммой, ОКПД2, КТРУ и страной происхождения.</w:t>
      </w:r>
    </w:p>
    <w:p>
      <w:pPr>
        <w:pStyle w:val="Heading2"/>
      </w:pPr>
      <w:r>
        <w:t>2.3. Область анализа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main — основной медицинский профиль: медицинское оборудование, расходные материалы, имплантируемые изделия и металлоконструкции, прочие медицинские товары. borderline — лабораторные реагенты, дезинфекция, медицинская мебель и одежда, запчасти к оборудованию. excluded — фармация, хозяйственные расходы, услуги и работы, прочее вне профиля. Профильный объём — сумма main и borderline.</w:t>
      </w:r>
    </w:p>
    <w:p>
      <w:pPr>
        <w:pStyle w:val="Heading2"/>
      </w:pPr>
      <w:r>
        <w:t>2.4. Классификатор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Три уровня: L1 — вид закупки (шесть укрупнённых видов и отдельно пограничные категории, § 6.2 ТЗ); L2 — товарная группа по ОКПД2 и маркерам наименования; L3 — номенклатурная позиция (КТРУ + нормализованное наименование). Каждая позиция получает вид, группу, область и признак достоверности. Правила классификации и полный перечень групп приведены в приложении Б.</w:t>
      </w:r>
    </w:p>
    <w:p>
      <w:pPr>
        <w:pStyle w:val="Heading2"/>
      </w:pPr>
      <w:r>
        <w:t>2.5. Нормализация и дедупликация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 приводятся к базовым (шт., мл, г, м, упаковка) с сохранением исходного значения. Повторные публикации, лоты, дополнительные соглашения и расторжения не создают новых позиций. Контроль — по номеру реестровой записи и набору «наименование + ОКПД2 + количество + цена + сумма». Контрактная детализация (номера, даты, предметы, цены контрактов) в результат не выводится.</w:t>
      </w:r>
    </w:p>
    <w:p>
      <w:pPr>
        <w:pStyle w:val="Heading2"/>
      </w:pPr>
      <w:r>
        <w:t>2.6. Страна происхождения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Приоритет — поле страны в контракте или спецификации. Если поле не заполнено, страна не подставляется по догадке и указывается как «не определена». Для каждой позиции фиксируется источник атрибуции; охват страной показан в разделе 7 и в паспорте данных.</w:t>
      </w:r>
    </w:p>
    <w:p>
      <w:pPr>
        <w:pStyle w:val="Heading2"/>
      </w:pPr>
      <w:r>
        <w:t>2.7. Внутренние бенчмарки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Рассчитываются только по закупкам учреждения за 2025 год: средневзвешенная цена, медиана, минимум, максимум, P25, P75, количество закупок и поставщиков, разброс max/min, коэффициент вариации, расчётная разница к медиане и минимуму. Средневзвешенная цена считается по позициям с опубликованным количеством; оценочные суммы в расчёт не входят. Внешние прайс-листы и данные других учреждений не используются.</w:t>
      </w:r>
    </w:p>
    <w:p>
      <w:pPr>
        <w:pStyle w:val="Heading2"/>
      </w:pPr>
      <w:r>
        <w:t>2.8. Классы достоверности и ограничения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«Факт» — данные первичного источника без изменений. «Оценка» — расчётное, агрегированное или неполное значение; оценочные позиции помечены в реестре. Закрытые закупки и закупки, не подлежащие публикации, в реестрах отсутствуют; закупки на Портале поставщиков Москвы в ЕИС не публикуются. Часть контрактов не содержит количества и суммы позиций; ставка НДС в реестре контрактов не публикуется, поэтому не рассчитывается. Полный паспорт данных — в приложении В.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Отдельно ограничение по поставщикам: в реестре договоров 223-ФЗ ЕИС не публикует наименование и ИНН поставщика — ни в карточке договора, ни в печатной форме, ни в реестре. Поэтому для 711 позиций 223-ФЗ (645 562 848,84 ₽, 11,9 % профиля) поставщик указан как «не указан в ЕИС (реестр 223-ФЗ)». Число поставщиков профиля (339) относится к контрактам 44-ФЗ, где реквизиты поставщика опубликованы.</w:t>
      </w:r>
    </w:p>
    <w:p>
      <w:r>
        <w:br w:type="page"/>
      </w:r>
    </w:p>
    <w:p>
      <w:pPr>
        <w:pStyle w:val="Heading2"/>
      </w:pPr>
      <w:r>
        <w:t>Приложение А. Глоссарий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80 %-набор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все группы или позиции до достижения 80 % профильного объёма, а не фиксированный топ-10.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Профильный объём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сумма позиций main и borderline; фармация, хозяйственные расходы, услуги и работы исключены.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main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основной медицинский профиль.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borderline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пограничные категории: лабораторные реагенты, дезинфекция, медицинская мебель и одежда, запчасти.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excluded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фармация, хозяйственные расходы, услуги и работы, прочее вне профиля.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КТРУ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каталог товаров, работ, услуг для обеспечения государственных и муниципальных нужд.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ОКПД2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общероссийский классификатор продукции по видам экономической деятельности.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Бенчмарк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внутренняя цена за единицу по закупкам учреждения за 2025 год.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Оценка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расчётное, агрегированное или неполное значение; помечено в реестре.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Факт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данные первичного источника без изменений.</w:t>
      </w:r>
    </w:p>
    <w:p>
      <w:r>
        <w:br w:type="page"/>
      </w:r>
    </w:p>
    <w:p>
      <w:pPr>
        <w:pStyle w:val="Heading2"/>
      </w:pPr>
      <w:r>
        <w:t>Приложение Б. Классификатор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Виды (L1) и области: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Б.1. Виды закупок (L1) и области профиля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Вид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Область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2 389 342 066,71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пограничный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1 043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1 163 806 244,83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719 773 229,27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689 885 776,87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411 411 224,86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мебель и одежда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пограничный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62 466 999,98 ₽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область «пограничный» — признак scope = borderline; такие позиции входят в общий объём профиля и выделены отдельным признаком.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 (L2) определяется по ОКПД2 и маркерам наименования; позиция (L3) — по КТРУ и нормализованному наименованию. Правила применяются последовательно: сначала область, затем вид, затем группа. Спорные позиции проверялись вручную; часть из них отнесена к пограничным.</w:t>
      </w:r>
    </w:p>
    <w:p>
      <w:r>
        <w:br w:type="page"/>
      </w:r>
    </w:p>
    <w:p>
      <w:pPr>
        <w:pStyle w:val="Heading2"/>
      </w:pPr>
      <w:r>
        <w:t>Приложение В. Паспорт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В.1. Паспорт данных: параметры выборки, охват и сверка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Параметр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Заказчик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ГОСУДАРСТВЕННОЕ БЮДЖЕТНОЕ УЧРЕЖДЕНИЕ ЗДРАВООХРАНЕНИЯ ГОРОДА МОСКВЫ "МОСКОВСКИЙ МНОГОПРОФИЛЬНЫЙ НАУЧНО-КЛИНИЧЕСКИЙ ЦЕНТР ИМЕНИ С.П. БОТКИНА" ДЕПАРТАМЕНТА ЗДРАВООХРАНЕНИЯ ГОРОДА МОСКВЫ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ИНН / КПП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7714082636 / 771401001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Период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01.01.2025 – 31.12.2025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Дата выгрузки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ЕИС: реестр контрактов 44-ФЗ и реестр договоров 223-ФЗ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Контрактов и договоров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2 306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44-ФЗ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1 708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223-ФЗ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Профильных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1 262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Поставщиков в профиле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339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без указания поставщика (223-ФЗ)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позиций без поставщика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645 562 848,84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Доля позиций без поставщика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11,9 %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всего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6 275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Профильных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3 679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с количеством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3 667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Оценочных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1 681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Товарных групп (L2)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 них в 80 %-наборе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Номенклатурных позиций (L3)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1 344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 них в 80 %-наборе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профиля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5 436 685 542,52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Доля профиля в общем объёме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39,5 %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исключённых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8 340 285 702,34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всех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13 776 971 244,86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цен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13 776 971 244,94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Расхождение (позиции − контракты)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-0,08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Отклонение от суммы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Охват страной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92,2 %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без указания страны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424 814 362,97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Смешанных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Средний срок исполнения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240 дн.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Сверка с первичным источником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выполнена по всем 2 306 контрактам и договорам, расхождений нет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Расхождение после дозагрузки спецификаций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-0,08 ₽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Состав паспорта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В.2. Состав паспорта данных и ссылки на разделы отчёта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Элемент паспорта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Где приведён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Источники и даты выгрузки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строки «Источники» и «Дата выгрузки» выше; приложение Г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Поисковые запросы и параметры выборки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Охват: позиции, сумма, доля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строки «Позиций всего», «Сумма профиля», «Доля профиля в общем объёме»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исключения и классификатор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2.3, § 2.4; приложение Б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нормализации единиц и упаковок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дедупликации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 определения страны происхождения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 внутренних ценовых бенчмарков и обработки выбросов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2.7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Классы достоверности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Ограничения и известные расхождения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2.8, § 3.4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Глоссарий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приложение А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555F6D"/>
        <w:sz w:val="16"/>
      </w:rPr>
      <w:t xml:space="preserve">Стр. </w:t>
    </w:r>
    <w:r>
      <w:rPr>
        <w:rFonts w:ascii="Times New Roman" w:hAnsi="Times New Roman" w:eastAsia="Times New Roman" w:cs="Times New Roman"/>
        <w:color w:val="555F6D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555F6D"/>
        <w:sz w:val="16"/>
      </w:rPr>
      <w:t>Методика и паспорт данных — МНКЦ им. С.П. Боткина, 2025 год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и паспорт данных — МНКЦ им. С.П. Боткина, 2025 год</dc:title>
  <dc:subject/>
  <dc:creator>Аналитический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