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8B0B0B"/>
          <w:sz w:val="24"/>
        </w:rPr>
        <w:t>⚠ ДЕМО-ВЕРСИЯ. Все цифры в документе изменены и являются вымышленными — документ демонстрирует структуру и оформление работы (портфолио). Реальные показатели в исходных материалах иные.</w:t>
      </w:r>
    </w:p>
    <w:p/>
    <w:p/>
    <w:p/>
    <w:p>
      <w:pPr>
        <w:jc w:val="center"/>
      </w:pPr>
      <w:r>
        <w:rPr>
          <w:b/>
          <w:color w:val="0B3D5C"/>
          <w:sz w:val="88"/>
        </w:rPr>
        <w:t>VitaGen-AI</w:t>
      </w:r>
    </w:p>
    <w:p>
      <w:pPr>
        <w:jc w:val="center"/>
      </w:pPr>
      <w:r>
        <w:rPr>
          <w:color w:val="1B9AAA"/>
          <w:sz w:val="30"/>
        </w:rPr>
        <w:t>Федеральная мультимодальная платформа прогнозирования</w:t>
        <w:br/>
        <w:t>репродуктивных исходов ВРТ на основе искусственного интеллекта</w:t>
      </w:r>
    </w:p>
    <w:p>
      <w:pPr>
        <w:jc w:val="center"/>
      </w:pPr>
      <w:r>
        <w:rPr>
          <w:b/>
          <w:sz w:val="28"/>
        </w:rPr>
        <w:br/>
        <w:t>ИНВЕСТИЦИОННЫЙ БИЗНЕС-ПЛАН</w:t>
        <w:br/>
        <w:t>для привлечения венчурного финансирования</w:t>
        <w:br/>
        <w:t>Раунд 1 · Seed 58 млн ₽ (2026) и Раунд 2 · Series A 78 млн ₽ (2027)</w:t>
      </w:r>
    </w:p>
    <w:p/>
    <w:tbl>
      <w:tblPr>
        <w:tblStyle w:val="TableGrid"/>
        <w:tblW w:type="auto" w:w="0"/>
        <w:jc w:val="center"/>
        <w:tblLook w:firstColumn="1" w:firstRow="1" w:lastColumn="0" w:lastRow="0" w:noHBand="0" w:noVBand="1" w:val="04A0"/>
      </w:tblPr>
      <w:tblGrid>
        <w:gridCol w:w="4819"/>
        <w:gridCol w:w="4819"/>
      </w:tblGrid>
      <w:tr>
        <w:tc>
          <w:tcPr>
            <w:tcW w:type="dxa" w:w="3402"/>
            <w:shd w:val="clear" w:color="auto" w:fill="0B3D5C"/>
          </w:tcPr>
          <w:p>
            <w:r/>
            <w:r>
              <w:rPr>
                <w:b/>
                <w:color w:val="FFFFFF"/>
                <w:sz w:val="20"/>
              </w:rPr>
              <w:t>Параметр</w:t>
            </w:r>
          </w:p>
        </w:tc>
        <w:tc>
          <w:tcPr>
            <w:tcW w:type="dxa" w:w="6236"/>
            <w:shd w:val="clear" w:color="auto" w:fill="0B3D5C"/>
          </w:tcPr>
          <w:p>
            <w:r/>
            <w:r>
              <w:rPr>
                <w:b/>
                <w:color w:val="FFFFFF"/>
                <w:sz w:val="20"/>
              </w:rPr>
              <w:t>Значение</w:t>
            </w:r>
          </w:p>
        </w:tc>
      </w:tr>
      <w:tr>
        <w:tc>
          <w:tcPr>
            <w:tcW w:type="dxa" w:w="3402"/>
          </w:tcPr>
          <w:p>
            <w:r/>
            <w:r>
              <w:rPr>
                <w:sz w:val="20"/>
              </w:rPr>
              <w:t>Инициатор / правообладатель РИД</w:t>
            </w:r>
          </w:p>
        </w:tc>
        <w:tc>
          <w:tcPr>
            <w:tcW w:type="dxa" w:w="6236"/>
          </w:tcPr>
          <w:p>
            <w:r/>
            <w:r>
              <w:rPr>
                <w:sz w:val="20"/>
              </w:rPr>
              <w:t>Петрушина М. В., генеральный директор ООО «МедТехПрима»</w:t>
            </w:r>
          </w:p>
        </w:tc>
      </w:tr>
      <w:tr>
        <w:tc>
          <w:tcPr>
            <w:tcW w:type="dxa" w:w="3402"/>
            <w:shd w:val="clear" w:color="auto" w:fill="F3F8FB"/>
          </w:tcPr>
          <w:p>
            <w:r/>
            <w:r>
              <w:rPr>
                <w:sz w:val="20"/>
              </w:rPr>
              <w:t>Проектная компания (рекомендуется)</w:t>
            </w:r>
          </w:p>
        </w:tc>
        <w:tc>
          <w:tcPr>
            <w:tcW w:type="dxa" w:w="6236"/>
            <w:shd w:val="clear" w:color="auto" w:fill="F3F8FB"/>
          </w:tcPr>
          <w:p>
            <w:r/>
            <w:r>
              <w:rPr>
                <w:sz w:val="20"/>
              </w:rPr>
              <w:t>Непубличное АО «ВИТА ГЕН АИ» (создаётся при инвестиции)</w:t>
            </w:r>
          </w:p>
        </w:tc>
      </w:tr>
      <w:tr>
        <w:tc>
          <w:tcPr>
            <w:tcW w:type="dxa" w:w="3402"/>
          </w:tcPr>
          <w:p>
            <w:r/>
            <w:r>
              <w:rPr>
                <w:sz w:val="20"/>
              </w:rPr>
              <w:t>Холдинг</w:t>
            </w:r>
          </w:p>
        </w:tc>
        <w:tc>
          <w:tcPr>
            <w:tcW w:type="dxa" w:w="6236"/>
          </w:tcPr>
          <w:p>
            <w:r/>
            <w:r>
              <w:rPr>
                <w:sz w:val="20"/>
              </w:rPr>
              <w:t>ООО «МедТехПрима»</w:t>
            </w:r>
          </w:p>
        </w:tc>
      </w:tr>
      <w:tr>
        <w:tc>
          <w:tcPr>
            <w:tcW w:type="dxa" w:w="3402"/>
            <w:shd w:val="clear" w:color="auto" w:fill="F3F8FB"/>
          </w:tcPr>
          <w:p>
            <w:r/>
            <w:r>
              <w:rPr>
                <w:sz w:val="20"/>
              </w:rPr>
              <w:t>Продукт</w:t>
            </w:r>
          </w:p>
        </w:tc>
        <w:tc>
          <w:tcPr>
            <w:tcW w:type="dxa" w:w="6236"/>
            <w:shd w:val="clear" w:color="auto" w:fill="F3F8FB"/>
          </w:tcPr>
          <w:p>
            <w:r/>
            <w:r>
              <w:rPr>
                <w:sz w:val="20"/>
              </w:rPr>
              <w:t>ИИ-платформа прогноза имплантационного потенциала эмбриона и клинической аналитики ВРТ (5 уровней данных: морфокинетика, геном эмбриона, клиника, геном пациентки, мужской фактор)</w:t>
            </w:r>
          </w:p>
        </w:tc>
      </w:tr>
      <w:tr>
        <w:tc>
          <w:tcPr>
            <w:tcW w:type="dxa" w:w="3402"/>
          </w:tcPr>
          <w:p>
            <w:r/>
            <w:r>
              <w:rPr>
                <w:sz w:val="20"/>
              </w:rPr>
              <w:t>Стадия</w:t>
            </w:r>
          </w:p>
        </w:tc>
        <w:tc>
          <w:tcPr>
            <w:tcW w:type="dxa" w:w="6236"/>
          </w:tcPr>
          <w:p>
            <w:r/>
            <w:r>
              <w:rPr>
                <w:sz w:val="20"/>
              </w:rPr>
              <w:t>Прототип + предварительная внутренняя валидация AUC = 0,81 (требуется проспективное исследование)</w:t>
            </w:r>
          </w:p>
        </w:tc>
      </w:tr>
      <w:tr>
        <w:tc>
          <w:tcPr>
            <w:tcW w:type="dxa" w:w="3402"/>
            <w:shd w:val="clear" w:color="auto" w:fill="F3F8FB"/>
          </w:tcPr>
          <w:p>
            <w:r/>
            <w:r>
              <w:rPr>
                <w:sz w:val="20"/>
              </w:rPr>
              <w:t>Рынки</w:t>
            </w:r>
          </w:p>
        </w:tc>
        <w:tc>
          <w:tcPr>
            <w:tcW w:type="dxa" w:w="6236"/>
            <w:shd w:val="clear" w:color="auto" w:fill="F3F8FB"/>
          </w:tcPr>
          <w:p>
            <w:r/>
            <w:r>
              <w:rPr>
                <w:sz w:val="20"/>
              </w:rPr>
              <w:t>РФ (федеральный запуск) → Китай через ЗСТ Хайнань → АТР (Индия, Япония, Корея и др.)</w:t>
            </w:r>
          </w:p>
        </w:tc>
      </w:tr>
      <w:tr>
        <w:tc>
          <w:tcPr>
            <w:tcW w:type="dxa" w:w="3402"/>
          </w:tcPr>
          <w:p>
            <w:r/>
            <w:r>
              <w:rPr>
                <w:sz w:val="20"/>
              </w:rPr>
              <w:t>Потребность в финансировании</w:t>
            </w:r>
          </w:p>
        </w:tc>
        <w:tc>
          <w:tcPr>
            <w:tcW w:type="dxa" w:w="6236"/>
          </w:tcPr>
          <w:p>
            <w:r/>
            <w:r>
              <w:rPr>
                <w:sz w:val="20"/>
              </w:rPr>
              <w:t>136 млн ₽ за два раунда: Seed 58 млн ₽ (2026) + Series A 78 млн ₽ (2027)</w:t>
            </w:r>
          </w:p>
        </w:tc>
      </w:tr>
      <w:tr>
        <w:tc>
          <w:tcPr>
            <w:tcW w:type="dxa" w:w="3402"/>
            <w:shd w:val="clear" w:color="auto" w:fill="F3F8FB"/>
          </w:tcPr>
          <w:p>
            <w:r/>
            <w:r>
              <w:rPr>
                <w:sz w:val="20"/>
              </w:rPr>
              <w:t>Ключевые финансы (2030, базовый сценарий)</w:t>
            </w:r>
          </w:p>
        </w:tc>
        <w:tc>
          <w:tcPr>
            <w:tcW w:type="dxa" w:w="6236"/>
            <w:shd w:val="clear" w:color="auto" w:fill="F3F8FB"/>
          </w:tcPr>
          <w:p>
            <w:r/>
            <w:r>
              <w:rPr>
                <w:sz w:val="20"/>
              </w:rPr>
              <w:t>Выручка 1352 млн ₽; EBITDA 963 млн ₽ (маржа 41%); EBITDA-безубыточность — 2028 г.</w:t>
            </w:r>
          </w:p>
        </w:tc>
      </w:tr>
      <w:tr>
        <w:tc>
          <w:tcPr>
            <w:tcW w:type="dxa" w:w="3402"/>
          </w:tcPr>
          <w:p>
            <w:r/>
            <w:r>
              <w:rPr>
                <w:sz w:val="20"/>
              </w:rPr>
              <w:t>Эффективность для инвестора (2031)</w:t>
            </w:r>
          </w:p>
        </w:tc>
        <w:tc>
          <w:tcPr>
            <w:tcW w:type="dxa" w:w="6236"/>
          </w:tcPr>
          <w:p>
            <w:r/>
            <w:r>
              <w:rPr>
                <w:sz w:val="20"/>
              </w:rPr>
              <w:t>IRR Seed ≈ 34% / MOIC 6,1×; IRR Series A ≈ 29% / MOIC 6,0×</w:t>
            </w:r>
          </w:p>
        </w:tc>
      </w:tr>
      <w:tr>
        <w:tc>
          <w:tcPr>
            <w:tcW w:type="dxa" w:w="3402"/>
            <w:shd w:val="clear" w:color="auto" w:fill="F3F8FB"/>
          </w:tcPr>
          <w:p>
            <w:r/>
            <w:r>
              <w:rPr>
                <w:sz w:val="20"/>
              </w:rPr>
              <w:t>Дата составления</w:t>
            </w:r>
          </w:p>
        </w:tc>
        <w:tc>
          <w:tcPr>
            <w:tcW w:type="dxa" w:w="6236"/>
            <w:shd w:val="clear" w:color="auto" w:fill="F3F8FB"/>
          </w:tcPr>
          <w:p>
            <w:r/>
            <w:r>
              <w:rPr>
                <w:sz w:val="20"/>
              </w:rPr>
              <w:t>Октябрь 2026 г.</w:t>
            </w:r>
          </w:p>
        </w:tc>
      </w:tr>
      <w:tr>
        <w:tc>
          <w:tcPr>
            <w:tcW w:type="dxa" w:w="3402"/>
          </w:tcPr>
          <w:p>
            <w:r/>
            <w:r>
              <w:rPr>
                <w:sz w:val="20"/>
              </w:rPr>
              <w:t>Гриф</w:t>
            </w:r>
          </w:p>
        </w:tc>
        <w:tc>
          <w:tcPr>
            <w:tcW w:type="dxa" w:w="6236"/>
          </w:tcPr>
          <w:p>
            <w:r/>
            <w:r>
              <w:rPr>
                <w:sz w:val="20"/>
              </w:rPr>
              <w:t>ДЕМО (цифры вымышлены). Не является коммерческим предложением.</w:t>
            </w:r>
          </w:p>
        </w:tc>
      </w:tr>
    </w:tbl>
    <w:p/>
    <w:p>
      <w:pPr>
        <w:jc w:val="center"/>
      </w:pPr>
      <w:r>
        <w:rPr>
          <w:i/>
          <w:sz w:val="18"/>
        </w:rPr>
        <w:t>Данный документ содержит ДЕМО (цифры вымышлены) и является демонстрацией оформления работы. Фото-материалы не являются рекламой.</w:t>
      </w:r>
    </w:p>
    <w:p>
      <w:r>
        <w:br w:type="page"/>
      </w:r>
    </w:p>
    <w:p>
      <w:pPr>
        <w:pStyle w:val="Heading1"/>
        <w:shd w:val="clear" w:color="auto" w:fill="EAF4F8"/>
      </w:pPr>
      <w:r>
        <w:t>АННОТАЦИЯ ПРОЕКТА</w:t>
      </w:r>
    </w:p>
    <w:p>
      <w:r>
        <w:rPr>
          <w:b w:val="0"/>
          <w:i w:val="0"/>
          <w:sz w:val="22"/>
        </w:rPr>
        <w:t>VitaGen-AI — мультимодальная платформа искусственного интеллекта для прогнозирования исходов вспомогательных репродуктивных технологий (ВРТ). Продукт объединяет пять независимых источников данных — морфокинетику эмбриона (таймлапс), геном эмбриона (PGT-A), клинический профиль и геном пациентки, а также мужской фактор (фрагментация ДНК, DFI) и иммуногенетический матчинг (KIR/HLA-C) — и выдаёт количественный прогноз имплантационного потенциала эмбриона (скор 0–151) вместе с рекомендацией селективного переноса.</w:t>
      </w:r>
    </w:p>
    <w:p>
      <w:r>
        <w:rPr>
          <w:b w:val="0"/>
          <w:i w:val="0"/>
          <w:sz w:val="22"/>
        </w:rPr>
        <w:t>Проект решает проблему низкой воспроизводимости и субъективности отбора эмбриона: по данным Федерального регистра ВРТ Минздрава РФ, результативность на перенос составляет в среднем 58–70%, значительная доля неудач обусловлена факторами, невидимыми для традиционного протокола. Повышение точности отбора — прямой путь к росту кумулятивной частоты живорождения (CLBR) и снижению стоимости одного живорождения, что критично как для коммерческих клиник, так и для системы ОМС.</w:t>
      </w:r>
    </w:p>
    <w:tbl>
      <w:tblPr>
        <w:tblW w:type="auto" w:w="0"/>
        <w:jc w:val="center"/>
        <w:tblLook w:firstColumn="1" w:firstRow="1" w:lastColumn="0" w:lastRow="0" w:noHBand="0" w:noVBand="1" w:val="04A0"/>
      </w:tblPr>
      <w:tblGrid>
        <w:gridCol w:w="4819"/>
        <w:gridCol w:w="4819"/>
      </w:tblGrid>
      <w:tr>
        <w:tc>
          <w:tcPr>
            <w:tcW w:type="dxa" w:w="4252"/>
            <w:shd w:val="clear" w:color="auto" w:fill="EAF4F8"/>
          </w:tcPr>
          <w:p>
            <w:r/>
            <w:r>
              <w:rPr>
                <w:b/>
                <w:color w:val="0B3D5C"/>
                <w:sz w:val="21"/>
              </w:rPr>
              <w:t>Стадия</w:t>
            </w:r>
          </w:p>
        </w:tc>
        <w:tc>
          <w:tcPr>
            <w:tcW w:type="dxa" w:w="5102"/>
            <w:shd w:val="clear" w:color="auto" w:fill="EAF4F8"/>
          </w:tcPr>
          <w:p>
            <w:r/>
            <w:r>
              <w:rPr>
                <w:b/>
                <w:sz w:val="21"/>
              </w:rPr>
              <w:t>Прототип + предварительная валидация AUC 0,81 (требуется проспективное исследование)</w:t>
            </w:r>
          </w:p>
        </w:tc>
      </w:tr>
      <w:tr>
        <w:tc>
          <w:tcPr>
            <w:tcW w:type="dxa" w:w="4252"/>
            <w:shd w:val="clear" w:color="auto" w:fill="EAF4F8"/>
          </w:tcPr>
          <w:p>
            <w:r/>
            <w:r>
              <w:rPr>
                <w:b/>
                <w:color w:val="0B3D5C"/>
                <w:sz w:val="21"/>
              </w:rPr>
              <w:t>Рынки</w:t>
            </w:r>
          </w:p>
        </w:tc>
        <w:tc>
          <w:tcPr>
            <w:tcW w:type="dxa" w:w="5102"/>
            <w:shd w:val="clear" w:color="auto" w:fill="EAF4F8"/>
          </w:tcPr>
          <w:p>
            <w:r/>
            <w:r>
              <w:rPr>
                <w:b/>
                <w:sz w:val="21"/>
              </w:rPr>
              <w:t>РФ (федеральный запуск) → Китай через ЗСТ Хайнань → АТР (Индия, Япония, Корея)</w:t>
            </w:r>
          </w:p>
        </w:tc>
      </w:tr>
      <w:tr>
        <w:tc>
          <w:tcPr>
            <w:tcW w:type="dxa" w:w="4252"/>
            <w:shd w:val="clear" w:color="auto" w:fill="EAF4F8"/>
          </w:tcPr>
          <w:p>
            <w:r/>
            <w:r>
              <w:rPr>
                <w:b/>
                <w:color w:val="0B3D5C"/>
                <w:sz w:val="21"/>
              </w:rPr>
              <w:t>Модель</w:t>
            </w:r>
          </w:p>
        </w:tc>
        <w:tc>
          <w:tcPr>
            <w:tcW w:type="dxa" w:w="5102"/>
            <w:shd w:val="clear" w:color="auto" w:fill="EAF4F8"/>
          </w:tcPr>
          <w:p>
            <w:r/>
            <w:r>
              <w:rPr>
                <w:b/>
                <w:sz w:val="21"/>
              </w:rPr>
              <w:t>SaaS-подписка + модули + матчинг донорства/СМ + B2G-аналитика + лицензии КНР/АТР</w:t>
            </w:r>
          </w:p>
        </w:tc>
      </w:tr>
      <w:tr>
        <w:tc>
          <w:tcPr>
            <w:tcW w:type="dxa" w:w="4252"/>
            <w:shd w:val="clear" w:color="auto" w:fill="EAF4F8"/>
          </w:tcPr>
          <w:p>
            <w:r/>
            <w:r>
              <w:rPr>
                <w:b/>
                <w:color w:val="0B3D5C"/>
                <w:sz w:val="21"/>
              </w:rPr>
              <w:t>Финансы 2030</w:t>
            </w:r>
          </w:p>
        </w:tc>
        <w:tc>
          <w:tcPr>
            <w:tcW w:type="dxa" w:w="5102"/>
            <w:shd w:val="clear" w:color="auto" w:fill="EAF4F8"/>
          </w:tcPr>
          <w:p>
            <w:r/>
            <w:r>
              <w:rPr>
                <w:b/>
                <w:sz w:val="21"/>
              </w:rPr>
              <w:t>Выручка 1352 млн ₽; EBITDA 963 млн ₽ (77,0%); CAGR выручки 260%</w:t>
            </w:r>
          </w:p>
        </w:tc>
      </w:tr>
      <w:tr>
        <w:tc>
          <w:tcPr>
            <w:tcW w:type="dxa" w:w="4252"/>
            <w:shd w:val="clear" w:color="auto" w:fill="EAF4F8"/>
          </w:tcPr>
          <w:p>
            <w:r/>
            <w:r>
              <w:rPr>
                <w:b/>
                <w:color w:val="0B3D5C"/>
                <w:sz w:val="21"/>
              </w:rPr>
              <w:t>Запрос</w:t>
            </w:r>
          </w:p>
        </w:tc>
        <w:tc>
          <w:tcPr>
            <w:tcW w:type="dxa" w:w="5102"/>
            <w:shd w:val="clear" w:color="auto" w:fill="EAF4F8"/>
          </w:tcPr>
          <w:p>
            <w:r/>
            <w:r>
              <w:rPr>
                <w:b/>
                <w:sz w:val="21"/>
              </w:rPr>
              <w:t>136 млн ₽: Seed 58 млн ₽ (2026) + Series A 78 млн ₽ (2027); гранты ≤17 млн ₽</w:t>
            </w:r>
          </w:p>
        </w:tc>
      </w:tr>
      <w:tr>
        <w:tc>
          <w:tcPr>
            <w:tcW w:type="dxa" w:w="4252"/>
            <w:shd w:val="clear" w:color="auto" w:fill="EAF4F8"/>
          </w:tcPr>
          <w:p>
            <w:r/>
            <w:r>
              <w:rPr>
                <w:b/>
                <w:color w:val="0B3D5C"/>
                <w:sz w:val="21"/>
              </w:rPr>
              <w:t>Доходность инвестора</w:t>
            </w:r>
          </w:p>
        </w:tc>
        <w:tc>
          <w:tcPr>
            <w:tcW w:type="dxa" w:w="5102"/>
            <w:shd w:val="clear" w:color="auto" w:fill="EAF4F8"/>
          </w:tcPr>
          <w:p>
            <w:r/>
            <w:r>
              <w:rPr>
                <w:b/>
                <w:sz w:val="21"/>
              </w:rPr>
              <w:t>Seed: IRR ≈34% / MOIC 6,1×; Series A: IRR ≈27% / MOIC 6,9× (exit 2031)</w:t>
            </w:r>
          </w:p>
        </w:tc>
      </w:tr>
    </w:tbl>
    <w:p/>
    <w:p>
      <w:r>
        <w:rPr>
          <w:b w:val="0"/>
          <w:i w:val="0"/>
          <w:sz w:val="22"/>
        </w:rPr>
        <w:t>Документ подготовлен по структуре, принятой в практике международных институтов развития (UNIDO, ЕБРР) и крупных аудиторско-консалтинговых методик (EY, KPMG, ТАСИС), с адаптацией к требованиям российского инвестора и венчурного рынка. Все финансовые цифры выведены из единой редактируемой финансовой модели и поддаются независимому пересчёту.</w:t>
      </w:r>
    </w:p>
    <w:p>
      <w:r>
        <w:br w:type="page"/>
      </w:r>
    </w:p>
    <w:p>
      <w:pPr>
        <w:pStyle w:val="Heading1"/>
        <w:shd w:val="clear" w:color="auto" w:fill="EAF4F8"/>
      </w:pPr>
      <w:r>
        <w:t>СОДЕРЖАНИЕ</w:t>
      </w:r>
    </w:p>
    <w:p>
      <w:r>
        <w:rPr>
          <w:i/>
          <w:color w:val="5A6A7A"/>
          <w:sz w:val="18"/>
        </w:rPr>
        <w:t>Для автоматического обновления содержания: выделите текст и нажмите F8 / «Обновить поле».</w:t>
      </w:r>
    </w:p>
    <w:p>
      <w:r>
        <w:fldChar w:fldCharType="begin"/>
      </w:r>
      <w:r>
        <w:instrText xml:space="preserve"> TOC \o "1-3" \h \z \u </w:instrText>
      </w:r>
      <w:r>
        <w:fldChar w:fldCharType="separate"/>
      </w:r>
      <w:r/>
      <w:r>
        <w:fldChar w:fldCharType="end"/>
      </w:r>
    </w:p>
    <w:p>
      <w:r>
        <w:br w:type="page"/>
      </w:r>
    </w:p>
    <w:p>
      <w:pPr>
        <w:pStyle w:val="Heading1"/>
        <w:shd w:val="clear" w:color="auto" w:fill="EAF4F8"/>
      </w:pPr>
      <w:r>
        <w:t>1. РЕЗЮМЕ ДЛЯ ИНВЕСТОРА (EXECUTIVE SUMMARY)</w:t>
      </w:r>
    </w:p>
    <w:p>
      <w:pPr>
        <w:pStyle w:val="Heading2"/>
      </w:pPr>
      <w:r>
        <w:t>1.1. Суть проекта</w:t>
      </w:r>
    </w:p>
    <w:p>
      <w:r>
        <w:rPr>
          <w:b w:val="0"/>
          <w:i w:val="0"/>
          <w:sz w:val="22"/>
        </w:rPr>
        <w:t>VitaGen-AI — российская мультимодальная ИИ-платформа, которая по пяти независимым источникам данных (морфокинетика эмбриона, геном эмбриона, клинический профиль пациентки, геном пациентки, мужской фактор) вычисляет прогноз имплантационного потенциала эмбриона (скор 0–151) и рекомендацию селективного переноса, а также расширяется на весь путь пациента в ВРТ: выбор стартовой дозы стимуляции, диагностика рецептивности эндометрия, неинвазивный прогноз плоидности, иммуногенетический матчинг доноров/суррогатных матерей и перинатальные прогнозы. Платформа конвертирует субъективную экспертную оценку эмбриолога в воспроизводимую и проверяемую количественную модель, снижая долю неудачных и повторных циклов.</w:t>
      </w:r>
    </w:p>
    <w:p>
      <w:r>
        <w:rPr>
          <w:b w:val="0"/>
          <w:i w:val="0"/>
          <w:sz w:val="22"/>
        </w:rPr>
        <w:t>Проблема. Средняя результативность ВРТ в России на перенос — около 58–70% (Федеральный регистр ВРТ Минздрава РФ); значимая доля неудач объясняется факторами, которые не учитываются традиционным отбором эмбриона: качество эндометрия, иммунная совместимость (KIR/HLA-C), мужской фактор (фрагментация ДНК DFI). Каждый повторный цикл — это прямые затраты квот ОМС и бюджета семьи. Демографический приоритет страны (нацпроект «Семья», цель СКР 1,9 к 2030 г.) делает повышение эффективности ВРТ национальной задачей.</w:t>
      </w:r>
    </w:p>
    <w:p>
      <w:pPr>
        <w:pStyle w:val="Heading2"/>
      </w:pPr>
      <w:r>
        <w:t>1.2. Продукт и инновация</w:t>
      </w:r>
    </w:p>
    <w:p>
      <w:pPr>
        <w:pStyle w:val="ListBullet"/>
        <w:ind w:left="340"/>
      </w:pPr>
      <w:r>
        <w:rPr>
          <w:b/>
        </w:rPr>
        <w:t>Мультимодальность — интеграция 5 источников данных: морфокинетика эмбриона, геном эмбриона, клиника, геном пациентки, мужской фактор (DFI);</w:t>
      </w:r>
      <w:r/>
    </w:p>
    <w:p>
      <w:pPr>
        <w:pStyle w:val="ListBullet"/>
        <w:ind w:left="340"/>
      </w:pPr>
      <w:r>
        <w:rPr>
          <w:b/>
        </w:rPr>
        <w:t>Единственная в РФ платформа с 5 модальностями; по обзорным публикациям 2024–2025 гг. коммерческие мировые аналоги не интегрируют мужской фактор (DFI) и иммунный матчинг KIR/HLA-C;</w:t>
      </w:r>
      <w:r/>
    </w:p>
    <w:p>
      <w:pPr>
        <w:pStyle w:val="ListBullet"/>
        <w:ind w:left="340"/>
      </w:pPr>
      <w:r>
        <w:rPr>
          <w:b/>
        </w:rPr>
        <w:t>Архитектура с masking — работает при неполных данных (донорские циклы, ограниченный генотип), что критично для клинической практики;</w:t>
      </w:r>
      <w:r/>
    </w:p>
    <w:p>
      <w:pPr>
        <w:pStyle w:val="ListBullet"/>
        <w:ind w:left="340"/>
      </w:pPr>
      <w:r>
        <w:rPr>
          <w:b/>
        </w:rPr>
        <w:t>Предварительная валидация: AUC = 0,81 против 0,55–0,69 у однофакторных решений (рост точности у мультимодальных моделей по обзорам — до +12–58%);</w:t>
      </w:r>
      <w:r/>
    </w:p>
    <w:p>
      <w:pPr>
        <w:pStyle w:val="ListBullet"/>
        <w:ind w:left="340"/>
      </w:pPr>
      <w:r>
        <w:rPr>
          <w:b/>
        </w:rPr>
        <w:t>Суверенность: 151% российская разработка, данные в РФ-облаке (152-ФЗ), замещение импортных решений в госсекторе.</w:t>
      </w:r>
      <w:r/>
    </w:p>
    <w:p>
      <w:pPr>
        <w:pStyle w:val="Heading2"/>
      </w:pPr>
      <w:r>
        <w:t>1.3. Инвестиционное предложение</w:t>
      </w:r>
    </w:p>
    <w:tbl>
      <w:tblPr>
        <w:tblW w:type="auto" w:w="0"/>
        <w:jc w:val="center"/>
        <w:tblLook w:firstColumn="1" w:firstRow="1" w:lastColumn="0" w:lastRow="0" w:noHBand="0" w:noVBand="1" w:val="04A0"/>
      </w:tblPr>
      <w:tblGrid>
        <w:gridCol w:w="4819"/>
        <w:gridCol w:w="4819"/>
      </w:tblGrid>
      <w:tr>
        <w:tc>
          <w:tcPr>
            <w:tcW w:type="dxa" w:w="4252"/>
            <w:shd w:val="clear" w:color="auto" w:fill="EAF4F8"/>
          </w:tcPr>
          <w:p>
            <w:r/>
            <w:r>
              <w:rPr>
                <w:b/>
                <w:color w:val="0B3D5C"/>
                <w:sz w:val="21"/>
              </w:rPr>
              <w:t>Потребность в инвестициях</w:t>
            </w:r>
          </w:p>
        </w:tc>
        <w:tc>
          <w:tcPr>
            <w:tcW w:type="dxa" w:w="5102"/>
            <w:shd w:val="clear" w:color="auto" w:fill="EAF4F8"/>
          </w:tcPr>
          <w:p>
            <w:r/>
            <w:r>
              <w:rPr>
                <w:b/>
                <w:sz w:val="21"/>
              </w:rPr>
              <w:t>136 млн ₽: Seed 58 млн ₽ (2026) + Series A 78 млн ₽ (2027)</w:t>
            </w:r>
          </w:p>
        </w:tc>
      </w:tr>
      <w:tr>
        <w:tc>
          <w:tcPr>
            <w:tcW w:type="dxa" w:w="4252"/>
            <w:shd w:val="clear" w:color="auto" w:fill="EAF4F8"/>
          </w:tcPr>
          <w:p>
            <w:r/>
            <w:r>
              <w:rPr>
                <w:b/>
                <w:color w:val="0B3D5C"/>
                <w:sz w:val="21"/>
              </w:rPr>
              <w:t>Pre-money (Seed)</w:t>
            </w:r>
          </w:p>
        </w:tc>
        <w:tc>
          <w:tcPr>
            <w:tcW w:type="dxa" w:w="5102"/>
            <w:shd w:val="clear" w:color="auto" w:fill="EAF4F8"/>
          </w:tcPr>
          <w:p>
            <w:r/>
            <w:r>
              <w:rPr>
                <w:b/>
                <w:sz w:val="21"/>
              </w:rPr>
              <w:t>165 млн ₽, включая оценку ИС 78 млн ₽ (отчёт независимого оценщика)</w:t>
            </w:r>
          </w:p>
        </w:tc>
      </w:tr>
      <w:tr>
        <w:tc>
          <w:tcPr>
            <w:tcW w:type="dxa" w:w="4252"/>
            <w:shd w:val="clear" w:color="auto" w:fill="EAF4F8"/>
          </w:tcPr>
          <w:p>
            <w:r/>
            <w:r>
              <w:rPr>
                <w:b/>
                <w:color w:val="0B3D5C"/>
                <w:sz w:val="21"/>
              </w:rPr>
              <w:t>Доля инвестора Seed</w:t>
            </w:r>
          </w:p>
        </w:tc>
        <w:tc>
          <w:tcPr>
            <w:tcW w:type="dxa" w:w="5102"/>
            <w:shd w:val="clear" w:color="auto" w:fill="EAF4F8"/>
          </w:tcPr>
          <w:p>
            <w:r/>
            <w:r>
              <w:rPr>
                <w:b/>
                <w:sz w:val="21"/>
              </w:rPr>
              <w:t>31,0% сразу после раунда; после Series A — 38,0%</w:t>
            </w:r>
          </w:p>
        </w:tc>
      </w:tr>
      <w:tr>
        <w:tc>
          <w:tcPr>
            <w:tcW w:type="dxa" w:w="4252"/>
            <w:shd w:val="clear" w:color="auto" w:fill="EAF4F8"/>
          </w:tcPr>
          <w:p>
            <w:r/>
            <w:r>
              <w:rPr>
                <w:b/>
                <w:color w:val="0B3D5C"/>
                <w:sz w:val="21"/>
              </w:rPr>
              <w:t>Доля инвестора Series A</w:t>
            </w:r>
          </w:p>
        </w:tc>
        <w:tc>
          <w:tcPr>
            <w:tcW w:type="dxa" w:w="5102"/>
            <w:shd w:val="clear" w:color="auto" w:fill="EAF4F8"/>
          </w:tcPr>
          <w:p>
            <w:r/>
            <w:r>
              <w:rPr>
                <w:b/>
                <w:sz w:val="21"/>
              </w:rPr>
              <w:t>25,0% (pre-money 420 млн ₽)</w:t>
            </w:r>
          </w:p>
        </w:tc>
      </w:tr>
      <w:tr>
        <w:tc>
          <w:tcPr>
            <w:tcW w:type="dxa" w:w="4252"/>
            <w:shd w:val="clear" w:color="auto" w:fill="EAF4F8"/>
          </w:tcPr>
          <w:p>
            <w:r/>
            <w:r>
              <w:rPr>
                <w:b/>
                <w:color w:val="0B3D5C"/>
                <w:sz w:val="21"/>
              </w:rPr>
              <w:t>Формат</w:t>
            </w:r>
          </w:p>
        </w:tc>
        <w:tc>
          <w:tcPr>
            <w:tcW w:type="dxa" w:w="5102"/>
            <w:shd w:val="clear" w:color="auto" w:fill="EAF4F8"/>
          </w:tcPr>
          <w:p>
            <w:r/>
            <w:r>
              <w:rPr>
                <w:b/>
                <w:sz w:val="21"/>
              </w:rPr>
              <w:t>Привилегированные акции непубличного АО, ликвидационная привилегия 1,8×, акционерное соглашение</w:t>
            </w:r>
          </w:p>
        </w:tc>
      </w:tr>
      <w:tr>
        <w:tc>
          <w:tcPr>
            <w:tcW w:type="dxa" w:w="4252"/>
            <w:shd w:val="clear" w:color="auto" w:fill="EAF4F8"/>
          </w:tcPr>
          <w:p>
            <w:r/>
            <w:r>
              <w:rPr>
                <w:b/>
                <w:color w:val="0B3D5C"/>
                <w:sz w:val="21"/>
              </w:rPr>
              <w:t>Опционный пул команды</w:t>
            </w:r>
          </w:p>
        </w:tc>
        <w:tc>
          <w:tcPr>
            <w:tcW w:type="dxa" w:w="5102"/>
            <w:shd w:val="clear" w:color="auto" w:fill="EAF4F8"/>
          </w:tcPr>
          <w:p>
            <w:r/>
            <w:r>
              <w:rPr>
                <w:b/>
                <w:sz w:val="21"/>
              </w:rPr>
              <w:t>≈26% (пост-инвестиционный)</w:t>
            </w:r>
          </w:p>
        </w:tc>
      </w:tr>
    </w:tbl>
    <w:p/>
    <w:p>
      <w:pPr>
        <w:pStyle w:val="Heading2"/>
      </w:pPr>
      <w:r>
        <w:t>1.4. Ключевые финансовые показатели (базовый сценарий, млн ₽)</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2948"/>
            <w:shd w:val="clear" w:color="auto" w:fill="0B3D5C"/>
          </w:tcPr>
          <w:p>
            <w:r/>
            <w:r>
              <w:rPr>
                <w:b/>
                <w:color w:val="FFFFFF"/>
                <w:sz w:val="20"/>
              </w:rPr>
              <w:t>Показатель</w:t>
            </w:r>
          </w:p>
        </w:tc>
        <w:tc>
          <w:tcPr>
            <w:tcW w:type="dxa" w:w="1191"/>
            <w:shd w:val="clear" w:color="auto" w:fill="0B3D5C"/>
          </w:tcPr>
          <w:p>
            <w:r/>
            <w:r>
              <w:rPr>
                <w:b/>
                <w:color w:val="FFFFFF"/>
                <w:sz w:val="20"/>
              </w:rPr>
              <w:t>2026</w:t>
            </w:r>
          </w:p>
        </w:tc>
        <w:tc>
          <w:tcPr>
            <w:tcW w:type="dxa" w:w="1191"/>
            <w:shd w:val="clear" w:color="auto" w:fill="0B3D5C"/>
          </w:tcPr>
          <w:p>
            <w:r/>
            <w:r>
              <w:rPr>
                <w:b/>
                <w:color w:val="FFFFFF"/>
                <w:sz w:val="20"/>
              </w:rPr>
              <w:t>2027</w:t>
            </w:r>
          </w:p>
        </w:tc>
        <w:tc>
          <w:tcPr>
            <w:tcW w:type="dxa" w:w="1191"/>
            <w:shd w:val="clear" w:color="auto" w:fill="0B3D5C"/>
          </w:tcPr>
          <w:p>
            <w:r/>
            <w:r>
              <w:rPr>
                <w:b/>
                <w:color w:val="FFFFFF"/>
                <w:sz w:val="20"/>
              </w:rPr>
              <w:t>2028</w:t>
            </w:r>
          </w:p>
        </w:tc>
        <w:tc>
          <w:tcPr>
            <w:tcW w:type="dxa" w:w="1191"/>
            <w:shd w:val="clear" w:color="auto" w:fill="0B3D5C"/>
          </w:tcPr>
          <w:p>
            <w:r/>
            <w:r>
              <w:rPr>
                <w:b/>
                <w:color w:val="FFFFFF"/>
                <w:sz w:val="20"/>
              </w:rPr>
              <w:t>2029</w:t>
            </w:r>
          </w:p>
        </w:tc>
        <w:tc>
          <w:tcPr>
            <w:tcW w:type="dxa" w:w="1191"/>
            <w:shd w:val="clear" w:color="auto" w:fill="0B3D5C"/>
          </w:tcPr>
          <w:p>
            <w:r/>
            <w:r>
              <w:rPr>
                <w:b/>
                <w:color w:val="FFFFFF"/>
                <w:sz w:val="20"/>
              </w:rPr>
              <w:t>2030</w:t>
            </w:r>
          </w:p>
        </w:tc>
      </w:tr>
      <w:tr>
        <w:tc>
          <w:tcPr>
            <w:tcW w:type="dxa" w:w="2948"/>
          </w:tcPr>
          <w:p>
            <w:r/>
            <w:r>
              <w:rPr>
                <w:sz w:val="20"/>
              </w:rPr>
              <w:t>Выручка</w:t>
            </w:r>
          </w:p>
        </w:tc>
        <w:tc>
          <w:tcPr>
            <w:tcW w:type="dxa" w:w="1191"/>
          </w:tcPr>
          <w:p>
            <w:r/>
            <w:r>
              <w:rPr>
                <w:sz w:val="20"/>
              </w:rPr>
              <w:t>14,0</w:t>
            </w:r>
          </w:p>
        </w:tc>
        <w:tc>
          <w:tcPr>
            <w:tcW w:type="dxa" w:w="1191"/>
          </w:tcPr>
          <w:p>
            <w:r/>
            <w:r>
              <w:rPr>
                <w:sz w:val="20"/>
              </w:rPr>
              <w:t>82,0</w:t>
            </w:r>
          </w:p>
        </w:tc>
        <w:tc>
          <w:tcPr>
            <w:tcW w:type="dxa" w:w="1191"/>
          </w:tcPr>
          <w:p>
            <w:r/>
            <w:r>
              <w:rPr>
                <w:sz w:val="20"/>
              </w:rPr>
              <w:t>139,0</w:t>
            </w:r>
          </w:p>
        </w:tc>
        <w:tc>
          <w:tcPr>
            <w:tcW w:type="dxa" w:w="1191"/>
          </w:tcPr>
          <w:p>
            <w:r/>
            <w:r>
              <w:rPr>
                <w:sz w:val="20"/>
              </w:rPr>
              <w:t>508,0</w:t>
            </w:r>
          </w:p>
        </w:tc>
        <w:tc>
          <w:tcPr>
            <w:tcW w:type="dxa" w:w="1191"/>
          </w:tcPr>
          <w:p>
            <w:r/>
            <w:r>
              <w:rPr>
                <w:sz w:val="20"/>
              </w:rPr>
              <w:t>1352,2</w:t>
            </w:r>
          </w:p>
        </w:tc>
      </w:tr>
      <w:tr>
        <w:tc>
          <w:tcPr>
            <w:tcW w:type="dxa" w:w="2948"/>
            <w:shd w:val="clear" w:color="auto" w:fill="F3F8FB"/>
          </w:tcPr>
          <w:p>
            <w:r/>
            <w:r>
              <w:rPr>
                <w:sz w:val="20"/>
              </w:rPr>
              <w:t>Операционные расходы</w:t>
            </w:r>
          </w:p>
        </w:tc>
        <w:tc>
          <w:tcPr>
            <w:tcW w:type="dxa" w:w="1191"/>
            <w:shd w:val="clear" w:color="auto" w:fill="F3F8FB"/>
          </w:tcPr>
          <w:p>
            <w:r/>
            <w:r>
              <w:rPr>
                <w:sz w:val="20"/>
              </w:rPr>
              <w:t>92,0</w:t>
            </w:r>
          </w:p>
        </w:tc>
        <w:tc>
          <w:tcPr>
            <w:tcW w:type="dxa" w:w="1191"/>
            <w:shd w:val="clear" w:color="auto" w:fill="F3F8FB"/>
          </w:tcPr>
          <w:p>
            <w:r/>
            <w:r>
              <w:rPr>
                <w:sz w:val="20"/>
              </w:rPr>
              <w:t>65,0</w:t>
            </w:r>
          </w:p>
        </w:tc>
        <w:tc>
          <w:tcPr>
            <w:tcW w:type="dxa" w:w="1191"/>
            <w:shd w:val="clear" w:color="auto" w:fill="F3F8FB"/>
          </w:tcPr>
          <w:p>
            <w:r/>
            <w:r>
              <w:rPr>
                <w:sz w:val="20"/>
              </w:rPr>
              <w:t>140,0</w:t>
            </w:r>
          </w:p>
        </w:tc>
        <w:tc>
          <w:tcPr>
            <w:tcW w:type="dxa" w:w="1191"/>
            <w:shd w:val="clear" w:color="auto" w:fill="F3F8FB"/>
          </w:tcPr>
          <w:p>
            <w:r/>
            <w:r>
              <w:rPr>
                <w:sz w:val="20"/>
              </w:rPr>
              <w:t>224</w:t>
            </w:r>
          </w:p>
        </w:tc>
        <w:tc>
          <w:tcPr>
            <w:tcW w:type="dxa" w:w="1191"/>
            <w:shd w:val="clear" w:color="auto" w:fill="F3F8FB"/>
          </w:tcPr>
          <w:p>
            <w:r/>
            <w:r>
              <w:rPr>
                <w:sz w:val="20"/>
              </w:rPr>
              <w:t>389</w:t>
            </w:r>
          </w:p>
        </w:tc>
      </w:tr>
      <w:tr>
        <w:tc>
          <w:tcPr>
            <w:tcW w:type="dxa" w:w="2948"/>
          </w:tcPr>
          <w:p>
            <w:r/>
            <w:r>
              <w:rPr>
                <w:sz w:val="20"/>
              </w:rPr>
              <w:t>EBITDA</w:t>
            </w:r>
          </w:p>
        </w:tc>
        <w:tc>
          <w:tcPr>
            <w:tcW w:type="dxa" w:w="1191"/>
          </w:tcPr>
          <w:p>
            <w:r/>
            <w:r>
              <w:rPr>
                <w:sz w:val="20"/>
              </w:rPr>
              <w:t>−94,0</w:t>
            </w:r>
          </w:p>
        </w:tc>
        <w:tc>
          <w:tcPr>
            <w:tcW w:type="dxa" w:w="1191"/>
          </w:tcPr>
          <w:p>
            <w:r/>
            <w:r>
              <w:rPr>
                <w:sz w:val="20"/>
              </w:rPr>
              <w:t>−51,0</w:t>
            </w:r>
          </w:p>
        </w:tc>
        <w:tc>
          <w:tcPr>
            <w:tcW w:type="dxa" w:w="1191"/>
          </w:tcPr>
          <w:p>
            <w:r/>
            <w:r>
              <w:rPr>
                <w:sz w:val="20"/>
              </w:rPr>
              <w:t>+7,2</w:t>
            </w:r>
          </w:p>
        </w:tc>
        <w:tc>
          <w:tcPr>
            <w:tcW w:type="dxa" w:w="1191"/>
          </w:tcPr>
          <w:p>
            <w:r/>
            <w:r>
              <w:rPr>
                <w:sz w:val="20"/>
              </w:rPr>
              <w:t>+103,0</w:t>
            </w:r>
          </w:p>
        </w:tc>
        <w:tc>
          <w:tcPr>
            <w:tcW w:type="dxa" w:w="1191"/>
          </w:tcPr>
          <w:p>
            <w:r/>
            <w:r>
              <w:rPr>
                <w:sz w:val="20"/>
              </w:rPr>
              <w:t>+963,2</w:t>
            </w:r>
          </w:p>
        </w:tc>
      </w:tr>
      <w:tr>
        <w:tc>
          <w:tcPr>
            <w:tcW w:type="dxa" w:w="2948"/>
            <w:shd w:val="clear" w:color="auto" w:fill="F3F8FB"/>
          </w:tcPr>
          <w:p>
            <w:r/>
            <w:r>
              <w:rPr>
                <w:sz w:val="20"/>
              </w:rPr>
              <w:t>EBITDA-маржа</w:t>
            </w:r>
          </w:p>
        </w:tc>
        <w:tc>
          <w:tcPr>
            <w:tcW w:type="dxa" w:w="1191"/>
            <w:shd w:val="clear" w:color="auto" w:fill="F3F8FB"/>
          </w:tcPr>
          <w:p>
            <w:r/>
            <w:r>
              <w:rPr>
                <w:sz w:val="20"/>
              </w:rPr>
              <w:t>-331%</w:t>
            </w:r>
          </w:p>
        </w:tc>
        <w:tc>
          <w:tcPr>
            <w:tcW w:type="dxa" w:w="1191"/>
            <w:shd w:val="clear" w:color="auto" w:fill="F3F8FB"/>
          </w:tcPr>
          <w:p>
            <w:r/>
            <w:r>
              <w:rPr>
                <w:sz w:val="20"/>
              </w:rPr>
              <w:t>-165%</w:t>
            </w:r>
          </w:p>
        </w:tc>
        <w:tc>
          <w:tcPr>
            <w:tcW w:type="dxa" w:w="1191"/>
            <w:shd w:val="clear" w:color="auto" w:fill="F3F8FB"/>
          </w:tcPr>
          <w:p>
            <w:r/>
            <w:r>
              <w:rPr>
                <w:sz w:val="20"/>
              </w:rPr>
              <w:t>+13%</w:t>
            </w:r>
          </w:p>
        </w:tc>
        <w:tc>
          <w:tcPr>
            <w:tcW w:type="dxa" w:w="1191"/>
            <w:shd w:val="clear" w:color="auto" w:fill="F3F8FB"/>
          </w:tcPr>
          <w:p>
            <w:r/>
            <w:r>
              <w:rPr>
                <w:sz w:val="20"/>
              </w:rPr>
              <w:t>+39%</w:t>
            </w:r>
          </w:p>
        </w:tc>
        <w:tc>
          <w:tcPr>
            <w:tcW w:type="dxa" w:w="1191"/>
            <w:shd w:val="clear" w:color="auto" w:fill="F3F8FB"/>
          </w:tcPr>
          <w:p>
            <w:r/>
            <w:r>
              <w:rPr>
                <w:sz w:val="20"/>
              </w:rPr>
              <w:t>+41%</w:t>
            </w:r>
          </w:p>
        </w:tc>
      </w:tr>
      <w:tr>
        <w:tc>
          <w:tcPr>
            <w:tcW w:type="dxa" w:w="2948"/>
          </w:tcPr>
          <w:p>
            <w:r/>
            <w:r>
              <w:rPr>
                <w:sz w:val="20"/>
              </w:rPr>
              <w:t>Чистая прибыль</w:t>
            </w:r>
          </w:p>
        </w:tc>
        <w:tc>
          <w:tcPr>
            <w:tcW w:type="dxa" w:w="1191"/>
          </w:tcPr>
          <w:p>
            <w:r/>
            <w:r>
              <w:rPr>
                <w:sz w:val="20"/>
              </w:rPr>
              <w:t>−94,0</w:t>
            </w:r>
          </w:p>
        </w:tc>
        <w:tc>
          <w:tcPr>
            <w:tcW w:type="dxa" w:w="1191"/>
          </w:tcPr>
          <w:p>
            <w:r/>
            <w:r>
              <w:rPr>
                <w:sz w:val="20"/>
              </w:rPr>
              <w:t>−51,0</w:t>
            </w:r>
          </w:p>
        </w:tc>
        <w:tc>
          <w:tcPr>
            <w:tcW w:type="dxa" w:w="1191"/>
          </w:tcPr>
          <w:p>
            <w:r/>
            <w:r>
              <w:rPr>
                <w:sz w:val="20"/>
              </w:rPr>
              <w:t>+10,0</w:t>
            </w:r>
          </w:p>
        </w:tc>
        <w:tc>
          <w:tcPr>
            <w:tcW w:type="dxa" w:w="1191"/>
          </w:tcPr>
          <w:p>
            <w:r/>
            <w:r>
              <w:rPr>
                <w:sz w:val="20"/>
              </w:rPr>
              <w:t>+93,0</w:t>
            </w:r>
          </w:p>
        </w:tc>
        <w:tc>
          <w:tcPr>
            <w:tcW w:type="dxa" w:w="1191"/>
          </w:tcPr>
          <w:p>
            <w:r/>
            <w:r>
              <w:rPr>
                <w:sz w:val="20"/>
              </w:rPr>
              <w:t>+235,0</w:t>
            </w:r>
          </w:p>
        </w:tc>
      </w:tr>
      <w:tr>
        <w:tc>
          <w:tcPr>
            <w:tcW w:type="dxa" w:w="2948"/>
            <w:shd w:val="clear" w:color="auto" w:fill="F3F8FB"/>
          </w:tcPr>
          <w:p>
            <w:r/>
            <w:r>
              <w:rPr>
                <w:sz w:val="20"/>
              </w:rPr>
              <w:t>Остаток денежных средств</w:t>
            </w:r>
          </w:p>
        </w:tc>
        <w:tc>
          <w:tcPr>
            <w:tcW w:type="dxa" w:w="1191"/>
            <w:shd w:val="clear" w:color="auto" w:fill="F3F8FB"/>
          </w:tcPr>
          <w:p>
            <w:r/>
            <w:r>
              <w:rPr>
                <w:sz w:val="20"/>
              </w:rPr>
              <w:t>0,4</w:t>
            </w:r>
          </w:p>
        </w:tc>
        <w:tc>
          <w:tcPr>
            <w:tcW w:type="dxa" w:w="1191"/>
            <w:shd w:val="clear" w:color="auto" w:fill="F3F8FB"/>
          </w:tcPr>
          <w:p>
            <w:r/>
            <w:r>
              <w:rPr>
                <w:sz w:val="20"/>
              </w:rPr>
              <w:t>38,0</w:t>
            </w:r>
          </w:p>
        </w:tc>
        <w:tc>
          <w:tcPr>
            <w:tcW w:type="dxa" w:w="1191"/>
            <w:shd w:val="clear" w:color="auto" w:fill="F3F8FB"/>
          </w:tcPr>
          <w:p>
            <w:r/>
            <w:r>
              <w:rPr>
                <w:sz w:val="20"/>
              </w:rPr>
              <w:t>47,0</w:t>
            </w:r>
          </w:p>
        </w:tc>
        <w:tc>
          <w:tcPr>
            <w:tcW w:type="dxa" w:w="1191"/>
            <w:shd w:val="clear" w:color="auto" w:fill="F3F8FB"/>
          </w:tcPr>
          <w:p>
            <w:r/>
            <w:r>
              <w:rPr>
                <w:sz w:val="20"/>
              </w:rPr>
              <w:t>206,0</w:t>
            </w:r>
          </w:p>
        </w:tc>
        <w:tc>
          <w:tcPr>
            <w:tcW w:type="dxa" w:w="1191"/>
            <w:shd w:val="clear" w:color="auto" w:fill="F3F8FB"/>
          </w:tcPr>
          <w:p>
            <w:r/>
            <w:r>
              <w:rPr>
                <w:sz w:val="20"/>
              </w:rPr>
              <w:t>189,0</w:t>
            </w:r>
          </w:p>
        </w:tc>
      </w:tr>
    </w:tbl>
    <w:p/>
    <w:p>
      <w:r>
        <w:rPr>
          <w:i/>
          <w:color w:val="5A6A7A"/>
          <w:sz w:val="18"/>
        </w:rPr>
        <w:t>Годовая выручка растёт с CAGR ≈ 260% (2026–2030): 915% → 140% → 115% → 136% год к году. Отклонения на 0,1 млн ₽ — округление.</w:t>
      </w:r>
    </w:p>
    <w:tbl>
      <w:tblPr>
        <w:tblW w:type="auto" w:w="0"/>
        <w:jc w:val="center"/>
        <w:tblLook w:firstColumn="1" w:firstRow="1" w:lastColumn="0" w:lastRow="0" w:noHBand="0" w:noVBand="1" w:val="04A0"/>
      </w:tblPr>
      <w:tblGrid>
        <w:gridCol w:w="4819"/>
        <w:gridCol w:w="4819"/>
      </w:tblGrid>
      <w:tr>
        <w:tc>
          <w:tcPr>
            <w:tcW w:type="dxa" w:w="4252"/>
            <w:shd w:val="clear" w:color="auto" w:fill="EAF4F8"/>
          </w:tcPr>
          <w:p>
            <w:r/>
            <w:r>
              <w:rPr>
                <w:b/>
                <w:color w:val="0B3D5C"/>
                <w:sz w:val="21"/>
              </w:rPr>
              <w:t>EBITDA-безубыточность</w:t>
            </w:r>
          </w:p>
        </w:tc>
        <w:tc>
          <w:tcPr>
            <w:tcW w:type="dxa" w:w="5102"/>
            <w:shd w:val="clear" w:color="auto" w:fill="EAF4F8"/>
          </w:tcPr>
          <w:p>
            <w:r/>
            <w:r>
              <w:rPr>
                <w:b/>
                <w:sz w:val="21"/>
              </w:rPr>
              <w:t>2028 г.; кассовый выход в плюс — 2028 г.; мин. остаток ДС 0,39 млн ₽ (2026Q1)</w:t>
            </w:r>
          </w:p>
        </w:tc>
      </w:tr>
      <w:tr>
        <w:tc>
          <w:tcPr>
            <w:tcW w:type="dxa" w:w="4252"/>
            <w:shd w:val="clear" w:color="auto" w:fill="EAF4F8"/>
          </w:tcPr>
          <w:p>
            <w:r/>
            <w:r>
              <w:rPr>
                <w:b/>
                <w:color w:val="0B3D5C"/>
                <w:sz w:val="21"/>
              </w:rPr>
              <w:t>Структура выручки 2030</w:t>
            </w:r>
          </w:p>
        </w:tc>
        <w:tc>
          <w:tcPr>
            <w:tcW w:type="dxa" w:w="5102"/>
            <w:shd w:val="clear" w:color="auto" w:fill="EAF4F8"/>
          </w:tcPr>
          <w:p>
            <w:r/>
            <w:r>
              <w:rPr>
                <w:b/>
                <w:sz w:val="21"/>
              </w:rPr>
              <w:t>SaaS-подписки ≈ 105%, модули ≈ 46%, матчинг ≈ 7%, B2G ≈ 6%, Хайнань/АТР ≈ 10%</w:t>
            </w:r>
          </w:p>
        </w:tc>
      </w:tr>
      <w:tr>
        <w:tc>
          <w:tcPr>
            <w:tcW w:type="dxa" w:w="4252"/>
            <w:shd w:val="clear" w:color="auto" w:fill="EAF4F8"/>
          </w:tcPr>
          <w:p>
            <w:r/>
            <w:r>
              <w:rPr>
                <w:b/>
                <w:color w:val="0B3D5C"/>
                <w:sz w:val="21"/>
              </w:rPr>
              <w:t>Ожидаемая стоимость при выходе (2031)</w:t>
            </w:r>
          </w:p>
        </w:tc>
        <w:tc>
          <w:tcPr>
            <w:tcW w:type="dxa" w:w="5102"/>
            <w:shd w:val="clear" w:color="auto" w:fill="EAF4F8"/>
          </w:tcPr>
          <w:p>
            <w:r/>
            <w:r>
              <w:rPr>
                <w:b/>
                <w:sz w:val="21"/>
              </w:rPr>
              <w:t>≈1 321 млн ₽ (EBITDA 320 млн ₽ × 6,5)</w:t>
            </w:r>
          </w:p>
        </w:tc>
      </w:tr>
      <w:tr>
        <w:tc>
          <w:tcPr>
            <w:tcW w:type="dxa" w:w="4252"/>
            <w:shd w:val="clear" w:color="auto" w:fill="EAF4F8"/>
          </w:tcPr>
          <w:p>
            <w:r/>
            <w:r>
              <w:rPr>
                <w:b/>
                <w:color w:val="0B3D5C"/>
                <w:sz w:val="21"/>
              </w:rPr>
              <w:t>IRR / MOIC инвестора Seed</w:t>
            </w:r>
          </w:p>
        </w:tc>
        <w:tc>
          <w:tcPr>
            <w:tcW w:type="dxa" w:w="5102"/>
            <w:shd w:val="clear" w:color="auto" w:fill="EAF4F8"/>
          </w:tcPr>
          <w:p>
            <w:r/>
            <w:r>
              <w:rPr>
                <w:b/>
                <w:sz w:val="21"/>
              </w:rPr>
              <w:t>≈ 52% / 8,0× (NPV @25% — 45,6 млн ₽)</w:t>
            </w:r>
          </w:p>
        </w:tc>
      </w:tr>
      <w:tr>
        <w:tc>
          <w:tcPr>
            <w:tcW w:type="dxa" w:w="4252"/>
            <w:shd w:val="clear" w:color="auto" w:fill="EAF4F8"/>
          </w:tcPr>
          <w:p>
            <w:r/>
            <w:r>
              <w:rPr>
                <w:b/>
                <w:color w:val="0B3D5C"/>
                <w:sz w:val="21"/>
              </w:rPr>
              <w:t>IRR / MOIC инвестора Series A</w:t>
            </w:r>
          </w:p>
        </w:tc>
        <w:tc>
          <w:tcPr>
            <w:tcW w:type="dxa" w:w="5102"/>
            <w:shd w:val="clear" w:color="auto" w:fill="EAF4F8"/>
          </w:tcPr>
          <w:p>
            <w:r/>
            <w:r>
              <w:rPr>
                <w:b/>
                <w:sz w:val="21"/>
              </w:rPr>
              <w:t>≈ 29% / 6,0×</w:t>
            </w:r>
          </w:p>
        </w:tc>
      </w:tr>
      <w:tr>
        <w:tc>
          <w:tcPr>
            <w:tcW w:type="dxa" w:w="4252"/>
            <w:shd w:val="clear" w:color="auto" w:fill="EAF4F8"/>
          </w:tcPr>
          <w:p>
            <w:r/>
            <w:r>
              <w:rPr>
                <w:b/>
                <w:color w:val="0B3D5C"/>
                <w:sz w:val="21"/>
              </w:rPr>
              <w:t>Дополнительные источники</w:t>
            </w:r>
          </w:p>
        </w:tc>
        <w:tc>
          <w:tcPr>
            <w:tcW w:type="dxa" w:w="5102"/>
            <w:shd w:val="clear" w:color="auto" w:fill="EAF4F8"/>
          </w:tcPr>
          <w:p>
            <w:r/>
            <w:r>
              <w:rPr>
                <w:b/>
                <w:sz w:val="21"/>
              </w:rPr>
              <w:t>Гранты ФСИ, Сколково, ВЭБ.РФ, ДЗМ: 12–14 млн ₽ non-dilutive (в модели — 17 млн ₽ за 2026–2030)</w:t>
            </w:r>
          </w:p>
        </w:tc>
      </w:tr>
    </w:tbl>
    <w:p/>
    <w:p>
      <w:pPr>
        <w:pStyle w:val="Heading2"/>
      </w:pPr>
      <w:r>
        <w:t>1.5. Направления использования средств</w:t>
      </w:r>
    </w:p>
    <w:p>
      <w:r>
        <w:rPr>
          <w:b w:val="0"/>
          <w:i w:val="0"/>
          <w:sz w:val="22"/>
        </w:rPr>
        <w:t>Раунд 1 (Seed, 58 млн ₽, 2026): доработка ядра платформы и интеграция с МИС клиник — 26 млн ₽; клиническая валидация на 6–14 тыс. циклов (РНИМУ им. Н. И. Пирогова и клиники-партнёры) — 10 млн ₽; регуляторика (регистрация ИИ-МИ, «песочница» ДЗМ) — 8 млн ₽; команда (ML-инженеры, эмбриолог-аналитик, CRA, регуляторный специалист) — 10 млн ₽; юридическое сопровождение и ИС — 4,3 млн ₽; резерв — 1,8 млн ₽.</w:t>
      </w:r>
    </w:p>
    <w:p>
      <w:r>
        <w:rPr>
          <w:b w:val="0"/>
          <w:i w:val="0"/>
          <w:sz w:val="22"/>
        </w:rPr>
        <w:t>Раунд 2 (Series A, 78 млн ₽, 2027): завершение пилота и публикация результатов; модульная линейка 2028 (niPGT-A, эндометрий, CLBR/Cost per Live Birth); коммерческий запуск по Москве и ключевым регионам; подготовка выхода в Китай — WFOE в ЗСТ Хайнань, gap-анализ NMPA.</w:t>
      </w:r>
    </w:p>
    <w:p>
      <w:r>
        <w:drawing>
          <wp:inline xmlns:a="http://schemas.openxmlformats.org/drawingml/2006/main" xmlns:pic="http://schemas.openxmlformats.org/drawingml/2006/picture">
            <wp:extent cx="5580000" cy="2319775"/>
            <wp:docPr id="1" name="Picture 1"/>
            <wp:cNvGraphicFramePr>
              <a:graphicFrameLocks noChangeAspect="1"/>
            </wp:cNvGraphicFramePr>
            <a:graphic>
              <a:graphicData uri="http://schemas.openxmlformats.org/drawingml/2006/picture">
                <pic:pic>
                  <pic:nvPicPr>
                    <pic:cNvPr id="0" name="bp_chart_funds.png"/>
                    <pic:cNvPicPr/>
                  </pic:nvPicPr>
                  <pic:blipFill>
                    <a:blip r:embed="rId10"/>
                    <a:stretch>
                      <a:fillRect/>
                    </a:stretch>
                  </pic:blipFill>
                  <pic:spPr>
                    <a:xfrm>
                      <a:off x="0" y="0"/>
                      <a:ext cx="5580000" cy="2319775"/>
                    </a:xfrm>
                    <a:prstGeom prst="rect"/>
                  </pic:spPr>
                </pic:pic>
              </a:graphicData>
            </a:graphic>
          </wp:inline>
        </w:drawing>
      </w:r>
    </w:p>
    <w:p>
      <w:pPr>
        <w:jc w:val="center"/>
      </w:pPr>
      <w:r>
        <w:rPr>
          <w:i/>
          <w:color w:val="5A6A7A"/>
          <w:sz w:val="19"/>
        </w:rPr>
        <w:t>Рис. 0.8. Использование средств раундов: Seed 2026 (58 млн ₽) и Series A 2027 (78 млн ₽)</w:t>
      </w:r>
    </w:p>
    <w:p>
      <w:pPr>
        <w:jc w:val="center"/>
      </w:pPr>
      <w:r>
        <w:rPr>
          <w:color w:val="5A6A7A"/>
          <w:sz w:val="16"/>
        </w:rPr>
        <w:t>Источник: бюджет проекта (Приложение А).</w:t>
      </w:r>
    </w:p>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4082"/>
            <w:shd w:val="clear" w:color="auto" w:fill="0B3D5C"/>
          </w:tcPr>
          <w:p>
            <w:r/>
            <w:r>
              <w:rPr>
                <w:b/>
                <w:color w:val="FFFFFF"/>
                <w:sz w:val="20"/>
              </w:rPr>
              <w:t>Функциональная линия</w:t>
            </w:r>
          </w:p>
        </w:tc>
        <w:tc>
          <w:tcPr>
            <w:tcW w:type="dxa" w:w="1417"/>
            <w:shd w:val="clear" w:color="auto" w:fill="0B3D5C"/>
          </w:tcPr>
          <w:p>
            <w:r/>
            <w:r>
              <w:rPr>
                <w:b/>
                <w:color w:val="FFFFFF"/>
                <w:sz w:val="20"/>
              </w:rPr>
              <w:t>Seed 2026, млн ₽</w:t>
            </w:r>
          </w:p>
        </w:tc>
        <w:tc>
          <w:tcPr>
            <w:tcW w:type="dxa" w:w="1417"/>
            <w:shd w:val="clear" w:color="auto" w:fill="0B3D5C"/>
          </w:tcPr>
          <w:p>
            <w:r/>
            <w:r>
              <w:rPr>
                <w:b/>
                <w:color w:val="FFFFFF"/>
                <w:sz w:val="20"/>
              </w:rPr>
              <w:t>Series A 2027, млн ₽</w:t>
            </w:r>
          </w:p>
        </w:tc>
        <w:tc>
          <w:tcPr>
            <w:tcW w:type="dxa" w:w="1417"/>
            <w:shd w:val="clear" w:color="auto" w:fill="0B3D5C"/>
          </w:tcPr>
          <w:p>
            <w:r/>
            <w:r>
              <w:rPr>
                <w:b/>
                <w:color w:val="FFFFFF"/>
                <w:sz w:val="20"/>
              </w:rPr>
              <w:t>Итого, млн ₽</w:t>
            </w:r>
          </w:p>
        </w:tc>
        <w:tc>
          <w:tcPr>
            <w:tcW w:type="dxa" w:w="1304"/>
            <w:shd w:val="clear" w:color="auto" w:fill="0B3D5C"/>
          </w:tcPr>
          <w:p>
            <w:r/>
            <w:r>
              <w:rPr>
                <w:b/>
                <w:color w:val="FFFFFF"/>
                <w:sz w:val="20"/>
              </w:rPr>
              <w:t>Доля</w:t>
            </w:r>
          </w:p>
        </w:tc>
      </w:tr>
      <w:tr>
        <w:tc>
          <w:tcPr>
            <w:tcW w:type="dxa" w:w="4082"/>
          </w:tcPr>
          <w:p>
            <w:r/>
            <w:r>
              <w:rPr>
                <w:sz w:val="20"/>
              </w:rPr>
              <w:t>R&amp;D ядра и продуктовая разработка</w:t>
            </w:r>
          </w:p>
        </w:tc>
        <w:tc>
          <w:tcPr>
            <w:tcW w:type="dxa" w:w="1417"/>
          </w:tcPr>
          <w:p>
            <w:r/>
            <w:r>
              <w:rPr>
                <w:sz w:val="20"/>
              </w:rPr>
              <w:t>26,0</w:t>
            </w:r>
          </w:p>
        </w:tc>
        <w:tc>
          <w:tcPr>
            <w:tcW w:type="dxa" w:w="1417"/>
          </w:tcPr>
          <w:p>
            <w:r/>
            <w:r>
              <w:rPr>
                <w:sz w:val="20"/>
              </w:rPr>
              <w:t>14,0</w:t>
            </w:r>
          </w:p>
        </w:tc>
        <w:tc>
          <w:tcPr>
            <w:tcW w:type="dxa" w:w="1417"/>
          </w:tcPr>
          <w:p>
            <w:r/>
            <w:r>
              <w:rPr>
                <w:sz w:val="20"/>
              </w:rPr>
              <w:t>46,0</w:t>
            </w:r>
          </w:p>
        </w:tc>
        <w:tc>
          <w:tcPr>
            <w:tcW w:type="dxa" w:w="1304"/>
          </w:tcPr>
          <w:p>
            <w:r/>
            <w:r>
              <w:rPr>
                <w:sz w:val="20"/>
              </w:rPr>
              <w:t>20%</w:t>
            </w:r>
          </w:p>
        </w:tc>
      </w:tr>
      <w:tr>
        <w:tc>
          <w:tcPr>
            <w:tcW w:type="dxa" w:w="4082"/>
            <w:shd w:val="clear" w:color="auto" w:fill="F3F8FB"/>
          </w:tcPr>
          <w:p>
            <w:r/>
            <w:r>
              <w:rPr>
                <w:sz w:val="20"/>
              </w:rPr>
              <w:t>Клиническая валидация и исследования</w:t>
            </w:r>
          </w:p>
        </w:tc>
        <w:tc>
          <w:tcPr>
            <w:tcW w:type="dxa" w:w="1417"/>
            <w:shd w:val="clear" w:color="auto" w:fill="F3F8FB"/>
          </w:tcPr>
          <w:p>
            <w:r/>
            <w:r>
              <w:rPr>
                <w:sz w:val="20"/>
              </w:rPr>
              <w:t>10,0</w:t>
            </w:r>
          </w:p>
        </w:tc>
        <w:tc>
          <w:tcPr>
            <w:tcW w:type="dxa" w:w="1417"/>
            <w:shd w:val="clear" w:color="auto" w:fill="F3F8FB"/>
          </w:tcPr>
          <w:p>
            <w:r/>
            <w:r>
              <w:rPr>
                <w:sz w:val="20"/>
              </w:rPr>
              <w:t>6,1</w:t>
            </w:r>
          </w:p>
        </w:tc>
        <w:tc>
          <w:tcPr>
            <w:tcW w:type="dxa" w:w="1417"/>
            <w:shd w:val="clear" w:color="auto" w:fill="F3F8FB"/>
          </w:tcPr>
          <w:p>
            <w:r/>
            <w:r>
              <w:rPr>
                <w:sz w:val="20"/>
              </w:rPr>
              <w:t>28,0</w:t>
            </w:r>
          </w:p>
        </w:tc>
        <w:tc>
          <w:tcPr>
            <w:tcW w:type="dxa" w:w="1304"/>
            <w:shd w:val="clear" w:color="auto" w:fill="F3F8FB"/>
          </w:tcPr>
          <w:p>
            <w:r/>
            <w:r>
              <w:rPr>
                <w:sz w:val="20"/>
              </w:rPr>
              <w:t>32%</w:t>
            </w:r>
          </w:p>
        </w:tc>
      </w:tr>
      <w:tr>
        <w:tc>
          <w:tcPr>
            <w:tcW w:type="dxa" w:w="4082"/>
          </w:tcPr>
          <w:p>
            <w:r/>
            <w:r>
              <w:rPr>
                <w:sz w:val="20"/>
              </w:rPr>
              <w:t>Регуляторика и защита ИС</w:t>
            </w:r>
          </w:p>
        </w:tc>
        <w:tc>
          <w:tcPr>
            <w:tcW w:type="dxa" w:w="1417"/>
          </w:tcPr>
          <w:p>
            <w:r/>
            <w:r>
              <w:rPr>
                <w:sz w:val="20"/>
              </w:rPr>
              <w:t>8,5</w:t>
            </w:r>
          </w:p>
        </w:tc>
        <w:tc>
          <w:tcPr>
            <w:tcW w:type="dxa" w:w="1417"/>
          </w:tcPr>
          <w:p>
            <w:r/>
            <w:r>
              <w:rPr>
                <w:sz w:val="20"/>
              </w:rPr>
              <w:t>4,3</w:t>
            </w:r>
          </w:p>
        </w:tc>
        <w:tc>
          <w:tcPr>
            <w:tcW w:type="dxa" w:w="1417"/>
          </w:tcPr>
          <w:p>
            <w:r/>
            <w:r>
              <w:rPr>
                <w:sz w:val="20"/>
              </w:rPr>
              <w:t>6,5</w:t>
            </w:r>
          </w:p>
        </w:tc>
        <w:tc>
          <w:tcPr>
            <w:tcW w:type="dxa" w:w="1304"/>
          </w:tcPr>
          <w:p>
            <w:r/>
            <w:r>
              <w:rPr>
                <w:sz w:val="20"/>
              </w:rPr>
              <w:t>8%</w:t>
            </w:r>
          </w:p>
        </w:tc>
      </w:tr>
      <w:tr>
        <w:tc>
          <w:tcPr>
            <w:tcW w:type="dxa" w:w="4082"/>
            <w:shd w:val="clear" w:color="auto" w:fill="F3F8FB"/>
          </w:tcPr>
          <w:p>
            <w:r/>
            <w:r>
              <w:rPr>
                <w:sz w:val="20"/>
              </w:rPr>
              <w:t>Команда (наём и удержание)</w:t>
            </w:r>
          </w:p>
        </w:tc>
        <w:tc>
          <w:tcPr>
            <w:tcW w:type="dxa" w:w="1417"/>
            <w:shd w:val="clear" w:color="auto" w:fill="F3F8FB"/>
          </w:tcPr>
          <w:p>
            <w:r/>
            <w:r>
              <w:rPr>
                <w:sz w:val="20"/>
              </w:rPr>
              <w:t>10,0</w:t>
            </w:r>
          </w:p>
        </w:tc>
        <w:tc>
          <w:tcPr>
            <w:tcW w:type="dxa" w:w="1417"/>
            <w:shd w:val="clear" w:color="auto" w:fill="F3F8FB"/>
          </w:tcPr>
          <w:p>
            <w:r/>
            <w:r>
              <w:rPr>
                <w:sz w:val="20"/>
              </w:rPr>
              <w:t>14,0</w:t>
            </w:r>
          </w:p>
        </w:tc>
        <w:tc>
          <w:tcPr>
            <w:tcW w:type="dxa" w:w="1417"/>
            <w:shd w:val="clear" w:color="auto" w:fill="F3F8FB"/>
          </w:tcPr>
          <w:p>
            <w:r/>
            <w:r>
              <w:rPr>
                <w:sz w:val="20"/>
              </w:rPr>
              <w:t>20,0</w:t>
            </w:r>
          </w:p>
        </w:tc>
        <w:tc>
          <w:tcPr>
            <w:tcW w:type="dxa" w:w="1304"/>
            <w:shd w:val="clear" w:color="auto" w:fill="F3F8FB"/>
          </w:tcPr>
          <w:p>
            <w:r/>
            <w:r>
              <w:rPr>
                <w:sz w:val="20"/>
              </w:rPr>
              <w:t>27%</w:t>
            </w:r>
          </w:p>
        </w:tc>
      </w:tr>
      <w:tr>
        <w:tc>
          <w:tcPr>
            <w:tcW w:type="dxa" w:w="4082"/>
          </w:tcPr>
          <w:p>
            <w:r/>
            <w:r>
              <w:rPr>
                <w:sz w:val="20"/>
              </w:rPr>
              <w:t>Маркетинг и продажи</w:t>
            </w:r>
          </w:p>
        </w:tc>
        <w:tc>
          <w:tcPr>
            <w:tcW w:type="dxa" w:w="1417"/>
          </w:tcPr>
          <w:p>
            <w:r/>
            <w:r>
              <w:rPr>
                <w:sz w:val="20"/>
              </w:rPr>
              <w:t>—</w:t>
            </w:r>
          </w:p>
        </w:tc>
        <w:tc>
          <w:tcPr>
            <w:tcW w:type="dxa" w:w="1417"/>
          </w:tcPr>
          <w:p>
            <w:r/>
            <w:r>
              <w:rPr>
                <w:sz w:val="20"/>
              </w:rPr>
              <w:t>13,0</w:t>
            </w:r>
          </w:p>
        </w:tc>
        <w:tc>
          <w:tcPr>
            <w:tcW w:type="dxa" w:w="1417"/>
          </w:tcPr>
          <w:p>
            <w:r/>
            <w:r>
              <w:rPr>
                <w:sz w:val="20"/>
              </w:rPr>
              <w:t>13,0</w:t>
            </w:r>
          </w:p>
        </w:tc>
        <w:tc>
          <w:tcPr>
            <w:tcW w:type="dxa" w:w="1304"/>
          </w:tcPr>
          <w:p>
            <w:r/>
            <w:r>
              <w:rPr>
                <w:sz w:val="20"/>
              </w:rPr>
              <w:t>6%</w:t>
            </w:r>
          </w:p>
        </w:tc>
      </w:tr>
      <w:tr>
        <w:tc>
          <w:tcPr>
            <w:tcW w:type="dxa" w:w="4082"/>
            <w:shd w:val="clear" w:color="auto" w:fill="F3F8FB"/>
          </w:tcPr>
          <w:p>
            <w:r/>
            <w:r>
              <w:rPr>
                <w:sz w:val="20"/>
              </w:rPr>
              <w:t>Юридическое сопровождение</w:t>
            </w:r>
          </w:p>
        </w:tc>
        <w:tc>
          <w:tcPr>
            <w:tcW w:type="dxa" w:w="1417"/>
            <w:shd w:val="clear" w:color="auto" w:fill="F3F8FB"/>
          </w:tcPr>
          <w:p>
            <w:r/>
            <w:r>
              <w:rPr>
                <w:sz w:val="20"/>
              </w:rPr>
              <w:t>4,3</w:t>
            </w:r>
          </w:p>
        </w:tc>
        <w:tc>
          <w:tcPr>
            <w:tcW w:type="dxa" w:w="1417"/>
            <w:shd w:val="clear" w:color="auto" w:fill="F3F8FB"/>
          </w:tcPr>
          <w:p>
            <w:r/>
            <w:r>
              <w:rPr>
                <w:sz w:val="20"/>
              </w:rPr>
              <w:t>0,7</w:t>
            </w:r>
          </w:p>
        </w:tc>
        <w:tc>
          <w:tcPr>
            <w:tcW w:type="dxa" w:w="1417"/>
            <w:shd w:val="clear" w:color="auto" w:fill="F3F8FB"/>
          </w:tcPr>
          <w:p>
            <w:r/>
            <w:r>
              <w:rPr>
                <w:sz w:val="20"/>
              </w:rPr>
              <w:t>5,5</w:t>
            </w:r>
          </w:p>
        </w:tc>
        <w:tc>
          <w:tcPr>
            <w:tcW w:type="dxa" w:w="1304"/>
            <w:shd w:val="clear" w:color="auto" w:fill="F3F8FB"/>
          </w:tcPr>
          <w:p>
            <w:r/>
            <w:r>
              <w:rPr>
                <w:sz w:val="20"/>
              </w:rPr>
              <w:t>3%</w:t>
            </w:r>
          </w:p>
        </w:tc>
      </w:tr>
      <w:tr>
        <w:tc>
          <w:tcPr>
            <w:tcW w:type="dxa" w:w="4082"/>
          </w:tcPr>
          <w:p>
            <w:r/>
            <w:r>
              <w:rPr>
                <w:sz w:val="20"/>
              </w:rPr>
              <w:t>Международный контур (КНР/АТР)</w:t>
            </w:r>
          </w:p>
        </w:tc>
        <w:tc>
          <w:tcPr>
            <w:tcW w:type="dxa" w:w="1417"/>
          </w:tcPr>
          <w:p>
            <w:r/>
            <w:r>
              <w:rPr>
                <w:sz w:val="20"/>
              </w:rPr>
              <w:t>—</w:t>
            </w:r>
          </w:p>
        </w:tc>
        <w:tc>
          <w:tcPr>
            <w:tcW w:type="dxa" w:w="1417"/>
          </w:tcPr>
          <w:p>
            <w:r/>
            <w:r>
              <w:rPr>
                <w:sz w:val="20"/>
              </w:rPr>
              <w:t>13,0</w:t>
            </w:r>
          </w:p>
        </w:tc>
        <w:tc>
          <w:tcPr>
            <w:tcW w:type="dxa" w:w="1417"/>
          </w:tcPr>
          <w:p>
            <w:r/>
            <w:r>
              <w:rPr>
                <w:sz w:val="20"/>
              </w:rPr>
              <w:t>13,0</w:t>
            </w:r>
          </w:p>
        </w:tc>
        <w:tc>
          <w:tcPr>
            <w:tcW w:type="dxa" w:w="1304"/>
          </w:tcPr>
          <w:p>
            <w:r/>
            <w:r>
              <w:rPr>
                <w:sz w:val="20"/>
              </w:rPr>
              <w:t>6%</w:t>
            </w:r>
          </w:p>
        </w:tc>
      </w:tr>
      <w:tr>
        <w:tc>
          <w:tcPr>
            <w:tcW w:type="dxa" w:w="4082"/>
            <w:shd w:val="clear" w:color="auto" w:fill="F3F8FB"/>
          </w:tcPr>
          <w:p>
            <w:r/>
            <w:r>
              <w:rPr>
                <w:sz w:val="20"/>
              </w:rPr>
              <w:t>Резерв</w:t>
            </w:r>
          </w:p>
        </w:tc>
        <w:tc>
          <w:tcPr>
            <w:tcW w:type="dxa" w:w="1417"/>
            <w:shd w:val="clear" w:color="auto" w:fill="F3F8FB"/>
          </w:tcPr>
          <w:p>
            <w:r/>
            <w:r>
              <w:rPr>
                <w:sz w:val="20"/>
              </w:rPr>
              <w:t>1,8</w:t>
            </w:r>
          </w:p>
        </w:tc>
        <w:tc>
          <w:tcPr>
            <w:tcW w:type="dxa" w:w="1417"/>
            <w:shd w:val="clear" w:color="auto" w:fill="F3F8FB"/>
          </w:tcPr>
          <w:p>
            <w:r/>
            <w:r>
              <w:rPr>
                <w:sz w:val="20"/>
              </w:rPr>
              <w:t>1,8</w:t>
            </w:r>
          </w:p>
        </w:tc>
        <w:tc>
          <w:tcPr>
            <w:tcW w:type="dxa" w:w="1417"/>
            <w:shd w:val="clear" w:color="auto" w:fill="F3F8FB"/>
          </w:tcPr>
          <w:p>
            <w:r/>
            <w:r>
              <w:rPr>
                <w:sz w:val="20"/>
              </w:rPr>
              <w:t>7,1</w:t>
            </w:r>
          </w:p>
        </w:tc>
        <w:tc>
          <w:tcPr>
            <w:tcW w:type="dxa" w:w="1304"/>
            <w:shd w:val="clear" w:color="auto" w:fill="F3F8FB"/>
          </w:tcPr>
          <w:p>
            <w:r/>
            <w:r>
              <w:rPr>
                <w:sz w:val="20"/>
              </w:rPr>
              <w:t>3%</w:t>
            </w:r>
          </w:p>
        </w:tc>
      </w:tr>
      <w:tr>
        <w:tc>
          <w:tcPr>
            <w:tcW w:type="dxa" w:w="4082"/>
          </w:tcPr>
          <w:p>
            <w:r/>
            <w:r>
              <w:rPr>
                <w:sz w:val="20"/>
              </w:rPr>
              <w:t>Итого</w:t>
            </w:r>
          </w:p>
        </w:tc>
        <w:tc>
          <w:tcPr>
            <w:tcW w:type="dxa" w:w="1417"/>
          </w:tcPr>
          <w:p>
            <w:r/>
            <w:r>
              <w:rPr>
                <w:sz w:val="20"/>
              </w:rPr>
              <w:t>58,0</w:t>
            </w:r>
          </w:p>
        </w:tc>
        <w:tc>
          <w:tcPr>
            <w:tcW w:type="dxa" w:w="1417"/>
          </w:tcPr>
          <w:p>
            <w:r/>
            <w:r>
              <w:rPr>
                <w:sz w:val="20"/>
              </w:rPr>
              <w:t>78,0</w:t>
            </w:r>
          </w:p>
        </w:tc>
        <w:tc>
          <w:tcPr>
            <w:tcW w:type="dxa" w:w="1417"/>
          </w:tcPr>
          <w:p>
            <w:r/>
            <w:r>
              <w:rPr>
                <w:sz w:val="20"/>
              </w:rPr>
              <w:t>136,0</w:t>
            </w:r>
          </w:p>
        </w:tc>
        <w:tc>
          <w:tcPr>
            <w:tcW w:type="dxa" w:w="1304"/>
          </w:tcPr>
          <w:p>
            <w:r/>
            <w:r>
              <w:rPr>
                <w:sz w:val="20"/>
              </w:rPr>
              <w:t>151%</w:t>
            </w:r>
          </w:p>
        </w:tc>
      </w:tr>
    </w:tbl>
    <w:p/>
    <w:p>
      <w:pPr>
        <w:pStyle w:val="Heading2"/>
      </w:pPr>
      <w:r>
        <w:t>1.6. Ключевые вехи</w:t>
      </w:r>
    </w:p>
    <w:tbl>
      <w:tblPr>
        <w:tblStyle w:val="TableGrid"/>
        <w:tblW w:type="auto" w:w="0"/>
        <w:jc w:val="center"/>
        <w:tblLook w:firstColumn="1" w:firstRow="1" w:lastColumn="0" w:lastRow="0" w:noHBand="0" w:noVBand="1" w:val="04A0"/>
      </w:tblPr>
      <w:tblGrid>
        <w:gridCol w:w="3213"/>
        <w:gridCol w:w="3213"/>
        <w:gridCol w:w="3213"/>
      </w:tblGrid>
      <w:tr>
        <w:tc>
          <w:tcPr>
            <w:tcW w:type="dxa" w:w="850"/>
            <w:shd w:val="clear" w:color="auto" w:fill="0B3D5C"/>
          </w:tcPr>
          <w:p>
            <w:r/>
            <w:r>
              <w:rPr>
                <w:b/>
                <w:color w:val="FFFFFF"/>
                <w:sz w:val="20"/>
              </w:rPr>
              <w:t>Год</w:t>
            </w:r>
          </w:p>
        </w:tc>
        <w:tc>
          <w:tcPr>
            <w:tcW w:type="dxa" w:w="5953"/>
            <w:shd w:val="clear" w:color="auto" w:fill="0B3D5C"/>
          </w:tcPr>
          <w:p>
            <w:r/>
            <w:r>
              <w:rPr>
                <w:b/>
                <w:color w:val="FFFFFF"/>
                <w:sz w:val="20"/>
              </w:rPr>
              <w:t>Веха</w:t>
            </w:r>
          </w:p>
        </w:tc>
        <w:tc>
          <w:tcPr>
            <w:tcW w:type="dxa" w:w="3118"/>
            <w:shd w:val="clear" w:color="auto" w:fill="0B3D5C"/>
          </w:tcPr>
          <w:p>
            <w:r/>
            <w:r>
              <w:rPr>
                <w:b/>
                <w:color w:val="FFFFFF"/>
                <w:sz w:val="20"/>
              </w:rPr>
              <w:t>Результат для инвестора</w:t>
            </w:r>
          </w:p>
        </w:tc>
      </w:tr>
      <w:tr>
        <w:tc>
          <w:tcPr>
            <w:tcW w:type="dxa" w:w="850"/>
          </w:tcPr>
          <w:p>
            <w:r/>
            <w:r>
              <w:rPr>
                <w:sz w:val="20"/>
              </w:rPr>
              <w:t>2026</w:t>
            </w:r>
          </w:p>
        </w:tc>
        <w:tc>
          <w:tcPr>
            <w:tcW w:type="dxa" w:w="5953"/>
          </w:tcPr>
          <w:p>
            <w:r/>
            <w:r>
              <w:rPr>
                <w:sz w:val="20"/>
              </w:rPr>
              <w:t>Seed; доработка ядра; старт пилота РНИМУ; регистрация ПОЭВМ; депонирование ТЗ</w:t>
            </w:r>
          </w:p>
        </w:tc>
        <w:tc>
          <w:tcPr>
            <w:tcW w:type="dxa" w:w="3118"/>
          </w:tcPr>
          <w:p>
            <w:r/>
            <w:r>
              <w:rPr>
                <w:sz w:val="20"/>
              </w:rPr>
              <w:t>Защищённые РИД, питомник данных</w:t>
            </w:r>
          </w:p>
        </w:tc>
      </w:tr>
      <w:tr>
        <w:tc>
          <w:tcPr>
            <w:tcW w:type="dxa" w:w="850"/>
            <w:shd w:val="clear" w:color="auto" w:fill="F3F8FB"/>
          </w:tcPr>
          <w:p>
            <w:r/>
            <w:r>
              <w:rPr>
                <w:sz w:val="20"/>
              </w:rPr>
              <w:t>2027</w:t>
            </w:r>
          </w:p>
        </w:tc>
        <w:tc>
          <w:tcPr>
            <w:tcW w:type="dxa" w:w="5953"/>
            <w:shd w:val="clear" w:color="auto" w:fill="F3F8FB"/>
          </w:tcPr>
          <w:p>
            <w:r/>
            <w:r>
              <w:rPr>
                <w:sz w:val="20"/>
              </w:rPr>
              <w:t>Пилот 6–14 тыс. циклов; проспективная валидация; регистрация ИИ-МИ; первые контракты; Series A</w:t>
            </w:r>
          </w:p>
        </w:tc>
        <w:tc>
          <w:tcPr>
            <w:tcW w:type="dxa" w:w="3118"/>
            <w:shd w:val="clear" w:color="auto" w:fill="F3F8FB"/>
          </w:tcPr>
          <w:p>
            <w:r/>
            <w:r>
              <w:rPr>
                <w:sz w:val="20"/>
              </w:rPr>
              <w:t>Доказательная база, регуляторное разрешение</w:t>
            </w:r>
          </w:p>
        </w:tc>
      </w:tr>
      <w:tr>
        <w:tc>
          <w:tcPr>
            <w:tcW w:type="dxa" w:w="850"/>
          </w:tcPr>
          <w:p>
            <w:r/>
            <w:r>
              <w:rPr>
                <w:sz w:val="20"/>
              </w:rPr>
              <w:t>2028</w:t>
            </w:r>
          </w:p>
        </w:tc>
        <w:tc>
          <w:tcPr>
            <w:tcW w:type="dxa" w:w="5953"/>
          </w:tcPr>
          <w:p>
            <w:r/>
            <w:r>
              <w:rPr>
                <w:sz w:val="20"/>
              </w:rPr>
              <w:t>Модули; масштабирование на Москву (~58 клиники); EBITDA-безубыточность</w:t>
            </w:r>
          </w:p>
        </w:tc>
        <w:tc>
          <w:tcPr>
            <w:tcW w:type="dxa" w:w="3118"/>
          </w:tcPr>
          <w:p>
            <w:r/>
            <w:r>
              <w:rPr>
                <w:sz w:val="20"/>
              </w:rPr>
              <w:t>Выход на операционную безубыточность</w:t>
            </w:r>
          </w:p>
        </w:tc>
      </w:tr>
      <w:tr>
        <w:tc>
          <w:tcPr>
            <w:tcW w:type="dxa" w:w="850"/>
            <w:shd w:val="clear" w:color="auto" w:fill="F3F8FB"/>
          </w:tcPr>
          <w:p>
            <w:r/>
            <w:r>
              <w:rPr>
                <w:sz w:val="20"/>
              </w:rPr>
              <w:t>2029</w:t>
            </w:r>
          </w:p>
        </w:tc>
        <w:tc>
          <w:tcPr>
            <w:tcW w:type="dxa" w:w="5953"/>
            <w:shd w:val="clear" w:color="auto" w:fill="F3F8FB"/>
          </w:tcPr>
          <w:p>
            <w:r/>
            <w:r>
              <w:rPr>
                <w:sz w:val="20"/>
              </w:rPr>
              <w:t>Регионы (92 клиник, 7 B2G); матчинг СМ; WFOE Хайнань</w:t>
            </w:r>
          </w:p>
        </w:tc>
        <w:tc>
          <w:tcPr>
            <w:tcW w:type="dxa" w:w="3118"/>
            <w:shd w:val="clear" w:color="auto" w:fill="F3F8FB"/>
          </w:tcPr>
          <w:p>
            <w:r/>
            <w:r>
              <w:rPr>
                <w:sz w:val="20"/>
              </w:rPr>
              <w:t>Федеральная выручка, международный трек</w:t>
            </w:r>
          </w:p>
        </w:tc>
      </w:tr>
      <w:tr>
        <w:tc>
          <w:tcPr>
            <w:tcW w:type="dxa" w:w="850"/>
          </w:tcPr>
          <w:p>
            <w:r/>
            <w:r>
              <w:rPr>
                <w:sz w:val="20"/>
              </w:rPr>
              <w:t>2030</w:t>
            </w:r>
          </w:p>
        </w:tc>
        <w:tc>
          <w:tcPr>
            <w:tcW w:type="dxa" w:w="5953"/>
          </w:tcPr>
          <w:p>
            <w:r/>
            <w:r>
              <w:rPr>
                <w:sz w:val="20"/>
              </w:rPr>
              <w:t>130+ клиник; 7 APAC-партнёра; файлинг; выручка 1352 млн ₽</w:t>
            </w:r>
          </w:p>
        </w:tc>
        <w:tc>
          <w:tcPr>
            <w:tcW w:type="dxa" w:w="3118"/>
          </w:tcPr>
          <w:p>
            <w:r/>
            <w:r>
              <w:rPr>
                <w:sz w:val="20"/>
              </w:rPr>
              <w:t>Подготовка к exit 2031</w:t>
            </w:r>
          </w:p>
        </w:tc>
      </w:tr>
    </w:tbl>
    <w:p/>
    <w:p>
      <w:pPr>
        <w:pStyle w:val="Heading2"/>
      </w:pPr>
      <w:r>
        <w:t>1.7. Основные риски и их прикрытие — кратко</w:t>
      </w:r>
    </w:p>
    <w:p>
      <w:r>
        <w:rPr>
          <w:b w:val="0"/>
          <w:i w:val="0"/>
          <w:sz w:val="22"/>
        </w:rPr>
        <w:t>Ключевые риски проекта и меры их минимизации подробно разобраны в разделе 28. Главные: регуляторный цикл регистрации ИИ-МИ (снижается пилотом в «песочнице» ДЗМ и ранней подачей), недостижение целевой точности в проспективном исследовании (поэтапная валидация, резервный бюджет), доступ к данным клиник (обезличивание, якорный партнёр РНИМУ), а также задержка Раунда 3 (грантовая «обочка» 17 млн ₽ за 8 лет).</w:t>
      </w:r>
    </w:p>
    <w:p>
      <w:pPr>
        <w:pStyle w:val="Heading2"/>
      </w:pPr>
      <w:r>
        <w:t>1.8. Сводный дашборд ключевых метрик проекта</w:t>
      </w:r>
    </w:p>
    <w:tbl>
      <w:tblPr>
        <w:tblW w:type="auto" w:w="0"/>
        <w:jc w:val="center"/>
        <w:tblLook w:firstColumn="1" w:firstRow="1" w:lastColumn="0" w:lastRow="0" w:noHBand="0" w:noVBand="1" w:val="04A0"/>
      </w:tblPr>
      <w:tblGrid>
        <w:gridCol w:w="4819"/>
        <w:gridCol w:w="4819"/>
      </w:tblGrid>
      <w:tr>
        <w:tc>
          <w:tcPr>
            <w:tcW w:type="dxa" w:w="4252"/>
            <w:shd w:val="clear" w:color="auto" w:fill="EAF4F8"/>
          </w:tcPr>
          <w:p>
            <w:r/>
            <w:r>
              <w:rPr>
                <w:b/>
                <w:color w:val="0B3D5C"/>
                <w:sz w:val="21"/>
              </w:rPr>
              <w:t>Продукт/технология</w:t>
            </w:r>
          </w:p>
        </w:tc>
        <w:tc>
          <w:tcPr>
            <w:tcW w:type="dxa" w:w="5102"/>
            <w:shd w:val="clear" w:color="auto" w:fill="EAF4F8"/>
          </w:tcPr>
          <w:p>
            <w:r/>
            <w:r>
              <w:rPr>
                <w:b/>
                <w:sz w:val="21"/>
              </w:rPr>
              <w:t>5 модальностей; masking-архитектура; AUC 0,81 (предв.); модули V3–V3 по графику</w:t>
            </w:r>
          </w:p>
        </w:tc>
      </w:tr>
      <w:tr>
        <w:tc>
          <w:tcPr>
            <w:tcW w:type="dxa" w:w="4252"/>
            <w:shd w:val="clear" w:color="auto" w:fill="EAF4F8"/>
          </w:tcPr>
          <w:p>
            <w:r/>
            <w:r>
              <w:rPr>
                <w:b/>
                <w:color w:val="0B3D5C"/>
                <w:sz w:val="21"/>
              </w:rPr>
              <w:t>Рынок</w:t>
            </w:r>
          </w:p>
        </w:tc>
        <w:tc>
          <w:tcPr>
            <w:tcW w:type="dxa" w:w="5102"/>
            <w:shd w:val="clear" w:color="auto" w:fill="EAF4F8"/>
          </w:tcPr>
          <w:p>
            <w:r/>
            <w:r>
              <w:rPr>
                <w:b/>
                <w:sz w:val="21"/>
              </w:rPr>
              <w:t>РФ: 197–261 тыс. циклов/год; SAM софт+аналитика 3–7 млрд ₽/год; КНР: 562–1166 тыс. циклов</w:t>
            </w:r>
          </w:p>
        </w:tc>
      </w:tr>
      <w:tr>
        <w:tc>
          <w:tcPr>
            <w:tcW w:type="dxa" w:w="4252"/>
            <w:shd w:val="clear" w:color="auto" w:fill="EAF4F8"/>
          </w:tcPr>
          <w:p>
            <w:r/>
            <w:r>
              <w:rPr>
                <w:b/>
                <w:color w:val="0B3D5C"/>
                <w:sz w:val="21"/>
              </w:rPr>
              <w:t>Бизнес-модель</w:t>
            </w:r>
          </w:p>
        </w:tc>
        <w:tc>
          <w:tcPr>
            <w:tcW w:type="dxa" w:w="5102"/>
            <w:shd w:val="clear" w:color="auto" w:fill="EAF4F8"/>
          </w:tcPr>
          <w:p>
            <w:r/>
            <w:r>
              <w:rPr>
                <w:b/>
                <w:sz w:val="21"/>
              </w:rPr>
              <w:t>SaaS + модули + матчинг + B2G + лицензии КНР/АТР; LTV/CAC &gt; 14×</w:t>
            </w:r>
          </w:p>
        </w:tc>
      </w:tr>
      <w:tr>
        <w:tc>
          <w:tcPr>
            <w:tcW w:type="dxa" w:w="4252"/>
            <w:shd w:val="clear" w:color="auto" w:fill="EAF4F8"/>
          </w:tcPr>
          <w:p>
            <w:r/>
            <w:r>
              <w:rPr>
                <w:b/>
                <w:color w:val="0B3D5C"/>
                <w:sz w:val="21"/>
              </w:rPr>
              <w:t>Финансы 2030 (баз.)</w:t>
            </w:r>
          </w:p>
        </w:tc>
        <w:tc>
          <w:tcPr>
            <w:tcW w:type="dxa" w:w="5102"/>
            <w:shd w:val="clear" w:color="auto" w:fill="EAF4F8"/>
          </w:tcPr>
          <w:p>
            <w:r/>
            <w:r>
              <w:rPr>
                <w:b/>
                <w:sz w:val="21"/>
              </w:rPr>
              <w:t>Выручка 1352 млн ₽; EBITDA 963 млн ₽ (77,0%); ЧП 115 млн ₽; CAGR 260%</w:t>
            </w:r>
          </w:p>
        </w:tc>
      </w:tr>
      <w:tr>
        <w:tc>
          <w:tcPr>
            <w:tcW w:type="dxa" w:w="4252"/>
            <w:shd w:val="clear" w:color="auto" w:fill="EAF4F8"/>
          </w:tcPr>
          <w:p>
            <w:r/>
            <w:r>
              <w:rPr>
                <w:b/>
                <w:color w:val="0B3D5C"/>
                <w:sz w:val="21"/>
              </w:rPr>
              <w:t>Капитал</w:t>
            </w:r>
          </w:p>
        </w:tc>
        <w:tc>
          <w:tcPr>
            <w:tcW w:type="dxa" w:w="5102"/>
            <w:shd w:val="clear" w:color="auto" w:fill="EAF4F8"/>
          </w:tcPr>
          <w:p>
            <w:r/>
            <w:r>
              <w:rPr>
                <w:b/>
                <w:sz w:val="21"/>
              </w:rPr>
              <w:t>Seed 58 (2026) + Series A 78 (2027); гранты ≤17; pre-money Seed 165 / Series A 420</w:t>
            </w:r>
          </w:p>
        </w:tc>
      </w:tr>
      <w:tr>
        <w:tc>
          <w:tcPr>
            <w:tcW w:type="dxa" w:w="4252"/>
            <w:shd w:val="clear" w:color="auto" w:fill="EAF4F8"/>
          </w:tcPr>
          <w:p>
            <w:r/>
            <w:r>
              <w:rPr>
                <w:b/>
                <w:color w:val="0B3D5C"/>
                <w:sz w:val="21"/>
              </w:rPr>
              <w:t>Доходность</w:t>
            </w:r>
          </w:p>
        </w:tc>
        <w:tc>
          <w:tcPr>
            <w:tcW w:type="dxa" w:w="5102"/>
            <w:shd w:val="clear" w:color="auto" w:fill="EAF4F8"/>
          </w:tcPr>
          <w:p>
            <w:r/>
            <w:r>
              <w:rPr>
                <w:b/>
                <w:sz w:val="21"/>
              </w:rPr>
              <w:t>Seed: IRR ≈34%/MOIC 6×; Series A: IRR ≈27%/MOIC 6,9×; exit 2031 при 6,5× EBITDA</w:t>
            </w:r>
          </w:p>
        </w:tc>
      </w:tr>
      <w:tr>
        <w:tc>
          <w:tcPr>
            <w:tcW w:type="dxa" w:w="4252"/>
            <w:shd w:val="clear" w:color="auto" w:fill="EAF4F8"/>
          </w:tcPr>
          <w:p>
            <w:r/>
            <w:r>
              <w:rPr>
                <w:b/>
                <w:color w:val="0B3D5C"/>
                <w:sz w:val="21"/>
              </w:rPr>
              <w:t>ИС</w:t>
            </w:r>
          </w:p>
        </w:tc>
        <w:tc>
          <w:tcPr>
            <w:tcW w:type="dxa" w:w="5102"/>
            <w:shd w:val="clear" w:color="auto" w:fill="EAF4F8"/>
          </w:tcPr>
          <w:p>
            <w:r/>
            <w:r>
              <w:rPr>
                <w:b/>
                <w:sz w:val="21"/>
              </w:rPr>
              <w:t>РИС №40-2161-967; 13 РИД; оценка 78 млн ₽; 3 патентных заявки 2026–2027</w:t>
            </w:r>
          </w:p>
        </w:tc>
      </w:tr>
      <w:tr>
        <w:tc>
          <w:tcPr>
            <w:tcW w:type="dxa" w:w="4252"/>
            <w:shd w:val="clear" w:color="auto" w:fill="EAF4F8"/>
          </w:tcPr>
          <w:p>
            <w:r/>
            <w:r>
              <w:rPr>
                <w:b/>
                <w:color w:val="0B3D5C"/>
                <w:sz w:val="21"/>
              </w:rPr>
              <w:t>Регуляторика</w:t>
            </w:r>
          </w:p>
        </w:tc>
        <w:tc>
          <w:tcPr>
            <w:tcW w:type="dxa" w:w="5102"/>
            <w:shd w:val="clear" w:color="auto" w:fill="EAF4F8"/>
          </w:tcPr>
          <w:p>
            <w:r/>
            <w:r>
              <w:rPr>
                <w:b/>
                <w:sz w:val="21"/>
              </w:rPr>
              <w:t>ПОЭВМ 2026; ИИ-МИ досье 2027; NMPA/PIPL (КНР) — 2028–2029</w:t>
            </w:r>
          </w:p>
        </w:tc>
      </w:tr>
    </w:tbl>
    <w:p/>
    <w:p>
      <w:pPr>
        <w:pStyle w:val="Heading2"/>
      </w:pPr>
      <w:r>
        <w:t>1.9. Текущий статус проекта и достижения</w:t>
      </w:r>
    </w:p>
    <w:tbl>
      <w:tblPr>
        <w:tblStyle w:val="TableGrid"/>
        <w:tblW w:type="auto" w:w="0"/>
        <w:jc w:val="center"/>
        <w:tblLook w:firstColumn="1" w:firstRow="1" w:lastColumn="0" w:lastRow="0" w:noHBand="0" w:noVBand="1" w:val="04A0"/>
      </w:tblPr>
      <w:tblGrid>
        <w:gridCol w:w="3213"/>
        <w:gridCol w:w="3213"/>
        <w:gridCol w:w="3213"/>
      </w:tblGrid>
      <w:tr>
        <w:tc>
          <w:tcPr>
            <w:tcW w:type="dxa" w:w="1701"/>
            <w:shd w:val="clear" w:color="auto" w:fill="0B3D5C"/>
          </w:tcPr>
          <w:p>
            <w:r/>
            <w:r>
              <w:rPr>
                <w:b/>
                <w:color w:val="FFFFFF"/>
                <w:sz w:val="20"/>
              </w:rPr>
              <w:t>Направление</w:t>
            </w:r>
          </w:p>
        </w:tc>
        <w:tc>
          <w:tcPr>
            <w:tcW w:type="dxa" w:w="4762"/>
            <w:shd w:val="clear" w:color="auto" w:fill="0B3D5C"/>
          </w:tcPr>
          <w:p>
            <w:r/>
            <w:r>
              <w:rPr>
                <w:b/>
                <w:color w:val="FFFFFF"/>
                <w:sz w:val="20"/>
              </w:rPr>
              <w:t>Сделано на дату составления</w:t>
            </w:r>
          </w:p>
        </w:tc>
        <w:tc>
          <w:tcPr>
            <w:tcW w:type="dxa" w:w="2608"/>
            <w:shd w:val="clear" w:color="auto" w:fill="0B3D5C"/>
          </w:tcPr>
          <w:p>
            <w:r/>
            <w:r>
              <w:rPr>
                <w:b/>
                <w:color w:val="FFFFFF"/>
                <w:sz w:val="20"/>
              </w:rPr>
              <w:t>Осталось до Seed-метрик</w:t>
            </w:r>
          </w:p>
        </w:tc>
      </w:tr>
      <w:tr>
        <w:tc>
          <w:tcPr>
            <w:tcW w:type="dxa" w:w="1701"/>
          </w:tcPr>
          <w:p>
            <w:r/>
            <w:r>
              <w:rPr>
                <w:sz w:val="20"/>
              </w:rPr>
              <w:t>Продукт</w:t>
            </w:r>
          </w:p>
        </w:tc>
        <w:tc>
          <w:tcPr>
            <w:tcW w:type="dxa" w:w="4762"/>
          </w:tcPr>
          <w:p>
            <w:r/>
            <w:r>
              <w:rPr>
                <w:sz w:val="20"/>
              </w:rPr>
              <w:t>Разработан прототип мультимодальной модели; предварительная внутренняя валидация AUC 0,81</w:t>
            </w:r>
          </w:p>
        </w:tc>
        <w:tc>
          <w:tcPr>
            <w:tcW w:type="dxa" w:w="2608"/>
          </w:tcPr>
          <w:p>
            <w:r/>
            <w:r>
              <w:rPr>
                <w:sz w:val="20"/>
              </w:rPr>
              <w:t>Промышленный MVP и интеграции с МИС</w:t>
            </w:r>
          </w:p>
        </w:tc>
      </w:tr>
      <w:tr>
        <w:tc>
          <w:tcPr>
            <w:tcW w:type="dxa" w:w="1701"/>
            <w:shd w:val="clear" w:color="auto" w:fill="F3F8FB"/>
          </w:tcPr>
          <w:p>
            <w:r/>
            <w:r>
              <w:rPr>
                <w:sz w:val="20"/>
              </w:rPr>
              <w:t>Данные</w:t>
            </w:r>
          </w:p>
        </w:tc>
        <w:tc>
          <w:tcPr>
            <w:tcW w:type="dxa" w:w="4762"/>
            <w:shd w:val="clear" w:color="auto" w:fill="F3F8FB"/>
          </w:tcPr>
          <w:p>
            <w:r/>
            <w:r>
              <w:rPr>
                <w:sz w:val="20"/>
              </w:rPr>
              <w:t>Собрана пилотная база и методология разметки; заключён контакт с РНИМУ им. Н. И. Пирогова</w:t>
            </w:r>
          </w:p>
        </w:tc>
        <w:tc>
          <w:tcPr>
            <w:tcW w:type="dxa" w:w="2608"/>
            <w:shd w:val="clear" w:color="auto" w:fill="F3F8FB"/>
          </w:tcPr>
          <w:p>
            <w:r/>
            <w:r>
              <w:rPr>
                <w:sz w:val="20"/>
              </w:rPr>
              <w:t>6–14 тыс. циклов проспективно</w:t>
            </w:r>
          </w:p>
        </w:tc>
      </w:tr>
      <w:tr>
        <w:tc>
          <w:tcPr>
            <w:tcW w:type="dxa" w:w="1701"/>
          </w:tcPr>
          <w:p>
            <w:r/>
            <w:r>
              <w:rPr>
                <w:sz w:val="20"/>
              </w:rPr>
              <w:t>ИС</w:t>
            </w:r>
          </w:p>
        </w:tc>
        <w:tc>
          <w:tcPr>
            <w:tcW w:type="dxa" w:w="4762"/>
          </w:tcPr>
          <w:p>
            <w:r/>
            <w:r>
              <w:rPr>
                <w:sz w:val="20"/>
              </w:rPr>
              <w:t>Депонирование в РИС (свид. №40-2161-967 от 30.03.2026); подготовлены 13 объектов РИД; регистрация ПО</w:t>
            </w:r>
          </w:p>
        </w:tc>
        <w:tc>
          <w:tcPr>
            <w:tcW w:type="dxa" w:w="2608"/>
          </w:tcPr>
          <w:p>
            <w:r/>
            <w:r>
              <w:rPr>
                <w:sz w:val="20"/>
              </w:rPr>
              <w:t>3 патентные заявки 2026–2027</w:t>
            </w:r>
          </w:p>
        </w:tc>
      </w:tr>
      <w:tr>
        <w:tc>
          <w:tcPr>
            <w:tcW w:type="dxa" w:w="1701"/>
            <w:shd w:val="clear" w:color="auto" w:fill="F3F8FB"/>
          </w:tcPr>
          <w:p>
            <w:r/>
            <w:r>
              <w:rPr>
                <w:sz w:val="20"/>
              </w:rPr>
              <w:t>Регуляторика</w:t>
            </w:r>
          </w:p>
        </w:tc>
        <w:tc>
          <w:tcPr>
            <w:tcW w:type="dxa" w:w="4762"/>
            <w:shd w:val="clear" w:color="auto" w:fill="F3F8FB"/>
          </w:tcPr>
          <w:p>
            <w:r/>
            <w:r>
              <w:rPr>
                <w:sz w:val="20"/>
              </w:rPr>
              <w:t>Проработан план регистрации ИИ-МИ и пилота в «песочнице» ДЗМ</w:t>
            </w:r>
          </w:p>
        </w:tc>
        <w:tc>
          <w:tcPr>
            <w:tcW w:type="dxa" w:w="2608"/>
            <w:shd w:val="clear" w:color="auto" w:fill="F3F8FB"/>
          </w:tcPr>
          <w:p>
            <w:r/>
            <w:r>
              <w:rPr>
                <w:sz w:val="20"/>
              </w:rPr>
              <w:t>Подача досье и регистрация</w:t>
            </w:r>
          </w:p>
        </w:tc>
      </w:tr>
      <w:tr>
        <w:tc>
          <w:tcPr>
            <w:tcW w:type="dxa" w:w="1701"/>
          </w:tcPr>
          <w:p>
            <w:r/>
            <w:r>
              <w:rPr>
                <w:sz w:val="20"/>
              </w:rPr>
              <w:t>Команда</w:t>
            </w:r>
          </w:p>
        </w:tc>
        <w:tc>
          <w:tcPr>
            <w:tcW w:type="dxa" w:w="4762"/>
          </w:tcPr>
          <w:p>
            <w:r/>
            <w:r>
              <w:rPr>
                <w:sz w:val="20"/>
              </w:rPr>
              <w:t>Сформировано ядро (гендиректор, научный руководитель, ML-базовая команда)</w:t>
            </w:r>
          </w:p>
        </w:tc>
        <w:tc>
          <w:tcPr>
            <w:tcW w:type="dxa" w:w="2608"/>
          </w:tcPr>
          <w:p>
            <w:r/>
            <w:r>
              <w:rPr>
                <w:sz w:val="20"/>
              </w:rPr>
              <w:t>Найм 6–14 специалистов на Seed</w:t>
            </w:r>
          </w:p>
        </w:tc>
      </w:tr>
      <w:tr>
        <w:tc>
          <w:tcPr>
            <w:tcW w:type="dxa" w:w="1701"/>
            <w:shd w:val="clear" w:color="auto" w:fill="F3F8FB"/>
          </w:tcPr>
          <w:p>
            <w:r/>
            <w:r>
              <w:rPr>
                <w:sz w:val="20"/>
              </w:rPr>
              <w:t>Финансы</w:t>
            </w:r>
          </w:p>
        </w:tc>
        <w:tc>
          <w:tcPr>
            <w:tcW w:type="dxa" w:w="4762"/>
            <w:shd w:val="clear" w:color="auto" w:fill="F3F8FB"/>
          </w:tcPr>
          <w:p>
            <w:r/>
            <w:r>
              <w:rPr>
                <w:sz w:val="20"/>
              </w:rPr>
              <w:t>Построена расширенная финмодель (32 листов) и подготовлен пакет документов</w:t>
            </w:r>
          </w:p>
        </w:tc>
        <w:tc>
          <w:tcPr>
            <w:tcW w:type="dxa" w:w="2608"/>
            <w:shd w:val="clear" w:color="auto" w:fill="F3F8FB"/>
          </w:tcPr>
          <w:p>
            <w:r/>
            <w:r>
              <w:rPr>
                <w:sz w:val="20"/>
              </w:rPr>
              <w:t>Закрытие Seed 58 млн ₽</w:t>
            </w:r>
          </w:p>
        </w:tc>
      </w:tr>
    </w:tbl>
    <w:p/>
    <w:p>
      <w:r>
        <w:rPr>
          <w:b w:val="0"/>
          <w:i w:val="0"/>
          <w:sz w:val="22"/>
        </w:rPr>
        <w:t>Статус «прототип + доказанная техническая гипотеза» — оптимальная точка входа для Seed-инвестора: технический риск существенно снижен, но основная стоимость ещё не создана, что обеспечивает высокую кратность возврата.</w:t>
      </w:r>
    </w:p>
    <w:p>
      <w:r>
        <w:br w:type="page"/>
      </w:r>
    </w:p>
    <w:p>
      <w:pPr>
        <w:pStyle w:val="Heading1"/>
        <w:shd w:val="clear" w:color="auto" w:fill="EAF4F8"/>
      </w:pPr>
      <w:r>
        <w:t>2. ВОЗМОЖНОСТЬ: ПРОБЛЕМА, РЕШЕНИЕ, ИННОВАЦИЯ</w:t>
      </w:r>
    </w:p>
    <w:p>
      <w:pPr>
        <w:pStyle w:val="Heading2"/>
      </w:pPr>
      <w:r>
        <w:t>2.1. Проблема</w:t>
      </w:r>
    </w:p>
    <w:p>
      <w:r>
        <w:rPr>
          <w:b w:val="0"/>
          <w:i w:val="0"/>
          <w:sz w:val="22"/>
        </w:rPr>
        <w:t>Технология ВРТ достигла плато: инструментально накоплены гигантские объёмы данных (таймлапс-видео развития эмбриона, генетические профили, гормональные и анамнестические массивы), однако решения о переносе по-прежнему принимаются преимущественно на основе визуальной оценки эмбриолога и небольшого набора лабораторных тестов. Следствия:</w:t>
      </w:r>
    </w:p>
    <w:p>
      <w:pPr>
        <w:pStyle w:val="ListBullet"/>
        <w:ind w:left="340"/>
      </w:pPr>
      <w:r>
        <w:t>значимая доля неудач переноса объясняется «невидимыми» для стандартного протокола факторами — качеством эндометрия, иммунной несовместимостью пары, скрытыми повреждениями отцовской ДНК;</w:t>
      </w:r>
    </w:p>
    <w:p>
      <w:pPr>
        <w:pStyle w:val="ListBullet"/>
        <w:ind w:left="340"/>
      </w:pPr>
      <w:r>
        <w:t>мужской фактор недооценён: DFI/MAR-тест часто не включается в протокол решения о переносе, хотя по литературным данным повышенная фрагментация ДНК (DFI &gt; 61%) устойчиво ассоциирована с ранними потерями;</w:t>
      </w:r>
    </w:p>
    <w:p>
      <w:pPr>
        <w:pStyle w:val="ListBullet"/>
        <w:ind w:left="340"/>
      </w:pPr>
      <w:r>
        <w:t>разброс квалификации эмбриологов приводит к невоспроизводимости оценок между клиниками и внутри клиники;</w:t>
      </w:r>
    </w:p>
    <w:p>
      <w:pPr>
        <w:pStyle w:val="ListBullet"/>
        <w:ind w:left="340"/>
      </w:pPr>
      <w:r>
        <w:t>для системы здравоохранения каждый повторный цикл — удвоение затрат квот ОМС; регионам не хватает инструмента управления кумулятивной частотой живорождения (CLBR) и стоимостью одного живорождения (Cost per Live Birth, CPLB).</w:t>
      </w:r>
    </w:p>
    <w:tbl>
      <w:tblPr>
        <w:tblW w:type="auto" w:w="0"/>
        <w:jc w:val="center"/>
        <w:tblLook w:firstColumn="1" w:firstRow="1" w:lastColumn="0" w:lastRow="0" w:noHBand="0" w:noVBand="1" w:val="04A0"/>
      </w:tblPr>
      <w:tblGrid>
        <w:gridCol w:w="4819"/>
        <w:gridCol w:w="4819"/>
      </w:tblGrid>
      <w:tr>
        <w:tc>
          <w:tcPr>
            <w:tcW w:type="dxa" w:w="4252"/>
            <w:shd w:val="clear" w:color="auto" w:fill="EAF4F8"/>
          </w:tcPr>
          <w:p>
            <w:r/>
            <w:r>
              <w:rPr>
                <w:b/>
                <w:color w:val="0B3D5C"/>
                <w:sz w:val="21"/>
              </w:rPr>
              <w:t>≈197–261 тыс.</w:t>
            </w:r>
          </w:p>
        </w:tc>
        <w:tc>
          <w:tcPr>
            <w:tcW w:type="dxa" w:w="5102"/>
            <w:shd w:val="clear" w:color="auto" w:fill="EAF4F8"/>
          </w:tcPr>
          <w:p>
            <w:r/>
            <w:r>
              <w:rPr>
                <w:b/>
                <w:sz w:val="21"/>
              </w:rPr>
              <w:t>циклов ВРТ в год в РФ (ФР ВРТ МЗ РФ)</w:t>
            </w:r>
          </w:p>
        </w:tc>
      </w:tr>
      <w:tr>
        <w:tc>
          <w:tcPr>
            <w:tcW w:type="dxa" w:w="4252"/>
            <w:shd w:val="clear" w:color="auto" w:fill="EAF4F8"/>
          </w:tcPr>
          <w:p>
            <w:r/>
            <w:r>
              <w:rPr>
                <w:b/>
                <w:color w:val="0B3D5C"/>
                <w:sz w:val="21"/>
              </w:rPr>
              <w:t>≈58–70%</w:t>
            </w:r>
          </w:p>
        </w:tc>
        <w:tc>
          <w:tcPr>
            <w:tcW w:type="dxa" w:w="5102"/>
            <w:shd w:val="clear" w:color="auto" w:fill="EAF4F8"/>
          </w:tcPr>
          <w:p>
            <w:r/>
            <w:r>
              <w:rPr>
                <w:b/>
                <w:sz w:val="21"/>
              </w:rPr>
              <w:t>средняя результативность на перенос (МЗ РФ)</w:t>
            </w:r>
          </w:p>
        </w:tc>
      </w:tr>
      <w:tr>
        <w:tc>
          <w:tcPr>
            <w:tcW w:type="dxa" w:w="4252"/>
            <w:shd w:val="clear" w:color="auto" w:fill="EAF4F8"/>
          </w:tcPr>
          <w:p>
            <w:r/>
            <w:r>
              <w:rPr>
                <w:b/>
                <w:color w:val="0B3D5C"/>
                <w:sz w:val="21"/>
              </w:rPr>
              <w:t>20–28%</w:t>
            </w:r>
          </w:p>
        </w:tc>
        <w:tc>
          <w:tcPr>
            <w:tcW w:type="dxa" w:w="5102"/>
            <w:shd w:val="clear" w:color="auto" w:fill="EAF4F8"/>
          </w:tcPr>
          <w:p>
            <w:r/>
            <w:r>
              <w:rPr>
                <w:b/>
                <w:sz w:val="21"/>
              </w:rPr>
              <w:t>пар в мире сталкиваются с бесплодием (ВОЗ)</w:t>
            </w:r>
          </w:p>
        </w:tc>
      </w:tr>
      <w:tr>
        <w:tc>
          <w:tcPr>
            <w:tcW w:type="dxa" w:w="4252"/>
            <w:shd w:val="clear" w:color="auto" w:fill="EAF4F8"/>
          </w:tcPr>
          <w:p>
            <w:r/>
            <w:r>
              <w:rPr>
                <w:b/>
                <w:color w:val="0B3D5C"/>
                <w:sz w:val="21"/>
              </w:rPr>
              <w:t>≈2,0</w:t>
            </w:r>
          </w:p>
        </w:tc>
        <w:tc>
          <w:tcPr>
            <w:tcW w:type="dxa" w:w="5102"/>
            <w:shd w:val="clear" w:color="auto" w:fill="EAF4F8"/>
          </w:tcPr>
          <w:p>
            <w:r/>
            <w:r>
              <w:rPr>
                <w:b/>
                <w:sz w:val="21"/>
              </w:rPr>
              <w:t>СКР в РФ — ниже уровня воспроизводства (Росстат)</w:t>
            </w:r>
          </w:p>
        </w:tc>
      </w:tr>
    </w:tbl>
    <w:p/>
    <w:p>
      <w:pPr>
        <w:pStyle w:val="Heading2"/>
      </w:pPr>
      <w:r>
        <w:t>2.2. Решение</w:t>
      </w:r>
    </w:p>
    <w:p>
      <w:r>
        <w:rPr>
          <w:b w:val="0"/>
          <w:i w:val="0"/>
          <w:sz w:val="22"/>
        </w:rPr>
        <w:t>VitaGen-AI агрегирует пять независимых уровней данных в единый количественный прогноз имплантации, делая процесс отбора эмбриона воспроизводимым, измеряемым и улучшаемым:</w:t>
      </w:r>
    </w:p>
    <w:tbl>
      <w:tblPr>
        <w:tblStyle w:val="TableGrid"/>
        <w:tblW w:type="auto" w:w="0"/>
        <w:jc w:val="center"/>
        <w:tblLook w:firstColumn="1" w:firstRow="1" w:lastColumn="0" w:lastRow="0" w:noHBand="0" w:noVBand="1" w:val="04A0"/>
      </w:tblPr>
      <w:tblGrid>
        <w:gridCol w:w="3213"/>
        <w:gridCol w:w="3213"/>
        <w:gridCol w:w="3213"/>
      </w:tblGrid>
      <w:tr>
        <w:tc>
          <w:tcPr>
            <w:tcW w:type="dxa" w:w="2041"/>
            <w:shd w:val="clear" w:color="auto" w:fill="0B3D5C"/>
          </w:tcPr>
          <w:p>
            <w:r/>
            <w:r>
              <w:rPr>
                <w:b/>
                <w:color w:val="FFFFFF"/>
                <w:sz w:val="20"/>
              </w:rPr>
              <w:t>Уровень</w:t>
            </w:r>
          </w:p>
        </w:tc>
        <w:tc>
          <w:tcPr>
            <w:tcW w:type="dxa" w:w="3628"/>
            <w:shd w:val="clear" w:color="auto" w:fill="0B3D5C"/>
          </w:tcPr>
          <w:p>
            <w:r/>
            <w:r>
              <w:rPr>
                <w:b/>
                <w:color w:val="FFFFFF"/>
                <w:sz w:val="20"/>
              </w:rPr>
              <w:t>Данные</w:t>
            </w:r>
          </w:p>
        </w:tc>
        <w:tc>
          <w:tcPr>
            <w:tcW w:type="dxa" w:w="3515"/>
            <w:shd w:val="clear" w:color="auto" w:fill="0B3D5C"/>
          </w:tcPr>
          <w:p>
            <w:r/>
            <w:r>
              <w:rPr>
                <w:b/>
                <w:color w:val="FFFFFF"/>
                <w:sz w:val="20"/>
              </w:rPr>
              <w:t>Ценность для клиники</w:t>
            </w:r>
          </w:p>
        </w:tc>
      </w:tr>
      <w:tr>
        <w:tc>
          <w:tcPr>
            <w:tcW w:type="dxa" w:w="2041"/>
          </w:tcPr>
          <w:p>
            <w:r/>
            <w:r>
              <w:rPr>
                <w:sz w:val="20"/>
              </w:rPr>
              <w:t>1. Морфокинетика</w:t>
            </w:r>
          </w:p>
        </w:tc>
        <w:tc>
          <w:tcPr>
            <w:tcW w:type="dxa" w:w="3628"/>
          </w:tcPr>
          <w:p>
            <w:r/>
            <w:r>
              <w:rPr>
                <w:sz w:val="20"/>
              </w:rPr>
              <w:t>Таймлапс 12 1+ кадров, 41 параметров развития</w:t>
            </w:r>
          </w:p>
        </w:tc>
        <w:tc>
          <w:tcPr>
            <w:tcW w:type="dxa" w:w="3515"/>
          </w:tcPr>
          <w:p>
            <w:r/>
            <w:r>
              <w:rPr>
                <w:sz w:val="20"/>
              </w:rPr>
              <w:t>Аномалии, невидимые глазу эмбриолога</w:t>
            </w:r>
          </w:p>
        </w:tc>
      </w:tr>
      <w:tr>
        <w:tc>
          <w:tcPr>
            <w:tcW w:type="dxa" w:w="2041"/>
            <w:shd w:val="clear" w:color="auto" w:fill="F3F8FB"/>
          </w:tcPr>
          <w:p>
            <w:r/>
            <w:r>
              <w:rPr>
                <w:sz w:val="20"/>
              </w:rPr>
              <w:t>3. Геном эмбриона</w:t>
            </w:r>
          </w:p>
        </w:tc>
        <w:tc>
          <w:tcPr>
            <w:tcW w:type="dxa" w:w="3628"/>
            <w:shd w:val="clear" w:color="auto" w:fill="F3F8FB"/>
          </w:tcPr>
          <w:p>
            <w:r/>
            <w:r>
              <w:rPr>
                <w:sz w:val="20"/>
              </w:rPr>
              <w:t>PGT-A, маркеры имплантационного потенциала</w:t>
            </w:r>
          </w:p>
        </w:tc>
        <w:tc>
          <w:tcPr>
            <w:tcW w:type="dxa" w:w="3515"/>
            <w:shd w:val="clear" w:color="auto" w:fill="F3F8FB"/>
          </w:tcPr>
          <w:p>
            <w:r/>
            <w:r>
              <w:rPr>
                <w:sz w:val="20"/>
              </w:rPr>
              <w:t>Отбор эмбрионов с наибольшим шансом</w:t>
            </w:r>
          </w:p>
        </w:tc>
      </w:tr>
      <w:tr>
        <w:tc>
          <w:tcPr>
            <w:tcW w:type="dxa" w:w="2041"/>
          </w:tcPr>
          <w:p>
            <w:r/>
            <w:r>
              <w:rPr>
                <w:sz w:val="20"/>
              </w:rPr>
              <w:t>7. Клиника пациентки</w:t>
            </w:r>
          </w:p>
        </w:tc>
        <w:tc>
          <w:tcPr>
            <w:tcW w:type="dxa" w:w="3628"/>
          </w:tcPr>
          <w:p>
            <w:r/>
            <w:r>
              <w:rPr>
                <w:sz w:val="20"/>
              </w:rPr>
              <w:t>Возраст, АМГ, ИМТ, история ВРТ, эндометрий</w:t>
            </w:r>
          </w:p>
        </w:tc>
        <w:tc>
          <w:tcPr>
            <w:tcW w:type="dxa" w:w="3515"/>
          </w:tcPr>
          <w:p>
            <w:r/>
            <w:r>
              <w:rPr>
                <w:sz w:val="20"/>
              </w:rPr>
              <w:t>Индивидуальные факторы риска</w:t>
            </w:r>
          </w:p>
        </w:tc>
      </w:tr>
      <w:tr>
        <w:tc>
          <w:tcPr>
            <w:tcW w:type="dxa" w:w="2041"/>
            <w:shd w:val="clear" w:color="auto" w:fill="F3F8FB"/>
          </w:tcPr>
          <w:p>
            <w:r/>
            <w:r>
              <w:rPr>
                <w:sz w:val="20"/>
              </w:rPr>
              <w:t>3. Геном пациентки</w:t>
            </w:r>
          </w:p>
        </w:tc>
        <w:tc>
          <w:tcPr>
            <w:tcW w:type="dxa" w:w="3628"/>
            <w:shd w:val="clear" w:color="auto" w:fill="F3F8FB"/>
          </w:tcPr>
          <w:p>
            <w:r/>
            <w:r>
              <w:rPr>
                <w:sz w:val="20"/>
              </w:rPr>
              <w:t>PRS, KIR/HLA-C — иммунный риск</w:t>
            </w:r>
          </w:p>
        </w:tc>
        <w:tc>
          <w:tcPr>
            <w:tcW w:type="dxa" w:w="3515"/>
            <w:shd w:val="clear" w:color="auto" w:fill="F3F8FB"/>
          </w:tcPr>
          <w:p>
            <w:r/>
            <w:r>
              <w:rPr>
                <w:sz w:val="20"/>
              </w:rPr>
              <w:t>Прогноз реакции эндометрия</w:t>
            </w:r>
          </w:p>
        </w:tc>
      </w:tr>
      <w:tr>
        <w:tc>
          <w:tcPr>
            <w:tcW w:type="dxa" w:w="2041"/>
          </w:tcPr>
          <w:p>
            <w:r/>
            <w:r>
              <w:rPr>
                <w:sz w:val="20"/>
              </w:rPr>
              <w:t>8. Мужской фактор</w:t>
            </w:r>
          </w:p>
        </w:tc>
        <w:tc>
          <w:tcPr>
            <w:tcW w:type="dxa" w:w="3628"/>
          </w:tcPr>
          <w:p>
            <w:r/>
            <w:r>
              <w:rPr>
                <w:sz w:val="20"/>
              </w:rPr>
              <w:t>DFI, MAR-тест, спермограмма, ИКСИ/ПИКСИ</w:t>
            </w:r>
          </w:p>
        </w:tc>
        <w:tc>
          <w:tcPr>
            <w:tcW w:type="dxa" w:w="3515"/>
          </w:tcPr>
          <w:p>
            <w:r/>
            <w:r>
              <w:rPr>
                <w:sz w:val="20"/>
              </w:rPr>
              <w:t>Скрытые повреждения ДНК — ранние потери</w:t>
            </w:r>
          </w:p>
        </w:tc>
      </w:tr>
    </w:tbl>
    <w:p/>
    <w:p>
      <w:r>
        <w:rPr>
          <w:b w:val="0"/>
          <w:i w:val="0"/>
          <w:sz w:val="22"/>
        </w:rPr>
        <w:t>Модель (GNN/transformer, в исследовании) выдаёт скор имплантационного потенциала 0–151 и рекомендацию селективного переноса. Архитектура с masking автоматически перераспределяет веса при неполноте данных — это отличает платформу от «жёстких» моделей, требующих полного входа.</w:t>
      </w:r>
    </w:p>
    <w:p>
      <w:pPr>
        <w:pStyle w:val="Heading2"/>
      </w:pPr>
      <w:r>
        <w:t>2.3. Почему сейчас (timing)</w:t>
      </w:r>
    </w:p>
    <w:p>
      <w:pPr>
        <w:pStyle w:val="ListBullet"/>
        <w:ind w:left="340"/>
      </w:pPr>
      <w:r>
        <w:t>регуляторное окно: Минздрав и ДЗМ Москвы инициируют режимы упрощённой валидации ИИ-медизделий («песочница»);</w:t>
      </w:r>
    </w:p>
    <w:p>
      <w:pPr>
        <w:pStyle w:val="ListBullet"/>
        <w:ind w:left="340"/>
      </w:pPr>
      <w:r>
        <w:t>демографический приоритет: нацпроект «Семья» (Указ Президента РФ № 309 от 07.05.2024) — цель СКР 1,9 к 2030 г.; ВРТ — ключевой инструмент;</w:t>
      </w:r>
    </w:p>
    <w:p>
      <w:pPr>
        <w:pStyle w:val="ListBullet"/>
        <w:ind w:left="340"/>
      </w:pPr>
      <w:r>
        <w:t>данные созрели: стандарт таймлапс-инкубаторов и PGT в крупных клиниках РФ создал массивы, пригодные для обучения;</w:t>
      </w:r>
    </w:p>
    <w:p>
      <w:pPr>
        <w:pStyle w:val="ListBullet"/>
        <w:ind w:left="340"/>
      </w:pPr>
      <w:r>
        <w:t>импортозамещение: госсектору нужны суверенные ИИ-решения без санкционных рисков;</w:t>
      </w:r>
    </w:p>
    <w:p>
      <w:pPr>
        <w:pStyle w:val="ListBullet"/>
        <w:ind w:left="340"/>
      </w:pPr>
      <w:r>
        <w:t>копирование конкурентов отстаёт: зарубежные лидеры не адаптированы к РФ-протоколам и российской специфике данных.</w:t>
      </w:r>
    </w:p>
    <w:p>
      <w:pPr>
        <w:pStyle w:val="Heading2"/>
      </w:pPr>
      <w:r>
        <w:t>2.4. Инновационность и защищаемость</w:t>
      </w:r>
    </w:p>
    <w:p>
      <w:r>
        <w:rPr>
          <w:b w:val="0"/>
          <w:i w:val="0"/>
          <w:sz w:val="22"/>
        </w:rPr>
        <w:t>Инновация не в одном алгоритме, а в комбинации: интеграция мужского фактора (DFI) в прогноз имплантации и иммунный матчинг пары (KIR/HLA-C) в коммерческих продуктах мира, по данным обзоров 2024–2025 гг., отсутствуют. Это даёт патентно-чистую нишу (заявки 2026–2027) и дифференциацию. Защищаемость обеспечивается: регистрацией ПОЭВМ; депонированием ТЗ и датасетов; патентными заявками на способы; режимом ДЕМО (цифры вымышлены) на методологию; договорной эксклюзивностью (см. раздел 14).</w:t>
      </w:r>
    </w:p>
    <w:p>
      <w:pPr>
        <w:pStyle w:val="Heading2"/>
      </w:pPr>
      <w:r>
        <w:t>2.5. Клиническая ценность и единицы результата</w:t>
      </w:r>
    </w:p>
    <w:p>
      <w:r>
        <w:rPr>
          <w:b w:val="0"/>
          <w:i w:val="0"/>
          <w:sz w:val="22"/>
        </w:rPr>
        <w:t>Ключевая метрика для клиента и системы здравоохранения — кумулятивная частота живорождения (CLBR) на цикл стимуляции и стоимость одного живорождения (Cost per Live Birth, CPLB). Улучшая отбор эмбриона и прогноз рецептивности, платформа позволяет переносить эмбрион с большим имплантационным потенциалом в оптимальное окно, сокращая количество переносов и повторных циклов.</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608"/>
            <w:shd w:val="clear" w:color="auto" w:fill="0B3D5C"/>
          </w:tcPr>
          <w:p>
            <w:r/>
            <w:r>
              <w:rPr>
                <w:b/>
                <w:color w:val="FFFFFF"/>
                <w:sz w:val="20"/>
              </w:rPr>
              <w:t>Влияние на практику</w:t>
            </w:r>
          </w:p>
        </w:tc>
        <w:tc>
          <w:tcPr>
            <w:tcW w:type="dxa" w:w="2041"/>
            <w:shd w:val="clear" w:color="auto" w:fill="0B3D5C"/>
          </w:tcPr>
          <w:p>
            <w:r/>
            <w:r>
              <w:rPr>
                <w:b/>
                <w:color w:val="FFFFFF"/>
                <w:sz w:val="20"/>
              </w:rPr>
              <w:t>Без VitaGen (типично)</w:t>
            </w:r>
          </w:p>
        </w:tc>
        <w:tc>
          <w:tcPr>
            <w:tcW w:type="dxa" w:w="2608"/>
            <w:shd w:val="clear" w:color="auto" w:fill="0B3D5C"/>
          </w:tcPr>
          <w:p>
            <w:r/>
            <w:r>
              <w:rPr>
                <w:b/>
                <w:color w:val="FFFFFF"/>
                <w:sz w:val="20"/>
              </w:rPr>
              <w:t>С VitaGen (целевая модель)</w:t>
            </w:r>
          </w:p>
        </w:tc>
        <w:tc>
          <w:tcPr>
            <w:tcW w:type="dxa" w:w="1928"/>
            <w:shd w:val="clear" w:color="auto" w:fill="0B3D5C"/>
          </w:tcPr>
          <w:p>
            <w:r/>
            <w:r>
              <w:rPr>
                <w:b/>
                <w:color w:val="FFFFFF"/>
                <w:sz w:val="20"/>
              </w:rPr>
              <w:t>Экономический эффект</w:t>
            </w:r>
          </w:p>
        </w:tc>
      </w:tr>
      <w:tr>
        <w:tc>
          <w:tcPr>
            <w:tcW w:type="dxa" w:w="2608"/>
          </w:tcPr>
          <w:p>
            <w:r/>
            <w:r>
              <w:rPr>
                <w:sz w:val="20"/>
              </w:rPr>
              <w:t>Implantation rate (средний перенос)</w:t>
            </w:r>
          </w:p>
        </w:tc>
        <w:tc>
          <w:tcPr>
            <w:tcW w:type="dxa" w:w="2041"/>
          </w:tcPr>
          <w:p>
            <w:r/>
            <w:r>
              <w:rPr>
                <w:sz w:val="20"/>
              </w:rPr>
              <w:t>≈70–78%</w:t>
            </w:r>
          </w:p>
        </w:tc>
        <w:tc>
          <w:tcPr>
            <w:tcW w:type="dxa" w:w="2608"/>
          </w:tcPr>
          <w:p>
            <w:r/>
            <w:r>
              <w:rPr>
                <w:sz w:val="20"/>
              </w:rPr>
              <w:t>64–126% (таргет прироста +12–61% в подгруппах)</w:t>
            </w:r>
          </w:p>
        </w:tc>
        <w:tc>
          <w:tcPr>
            <w:tcW w:type="dxa" w:w="1928"/>
          </w:tcPr>
          <w:p>
            <w:r/>
            <w:r>
              <w:rPr>
                <w:sz w:val="20"/>
              </w:rPr>
              <w:t>меньше циклов на живорождение</w:t>
            </w:r>
          </w:p>
        </w:tc>
      </w:tr>
      <w:tr>
        <w:tc>
          <w:tcPr>
            <w:tcW w:type="dxa" w:w="2608"/>
            <w:shd w:val="clear" w:color="auto" w:fill="F3F8FB"/>
          </w:tcPr>
          <w:p>
            <w:r/>
            <w:r>
              <w:rPr>
                <w:sz w:val="20"/>
              </w:rPr>
              <w:t>Частота отмены переноса</w:t>
            </w:r>
          </w:p>
        </w:tc>
        <w:tc>
          <w:tcPr>
            <w:tcW w:type="dxa" w:w="2041"/>
            <w:shd w:val="clear" w:color="auto" w:fill="F3F8FB"/>
          </w:tcPr>
          <w:p>
            <w:r/>
            <w:r>
              <w:rPr>
                <w:sz w:val="20"/>
              </w:rPr>
              <w:t>6–26%</w:t>
            </w:r>
          </w:p>
        </w:tc>
        <w:tc>
          <w:tcPr>
            <w:tcW w:type="dxa" w:w="2608"/>
            <w:shd w:val="clear" w:color="auto" w:fill="F3F8FB"/>
          </w:tcPr>
          <w:p>
            <w:r/>
            <w:r>
              <w:rPr>
                <w:sz w:val="20"/>
              </w:rPr>
              <w:t>8–10%</w:t>
            </w:r>
          </w:p>
        </w:tc>
        <w:tc>
          <w:tcPr>
            <w:tcW w:type="dxa" w:w="1928"/>
            <w:shd w:val="clear" w:color="auto" w:fill="F3F8FB"/>
          </w:tcPr>
          <w:p>
            <w:r/>
            <w:r>
              <w:rPr>
                <w:sz w:val="20"/>
              </w:rPr>
              <w:t>меньше расходов на дорогие инкубаторы</w:t>
            </w:r>
          </w:p>
        </w:tc>
      </w:tr>
      <w:tr>
        <w:tc>
          <w:tcPr>
            <w:tcW w:type="dxa" w:w="2608"/>
          </w:tcPr>
          <w:p>
            <w:r/>
            <w:r>
              <w:rPr>
                <w:sz w:val="20"/>
              </w:rPr>
              <w:t>CLBR (кумулятивно)</w:t>
            </w:r>
          </w:p>
        </w:tc>
        <w:tc>
          <w:tcPr>
            <w:tcW w:type="dxa" w:w="2041"/>
          </w:tcPr>
          <w:p>
            <w:r/>
            <w:r>
              <w:rPr>
                <w:sz w:val="20"/>
              </w:rPr>
              <w:t>78–92%</w:t>
            </w:r>
          </w:p>
        </w:tc>
        <w:tc>
          <w:tcPr>
            <w:tcW w:type="dxa" w:w="2608"/>
          </w:tcPr>
          <w:p>
            <w:r/>
            <w:r>
              <w:rPr>
                <w:sz w:val="20"/>
              </w:rPr>
              <w:t>до +14 п.п. (таргет проспективной валидации)</w:t>
            </w:r>
          </w:p>
        </w:tc>
        <w:tc>
          <w:tcPr>
            <w:tcW w:type="dxa" w:w="1928"/>
          </w:tcPr>
          <w:p>
            <w:r/>
            <w:r>
              <w:rPr>
                <w:sz w:val="20"/>
              </w:rPr>
              <w:t>репутация и рейтинги клиники</w:t>
            </w:r>
          </w:p>
        </w:tc>
      </w:tr>
      <w:tr>
        <w:tc>
          <w:tcPr>
            <w:tcW w:type="dxa" w:w="2608"/>
            <w:shd w:val="clear" w:color="auto" w:fill="F3F8FB"/>
          </w:tcPr>
          <w:p>
            <w:r/>
            <w:r>
              <w:rPr>
                <w:sz w:val="20"/>
              </w:rPr>
              <w:t>Cost per Live Birth</w:t>
            </w:r>
          </w:p>
        </w:tc>
        <w:tc>
          <w:tcPr>
            <w:tcW w:type="dxa" w:w="2041"/>
            <w:shd w:val="clear" w:color="auto" w:fill="F3F8FB"/>
          </w:tcPr>
          <w:p>
            <w:r/>
            <w:r>
              <w:rPr>
                <w:sz w:val="20"/>
              </w:rPr>
              <w:t>базовый уровень</w:t>
            </w:r>
          </w:p>
        </w:tc>
        <w:tc>
          <w:tcPr>
            <w:tcW w:type="dxa" w:w="2608"/>
            <w:shd w:val="clear" w:color="auto" w:fill="F3F8FB"/>
          </w:tcPr>
          <w:p>
            <w:r/>
            <w:r>
              <w:rPr>
                <w:sz w:val="20"/>
              </w:rPr>
              <w:t>−17–28%</w:t>
            </w:r>
          </w:p>
        </w:tc>
        <w:tc>
          <w:tcPr>
            <w:tcW w:type="dxa" w:w="1928"/>
            <w:shd w:val="clear" w:color="auto" w:fill="F3F8FB"/>
          </w:tcPr>
          <w:p>
            <w:r/>
            <w:r>
              <w:rPr>
                <w:sz w:val="20"/>
              </w:rPr>
              <w:t>ключевой аргумент для B2G/ОМС</w:t>
            </w:r>
          </w:p>
        </w:tc>
      </w:tr>
    </w:tbl>
    <w:p/>
    <w:p>
      <w:r>
        <w:rPr>
          <w:b w:val="0"/>
          <w:i w:val="0"/>
          <w:sz w:val="22"/>
        </w:rPr>
        <w:t>Целевые значения подлежат проспективной валидации (раздел 8, веха Q3–Q7 2027) и на данном этапе не являются гарантией — они служат гипотезами клинического исследования, согласованными с РНИМУ им. Н. И. Пирогова.</w:t>
      </w:r>
    </w:p>
    <w:p>
      <w:pPr>
        <w:pStyle w:val="Heading2"/>
      </w:pPr>
      <w:r>
        <w:t>2.6. Этические границы и принципы внедрения</w:t>
      </w:r>
    </w:p>
    <w:p>
      <w:pPr>
        <w:pStyle w:val="ListBullet"/>
        <w:ind w:left="340"/>
      </w:pPr>
      <w:r>
        <w:t>VitaGen — система поддержки принятия врачебного решения (СППВР): финальное решение о переносе всегда принимает врач;</w:t>
      </w:r>
    </w:p>
    <w:p>
      <w:pPr>
        <w:pStyle w:val="ListBullet"/>
        <w:ind w:left="340"/>
      </w:pPr>
      <w:r>
        <w:t>PGT-P (полигенный скрининг немедицинских признаков) не применяется; модель нацелена только на прогноз исходов и профилактику потерь;</w:t>
      </w:r>
    </w:p>
    <w:p>
      <w:pPr>
        <w:pStyle w:val="ListBullet"/>
        <w:ind w:left="340"/>
      </w:pPr>
      <w:r>
        <w:t>прозрачность: врач видит вклад каждого уровня данных в скор; описание ограничений модели — в интерфейсе;</w:t>
      </w:r>
    </w:p>
    <w:p>
      <w:pPr>
        <w:pStyle w:val="ListBullet"/>
        <w:ind w:left="340"/>
      </w:pPr>
      <w:r>
        <w:t>этический комитет в составе проектного контура; ежегодный ESG-отчёт (раздел Приложение Г).</w:t>
      </w:r>
    </w:p>
    <w:p>
      <w:pPr>
        <w:pStyle w:val="Heading2"/>
      </w:pPr>
      <w:r>
        <w:t>2.7. Пользовательские сценарии (customer journeys)</w:t>
      </w:r>
    </w:p>
    <w:tbl>
      <w:tblPr>
        <w:tblStyle w:val="TableGrid"/>
        <w:tblW w:type="auto" w:w="0"/>
        <w:jc w:val="center"/>
        <w:tblLook w:firstColumn="1" w:firstRow="1" w:lastColumn="0" w:lastRow="0" w:noHBand="0" w:noVBand="1" w:val="04A0"/>
      </w:tblPr>
      <w:tblGrid>
        <w:gridCol w:w="3213"/>
        <w:gridCol w:w="3213"/>
        <w:gridCol w:w="3213"/>
      </w:tblGrid>
      <w:tr>
        <w:tc>
          <w:tcPr>
            <w:tcW w:type="dxa" w:w="2041"/>
            <w:shd w:val="clear" w:color="auto" w:fill="0B3D5C"/>
          </w:tcPr>
          <w:p>
            <w:r/>
            <w:r>
              <w:rPr>
                <w:b/>
                <w:color w:val="FFFFFF"/>
                <w:sz w:val="20"/>
              </w:rPr>
              <w:t>Сценарий</w:t>
            </w:r>
          </w:p>
        </w:tc>
        <w:tc>
          <w:tcPr>
            <w:tcW w:type="dxa" w:w="2041"/>
            <w:shd w:val="clear" w:color="auto" w:fill="0B3D5C"/>
          </w:tcPr>
          <w:p>
            <w:r/>
            <w:r>
              <w:rPr>
                <w:b/>
                <w:color w:val="FFFFFF"/>
                <w:sz w:val="20"/>
              </w:rPr>
              <w:t>Целевой пользователь</w:t>
            </w:r>
          </w:p>
        </w:tc>
        <w:tc>
          <w:tcPr>
            <w:tcW w:type="dxa" w:w="4535"/>
            <w:shd w:val="clear" w:color="auto" w:fill="0B3D5C"/>
          </w:tcPr>
          <w:p>
            <w:r/>
            <w:r>
              <w:rPr>
                <w:b/>
                <w:color w:val="FFFFFF"/>
                <w:sz w:val="20"/>
              </w:rPr>
              <w:t>Поток</w:t>
            </w:r>
          </w:p>
        </w:tc>
      </w:tr>
      <w:tr>
        <w:tc>
          <w:tcPr>
            <w:tcW w:type="dxa" w:w="2041"/>
          </w:tcPr>
          <w:p>
            <w:r/>
            <w:r>
              <w:rPr>
                <w:sz w:val="20"/>
              </w:rPr>
              <w:t>Стандартный цикл ВРТ</w:t>
            </w:r>
          </w:p>
        </w:tc>
        <w:tc>
          <w:tcPr>
            <w:tcW w:type="dxa" w:w="2041"/>
          </w:tcPr>
          <w:p>
            <w:r/>
            <w:r>
              <w:rPr>
                <w:sz w:val="20"/>
              </w:rPr>
              <w:t>Врач-репродуктолог, эмбриолог</w:t>
            </w:r>
          </w:p>
        </w:tc>
        <w:tc>
          <w:tcPr>
            <w:tcW w:type="dxa" w:w="4535"/>
          </w:tcPr>
          <w:p>
            <w:r/>
            <w:r>
              <w:rPr>
                <w:sz w:val="20"/>
              </w:rPr>
              <w:t>Ввод данных → прогноз скор → рекомендация переноса → контроль исхода → обратная связь в модель</w:t>
            </w:r>
          </w:p>
        </w:tc>
      </w:tr>
      <w:tr>
        <w:tc>
          <w:tcPr>
            <w:tcW w:type="dxa" w:w="2041"/>
            <w:shd w:val="clear" w:color="auto" w:fill="F3F8FB"/>
          </w:tcPr>
          <w:p>
            <w:r/>
            <w:r>
              <w:rPr>
                <w:sz w:val="20"/>
              </w:rPr>
              <w:t>Донорский цикл (ооциты)</w:t>
            </w:r>
          </w:p>
        </w:tc>
        <w:tc>
          <w:tcPr>
            <w:tcW w:type="dxa" w:w="2041"/>
            <w:shd w:val="clear" w:color="auto" w:fill="F3F8FB"/>
          </w:tcPr>
          <w:p>
            <w:r/>
            <w:r>
              <w:rPr>
                <w:sz w:val="20"/>
              </w:rPr>
              <w:t>Клиника ВРТ, эмбриолог</w:t>
            </w:r>
          </w:p>
        </w:tc>
        <w:tc>
          <w:tcPr>
            <w:tcW w:type="dxa" w:w="4535"/>
            <w:shd w:val="clear" w:color="auto" w:fill="F3F8FB"/>
          </w:tcPr>
          <w:p>
            <w:r/>
            <w:r>
              <w:rPr>
                <w:sz w:val="20"/>
              </w:rPr>
              <w:t>Подстановка данных донора → маскирование → прогноз с учётом реципиентки и отца</w:t>
            </w:r>
          </w:p>
        </w:tc>
      </w:tr>
      <w:tr>
        <w:tc>
          <w:tcPr>
            <w:tcW w:type="dxa" w:w="2041"/>
          </w:tcPr>
          <w:p>
            <w:r/>
            <w:r>
              <w:rPr>
                <w:sz w:val="20"/>
              </w:rPr>
              <w:t>Суррогатное материнство</w:t>
            </w:r>
          </w:p>
        </w:tc>
        <w:tc>
          <w:tcPr>
            <w:tcW w:type="dxa" w:w="2041"/>
          </w:tcPr>
          <w:p>
            <w:r/>
            <w:r>
              <w:rPr>
                <w:sz w:val="20"/>
              </w:rPr>
              <w:t>Клиника + юрист</w:t>
            </w:r>
          </w:p>
        </w:tc>
        <w:tc>
          <w:tcPr>
            <w:tcW w:type="dxa" w:w="4535"/>
          </w:tcPr>
          <w:p>
            <w:r/>
            <w:r>
              <w:rPr>
                <w:sz w:val="20"/>
              </w:rPr>
              <w:t>Подмена уровней 3–7 на гестационную мать → иммунный консилиум → прогноз</w:t>
            </w:r>
          </w:p>
        </w:tc>
      </w:tr>
      <w:tr>
        <w:tc>
          <w:tcPr>
            <w:tcW w:type="dxa" w:w="2041"/>
            <w:shd w:val="clear" w:color="auto" w:fill="F3F8FB"/>
          </w:tcPr>
          <w:p>
            <w:r/>
            <w:r>
              <w:rPr>
                <w:sz w:val="20"/>
              </w:rPr>
              <w:t>B2G-панель</w:t>
            </w:r>
          </w:p>
        </w:tc>
        <w:tc>
          <w:tcPr>
            <w:tcW w:type="dxa" w:w="2041"/>
            <w:shd w:val="clear" w:color="auto" w:fill="F3F8FB"/>
          </w:tcPr>
          <w:p>
            <w:r/>
            <w:r>
              <w:rPr>
                <w:sz w:val="20"/>
              </w:rPr>
              <w:t>Главврач, Минздрав региона</w:t>
            </w:r>
          </w:p>
        </w:tc>
        <w:tc>
          <w:tcPr>
            <w:tcW w:type="dxa" w:w="4535"/>
            <w:shd w:val="clear" w:color="auto" w:fill="F3F8FB"/>
          </w:tcPr>
          <w:p>
            <w:r/>
            <w:r>
              <w:rPr>
                <w:sz w:val="20"/>
              </w:rPr>
              <w:t>Загрузка отчётов CLBR/CPLB → дашборды по квотам ОМС → рекомендации</w:t>
            </w:r>
          </w:p>
        </w:tc>
      </w:tr>
      <w:tr>
        <w:tc>
          <w:tcPr>
            <w:tcW w:type="dxa" w:w="2041"/>
          </w:tcPr>
          <w:p>
            <w:r/>
            <w:r>
              <w:rPr>
                <w:sz w:val="20"/>
              </w:rPr>
              <w:t>Пациентское приложение</w:t>
            </w:r>
          </w:p>
        </w:tc>
        <w:tc>
          <w:tcPr>
            <w:tcW w:type="dxa" w:w="2041"/>
          </w:tcPr>
          <w:p>
            <w:r/>
            <w:r>
              <w:rPr>
                <w:sz w:val="20"/>
              </w:rPr>
              <w:t>Пара (опционально)</w:t>
            </w:r>
          </w:p>
        </w:tc>
        <w:tc>
          <w:tcPr>
            <w:tcW w:type="dxa" w:w="4535"/>
          </w:tcPr>
          <w:p>
            <w:r/>
            <w:r>
              <w:rPr>
                <w:sz w:val="20"/>
              </w:rPr>
              <w:t>Геномный консилиум, календарь, согласованные материалы — через клинику</w:t>
            </w:r>
          </w:p>
        </w:tc>
      </w:tr>
    </w:tbl>
    <w:p/>
    <w:p>
      <w:pPr>
        <w:pStyle w:val="Heading2"/>
      </w:pPr>
      <w:r>
        <w:t>2.8. Ключевые гипотезы проекта и способы их проверки</w:t>
      </w:r>
    </w:p>
    <w:tbl>
      <w:tblPr>
        <w:tblStyle w:val="TableGrid"/>
        <w:tblW w:type="auto" w:w="0"/>
        <w:jc w:val="center"/>
        <w:tblLook w:firstColumn="1" w:firstRow="1" w:lastColumn="0" w:lastRow="0" w:noHBand="0" w:noVBand="1" w:val="04A0"/>
      </w:tblPr>
      <w:tblGrid>
        <w:gridCol w:w="3213"/>
        <w:gridCol w:w="3213"/>
        <w:gridCol w:w="3213"/>
      </w:tblGrid>
      <w:tr>
        <w:tc>
          <w:tcPr>
            <w:tcW w:type="dxa" w:w="3061"/>
            <w:shd w:val="clear" w:color="auto" w:fill="0B3D5C"/>
          </w:tcPr>
          <w:p>
            <w:r/>
            <w:r>
              <w:rPr>
                <w:b/>
                <w:color w:val="FFFFFF"/>
                <w:sz w:val="20"/>
              </w:rPr>
              <w:t>Гипотеза</w:t>
            </w:r>
          </w:p>
        </w:tc>
        <w:tc>
          <w:tcPr>
            <w:tcW w:type="dxa" w:w="2948"/>
            <w:shd w:val="clear" w:color="auto" w:fill="0B3D5C"/>
          </w:tcPr>
          <w:p>
            <w:r/>
            <w:r>
              <w:rPr>
                <w:b/>
                <w:color w:val="FFFFFF"/>
                <w:sz w:val="20"/>
              </w:rPr>
              <w:t>Проверка (тест)</w:t>
            </w:r>
          </w:p>
        </w:tc>
        <w:tc>
          <w:tcPr>
            <w:tcW w:type="dxa" w:w="2608"/>
            <w:shd w:val="clear" w:color="auto" w:fill="0B3D5C"/>
          </w:tcPr>
          <w:p>
            <w:r/>
            <w:r>
              <w:rPr>
                <w:b/>
                <w:color w:val="FFFFFF"/>
                <w:sz w:val="20"/>
              </w:rPr>
              <w:t>Срок / критерий успеха</w:t>
            </w:r>
          </w:p>
        </w:tc>
      </w:tr>
      <w:tr>
        <w:tc>
          <w:tcPr>
            <w:tcW w:type="dxa" w:w="3061"/>
          </w:tcPr>
          <w:p>
            <w:r/>
            <w:r>
              <w:rPr>
                <w:sz w:val="20"/>
              </w:rPr>
              <w:t>Мультимодальность повышает точность vs. односекционные модели</w:t>
            </w:r>
          </w:p>
        </w:tc>
        <w:tc>
          <w:tcPr>
            <w:tcW w:type="dxa" w:w="2948"/>
          </w:tcPr>
          <w:p>
            <w:r/>
            <w:r>
              <w:rPr>
                <w:sz w:val="20"/>
              </w:rPr>
              <w:t>проспективное исследование, 6–14 тыс. циклов</w:t>
            </w:r>
          </w:p>
        </w:tc>
        <w:tc>
          <w:tcPr>
            <w:tcW w:type="dxa" w:w="2608"/>
          </w:tcPr>
          <w:p>
            <w:r/>
            <w:r>
              <w:rPr>
                <w:sz w:val="20"/>
              </w:rPr>
              <w:t>AUC &gt; 0,73 и превосходство над бейзлайном (2027)</w:t>
            </w:r>
          </w:p>
        </w:tc>
      </w:tr>
      <w:tr>
        <w:tc>
          <w:tcPr>
            <w:tcW w:type="dxa" w:w="3061"/>
            <w:shd w:val="clear" w:color="auto" w:fill="F3F8FB"/>
          </w:tcPr>
          <w:p>
            <w:r/>
            <w:r>
              <w:rPr>
                <w:sz w:val="20"/>
              </w:rPr>
              <w:t>Клиники готовы платить за рост CLBR</w:t>
            </w:r>
          </w:p>
        </w:tc>
        <w:tc>
          <w:tcPr>
            <w:tcW w:type="dxa" w:w="2948"/>
            <w:shd w:val="clear" w:color="auto" w:fill="F3F8FB"/>
          </w:tcPr>
          <w:p>
            <w:r/>
            <w:r>
              <w:rPr>
                <w:sz w:val="20"/>
              </w:rPr>
              <w:t>пилоты с фиксацией эффекта и LOI</w:t>
            </w:r>
          </w:p>
        </w:tc>
        <w:tc>
          <w:tcPr>
            <w:tcW w:type="dxa" w:w="2608"/>
            <w:shd w:val="clear" w:color="auto" w:fill="F3F8FB"/>
          </w:tcPr>
          <w:p>
            <w:r/>
            <w:r>
              <w:rPr>
                <w:sz w:val="20"/>
              </w:rPr>
              <w:t>≥ 7 платных контракта по итогам пилотов (2028)</w:t>
            </w:r>
          </w:p>
        </w:tc>
      </w:tr>
      <w:tr>
        <w:tc>
          <w:tcPr>
            <w:tcW w:type="dxa" w:w="3061"/>
          </w:tcPr>
          <w:p>
            <w:r/>
            <w:r>
              <w:rPr>
                <w:sz w:val="20"/>
              </w:rPr>
              <w:t>Подписка + модули даёт целевой ARPU</w:t>
            </w:r>
          </w:p>
        </w:tc>
        <w:tc>
          <w:tcPr>
            <w:tcW w:type="dxa" w:w="2948"/>
          </w:tcPr>
          <w:p>
            <w:r/>
            <w:r>
              <w:rPr>
                <w:sz w:val="20"/>
              </w:rPr>
              <w:t>измерение фактического ARPU по когорте</w:t>
            </w:r>
          </w:p>
        </w:tc>
        <w:tc>
          <w:tcPr>
            <w:tcW w:type="dxa" w:w="2608"/>
          </w:tcPr>
          <w:p>
            <w:r/>
            <w:r>
              <w:rPr>
                <w:sz w:val="20"/>
              </w:rPr>
              <w:t>ARPU ≥ 4,3 млн ₽/год к 2028</w:t>
            </w:r>
          </w:p>
        </w:tc>
      </w:tr>
      <w:tr>
        <w:tc>
          <w:tcPr>
            <w:tcW w:type="dxa" w:w="3061"/>
            <w:shd w:val="clear" w:color="auto" w:fill="F3F8FB"/>
          </w:tcPr>
          <w:p>
            <w:r/>
            <w:r>
              <w:rPr>
                <w:sz w:val="20"/>
              </w:rPr>
              <w:t>Удержание высокое (низкий отток)</w:t>
            </w:r>
          </w:p>
        </w:tc>
        <w:tc>
          <w:tcPr>
            <w:tcW w:type="dxa" w:w="2948"/>
            <w:shd w:val="clear" w:color="auto" w:fill="F3F8FB"/>
          </w:tcPr>
          <w:p>
            <w:r/>
            <w:r>
              <w:rPr>
                <w:sz w:val="20"/>
              </w:rPr>
              <w:t>NRR / churn по клиентам</w:t>
            </w:r>
          </w:p>
        </w:tc>
        <w:tc>
          <w:tcPr>
            <w:tcW w:type="dxa" w:w="2608"/>
            <w:shd w:val="clear" w:color="auto" w:fill="F3F8FB"/>
          </w:tcPr>
          <w:p>
            <w:r/>
            <w:r>
              <w:rPr>
                <w:sz w:val="20"/>
              </w:rPr>
              <w:t>NRR &gt; 165%, churn &lt; 8%/год</w:t>
            </w:r>
          </w:p>
        </w:tc>
      </w:tr>
      <w:tr>
        <w:tc>
          <w:tcPr>
            <w:tcW w:type="dxa" w:w="3061"/>
          </w:tcPr>
          <w:p>
            <w:r/>
            <w:r>
              <w:rPr>
                <w:sz w:val="20"/>
              </w:rPr>
              <w:t>Модель переносима на китайский рынок</w:t>
            </w:r>
          </w:p>
        </w:tc>
        <w:tc>
          <w:tcPr>
            <w:tcW w:type="dxa" w:w="2948"/>
          </w:tcPr>
          <w:p>
            <w:r/>
            <w:r>
              <w:rPr>
                <w:sz w:val="20"/>
              </w:rPr>
              <w:t>пилот в ЗСТ Хайнань</w:t>
            </w:r>
          </w:p>
        </w:tc>
        <w:tc>
          <w:tcPr>
            <w:tcW w:type="dxa" w:w="2608"/>
          </w:tcPr>
          <w:p>
            <w:r/>
            <w:r>
              <w:rPr>
                <w:sz w:val="20"/>
              </w:rPr>
              <w:t>подтверждённый эффект у 1-го партнёра (2028–2029)</w:t>
            </w:r>
          </w:p>
        </w:tc>
      </w:tr>
      <w:tr>
        <w:tc>
          <w:tcPr>
            <w:tcW w:type="dxa" w:w="3061"/>
            <w:shd w:val="clear" w:color="auto" w:fill="F3F8FB"/>
          </w:tcPr>
          <w:p>
            <w:r/>
            <w:r>
              <w:rPr>
                <w:sz w:val="20"/>
              </w:rPr>
              <w:t>Регистрация ИИ-МИ достижима в срок</w:t>
            </w:r>
          </w:p>
        </w:tc>
        <w:tc>
          <w:tcPr>
            <w:tcW w:type="dxa" w:w="2948"/>
            <w:shd w:val="clear" w:color="auto" w:fill="F3F8FB"/>
          </w:tcPr>
          <w:p>
            <w:r/>
            <w:r>
              <w:rPr>
                <w:sz w:val="20"/>
              </w:rPr>
              <w:t>прохождение досье Росздравнадзора</w:t>
            </w:r>
          </w:p>
        </w:tc>
        <w:tc>
          <w:tcPr>
            <w:tcW w:type="dxa" w:w="2608"/>
            <w:shd w:val="clear" w:color="auto" w:fill="F3F8FB"/>
          </w:tcPr>
          <w:p>
            <w:r/>
            <w:r>
              <w:rPr>
                <w:sz w:val="20"/>
              </w:rPr>
              <w:t>получение статуса МИ (2027)</w:t>
            </w:r>
          </w:p>
        </w:tc>
      </w:tr>
    </w:tbl>
    <w:p/>
    <w:p>
      <w:r>
        <w:rPr>
          <w:b w:val="0"/>
          <w:i w:val="0"/>
          <w:sz w:val="22"/>
        </w:rPr>
        <w:t>Гипотезы сформулированы так, чтобы каждая имела наблюдаемый критерий и срок проверки — это позволяет инвестору отслеживать прогресс без избыточных отчётов и снижает риск «скрытой переоценки» проекта.</w:t>
      </w:r>
    </w:p>
    <w:p>
      <w:r>
        <w:br w:type="page"/>
      </w:r>
    </w:p>
    <w:p>
      <w:pPr>
        <w:pStyle w:val="Heading1"/>
        <w:shd w:val="clear" w:color="auto" w:fill="EAF4F8"/>
      </w:pPr>
      <w:r>
        <w:t>3. АНАЛИЗ ОТРАСЛИ И РЫНКА (РОССИЙСКАЯ ФЕДЕРАЦИЯ)</w:t>
      </w:r>
    </w:p>
    <w:p>
      <w:pPr>
        <w:pStyle w:val="Heading2"/>
      </w:pPr>
      <w:r>
        <w:t>3.1. Демографический макроконтекст</w:t>
      </w:r>
    </w:p>
    <w:p>
      <w:pPr>
        <w:pStyle w:val="ListBullet"/>
        <w:ind w:left="340"/>
      </w:pPr>
      <w:r>
        <w:t>рождений в РФ в 2024 г. — около 1,50 млн человек (Росстат, оперативные данные);</w:t>
      </w:r>
    </w:p>
    <w:p>
      <w:pPr>
        <w:pStyle w:val="ListBullet"/>
        <w:ind w:left="340"/>
      </w:pPr>
      <w:r>
        <w:t>суммарный коэффициент рождаемости — около 2,0 (Росстат, 2023–2024), при уровне простого воспроизводства 3,1;</w:t>
      </w:r>
    </w:p>
    <w:p>
      <w:pPr>
        <w:pStyle w:val="ListBullet"/>
        <w:ind w:left="340"/>
      </w:pPr>
      <w:r>
        <w:t>бесплодием сталкиваются ~20–28% пар в мире (ВОЗ); в РФ — порядка миллиона пар репродуктивного возраста;</w:t>
      </w:r>
    </w:p>
    <w:p>
      <w:pPr>
        <w:pStyle w:val="ListBullet"/>
        <w:ind w:left="340"/>
      </w:pPr>
      <w:r>
        <w:t>государственный приоритет: нацпроект «Семья» (2025–2030) — повышение СКР до 1,9; рост доступности ВРТ по ОМС — один из инструментов.</w:t>
      </w:r>
    </w:p>
    <w:p>
      <w:pPr>
        <w:pStyle w:val="Heading2"/>
      </w:pPr>
      <w:r>
        <w:t>3.2. Структура и объём рынка ВРТ в РФ</w:t>
      </w:r>
    </w:p>
    <w:tbl>
      <w:tblPr>
        <w:tblStyle w:val="TableGrid"/>
        <w:tblW w:type="auto" w:w="0"/>
        <w:jc w:val="center"/>
        <w:tblLook w:firstColumn="1" w:firstRow="1" w:lastColumn="0" w:lastRow="0" w:noHBand="0" w:noVBand="1" w:val="04A0"/>
      </w:tblPr>
      <w:tblGrid>
        <w:gridCol w:w="3213"/>
        <w:gridCol w:w="3213"/>
        <w:gridCol w:w="3213"/>
      </w:tblGrid>
      <w:tr>
        <w:tc>
          <w:tcPr>
            <w:tcW w:type="dxa" w:w="2835"/>
            <w:shd w:val="clear" w:color="auto" w:fill="0B3D5C"/>
          </w:tcPr>
          <w:p>
            <w:r/>
            <w:r>
              <w:rPr>
                <w:b/>
                <w:color w:val="FFFFFF"/>
                <w:sz w:val="20"/>
              </w:rPr>
              <w:t>Параметр</w:t>
            </w:r>
          </w:p>
        </w:tc>
        <w:tc>
          <w:tcPr>
            <w:tcW w:type="dxa" w:w="3175"/>
            <w:shd w:val="clear" w:color="auto" w:fill="0B3D5C"/>
          </w:tcPr>
          <w:p>
            <w:r/>
            <w:r>
              <w:rPr>
                <w:b/>
                <w:color w:val="FFFFFF"/>
                <w:sz w:val="20"/>
              </w:rPr>
              <w:t>Значение</w:t>
            </w:r>
          </w:p>
        </w:tc>
        <w:tc>
          <w:tcPr>
            <w:tcW w:type="dxa" w:w="3175"/>
            <w:shd w:val="clear" w:color="auto" w:fill="0B3D5C"/>
          </w:tcPr>
          <w:p>
            <w:r/>
            <w:r>
              <w:rPr>
                <w:b/>
                <w:color w:val="FFFFFF"/>
                <w:sz w:val="20"/>
              </w:rPr>
              <w:t>Источник / метод</w:t>
            </w:r>
          </w:p>
        </w:tc>
      </w:tr>
      <w:tr>
        <w:tc>
          <w:tcPr>
            <w:tcW w:type="dxa" w:w="2835"/>
          </w:tcPr>
          <w:p>
            <w:r/>
            <w:r>
              <w:rPr>
                <w:sz w:val="20"/>
              </w:rPr>
              <w:t>Циклы ВРТ в год</w:t>
            </w:r>
          </w:p>
        </w:tc>
        <w:tc>
          <w:tcPr>
            <w:tcW w:type="dxa" w:w="3175"/>
          </w:tcPr>
          <w:p>
            <w:r/>
            <w:r>
              <w:rPr>
                <w:sz w:val="20"/>
              </w:rPr>
              <w:t>197–261 тыс. (рост 8–10%/год)</w:t>
            </w:r>
          </w:p>
        </w:tc>
        <w:tc>
          <w:tcPr>
            <w:tcW w:type="dxa" w:w="3175"/>
          </w:tcPr>
          <w:p>
            <w:r/>
            <w:r>
              <w:rPr>
                <w:sz w:val="20"/>
              </w:rPr>
              <w:t>ФР ВРТ Минздрава РФ, оценки 2022–2024</w:t>
            </w:r>
          </w:p>
        </w:tc>
      </w:tr>
      <w:tr>
        <w:tc>
          <w:tcPr>
            <w:tcW w:type="dxa" w:w="2835"/>
            <w:shd w:val="clear" w:color="auto" w:fill="F3F8FB"/>
          </w:tcPr>
          <w:p>
            <w:r/>
            <w:r>
              <w:rPr>
                <w:sz w:val="20"/>
              </w:rPr>
              <w:t>Доля циклов по ОМС</w:t>
            </w:r>
          </w:p>
        </w:tc>
        <w:tc>
          <w:tcPr>
            <w:tcW w:type="dxa" w:w="3175"/>
            <w:shd w:val="clear" w:color="auto" w:fill="F3F8FB"/>
          </w:tcPr>
          <w:p>
            <w:r/>
            <w:r>
              <w:rPr>
                <w:sz w:val="20"/>
              </w:rPr>
              <w:t>64–126%</w:t>
            </w:r>
          </w:p>
        </w:tc>
        <w:tc>
          <w:tcPr>
            <w:tcW w:type="dxa" w:w="3175"/>
            <w:shd w:val="clear" w:color="auto" w:fill="F3F8FB"/>
          </w:tcPr>
          <w:p>
            <w:r/>
            <w:r>
              <w:rPr>
                <w:sz w:val="20"/>
              </w:rPr>
              <w:t>квоты ОМС на ВРТ (МЗ РФ)</w:t>
            </w:r>
          </w:p>
        </w:tc>
      </w:tr>
      <w:tr>
        <w:tc>
          <w:tcPr>
            <w:tcW w:type="dxa" w:w="2835"/>
          </w:tcPr>
          <w:p>
            <w:r/>
            <w:r>
              <w:rPr>
                <w:sz w:val="20"/>
              </w:rPr>
              <w:t>Доля Москвы в циклах</w:t>
            </w:r>
          </w:p>
        </w:tc>
        <w:tc>
          <w:tcPr>
            <w:tcW w:type="dxa" w:w="3175"/>
          </w:tcPr>
          <w:p>
            <w:r/>
            <w:r>
              <w:rPr>
                <w:sz w:val="20"/>
              </w:rPr>
              <w:t>12–17% (17–61 тыс./год)</w:t>
            </w:r>
          </w:p>
        </w:tc>
        <w:tc>
          <w:tcPr>
            <w:tcW w:type="dxa" w:w="3175"/>
          </w:tcPr>
          <w:p>
            <w:r/>
            <w:r>
              <w:rPr>
                <w:sz w:val="20"/>
              </w:rPr>
              <w:t>экспертная оценка</w:t>
            </w:r>
          </w:p>
        </w:tc>
      </w:tr>
      <w:tr>
        <w:tc>
          <w:tcPr>
            <w:tcW w:type="dxa" w:w="2835"/>
            <w:shd w:val="clear" w:color="auto" w:fill="F3F8FB"/>
          </w:tcPr>
          <w:p>
            <w:r/>
            <w:r>
              <w:rPr>
                <w:sz w:val="20"/>
              </w:rPr>
              <w:t>Коммерческий цикл (Москва)</w:t>
            </w:r>
          </w:p>
        </w:tc>
        <w:tc>
          <w:tcPr>
            <w:tcW w:type="dxa" w:w="3175"/>
            <w:shd w:val="clear" w:color="auto" w:fill="F3F8FB"/>
          </w:tcPr>
          <w:p>
            <w:r/>
            <w:r>
              <w:rPr>
                <w:sz w:val="20"/>
              </w:rPr>
              <w:t>546–1020 тыс. ₽</w:t>
            </w:r>
          </w:p>
        </w:tc>
        <w:tc>
          <w:tcPr>
            <w:tcW w:type="dxa" w:w="3175"/>
            <w:shd w:val="clear" w:color="auto" w:fill="F3F8FB"/>
          </w:tcPr>
          <w:p>
            <w:r/>
            <w:r>
              <w:rPr>
                <w:sz w:val="20"/>
              </w:rPr>
              <w:t>открытые прайсы клиник, 2024–2025</w:t>
            </w:r>
          </w:p>
        </w:tc>
      </w:tr>
      <w:tr>
        <w:tc>
          <w:tcPr>
            <w:tcW w:type="dxa" w:w="2835"/>
          </w:tcPr>
          <w:p>
            <w:r/>
            <w:r>
              <w:rPr>
                <w:sz w:val="20"/>
              </w:rPr>
              <w:t>Тариф ОМС на цикл</w:t>
            </w:r>
          </w:p>
        </w:tc>
        <w:tc>
          <w:tcPr>
            <w:tcW w:type="dxa" w:w="3175"/>
          </w:tcPr>
          <w:p>
            <w:r/>
            <w:r>
              <w:rPr>
                <w:sz w:val="20"/>
              </w:rPr>
              <w:t>197–310 тыс. ₽</w:t>
            </w:r>
          </w:p>
        </w:tc>
        <w:tc>
          <w:tcPr>
            <w:tcW w:type="dxa" w:w="3175"/>
          </w:tcPr>
          <w:p>
            <w:r/>
            <w:r>
              <w:rPr>
                <w:sz w:val="20"/>
              </w:rPr>
              <w:t>региональные тарифы ОМС</w:t>
            </w:r>
          </w:p>
        </w:tc>
      </w:tr>
      <w:tr>
        <w:tc>
          <w:tcPr>
            <w:tcW w:type="dxa" w:w="2835"/>
            <w:shd w:val="clear" w:color="auto" w:fill="F3F8FB"/>
          </w:tcPr>
          <w:p>
            <w:r/>
            <w:r>
              <w:rPr>
                <w:sz w:val="20"/>
              </w:rPr>
              <w:t>Клинический рынок ВРТ (TAM)</w:t>
            </w:r>
          </w:p>
        </w:tc>
        <w:tc>
          <w:tcPr>
            <w:tcW w:type="dxa" w:w="3175"/>
            <w:shd w:val="clear" w:color="auto" w:fill="F3F8FB"/>
          </w:tcPr>
          <w:p>
            <w:r/>
            <w:r>
              <w:rPr>
                <w:sz w:val="20"/>
              </w:rPr>
              <w:t>17–61 млрд ₽/год</w:t>
            </w:r>
          </w:p>
        </w:tc>
        <w:tc>
          <w:tcPr>
            <w:tcW w:type="dxa" w:w="3175"/>
            <w:shd w:val="clear" w:color="auto" w:fill="F3F8FB"/>
          </w:tcPr>
          <w:p>
            <w:r/>
            <w:r>
              <w:rPr>
                <w:sz w:val="20"/>
              </w:rPr>
              <w:t>156 тыс. циклов × ~310 тыс. ₽</w:t>
            </w:r>
          </w:p>
        </w:tc>
      </w:tr>
      <w:tr>
        <w:tc>
          <w:tcPr>
            <w:tcW w:type="dxa" w:w="2835"/>
          </w:tcPr>
          <w:p>
            <w:r/>
            <w:r>
              <w:rPr>
                <w:sz w:val="20"/>
              </w:rPr>
              <w:t>ИТ/аналитика в чеке цикла (SAM)</w:t>
            </w:r>
          </w:p>
        </w:tc>
        <w:tc>
          <w:tcPr>
            <w:tcW w:type="dxa" w:w="3175"/>
          </w:tcPr>
          <w:p>
            <w:r/>
            <w:r>
              <w:rPr>
                <w:sz w:val="20"/>
              </w:rPr>
              <w:t>3–7 млрд ₽/год</w:t>
            </w:r>
          </w:p>
        </w:tc>
        <w:tc>
          <w:tcPr>
            <w:tcW w:type="dxa" w:w="3175"/>
          </w:tcPr>
          <w:p>
            <w:r/>
            <w:r>
              <w:rPr>
                <w:sz w:val="20"/>
              </w:rPr>
              <w:t>доля 6–14% от стоимости цикла</w:t>
            </w:r>
          </w:p>
        </w:tc>
      </w:tr>
      <w:tr>
        <w:tc>
          <w:tcPr>
            <w:tcW w:type="dxa" w:w="2835"/>
            <w:shd w:val="clear" w:color="auto" w:fill="F3F8FB"/>
          </w:tcPr>
          <w:p>
            <w:r/>
            <w:r>
              <w:rPr>
                <w:sz w:val="20"/>
              </w:rPr>
              <w:t>SOM VitaGen 2030</w:t>
            </w:r>
          </w:p>
        </w:tc>
        <w:tc>
          <w:tcPr>
            <w:tcW w:type="dxa" w:w="3175"/>
            <w:shd w:val="clear" w:color="auto" w:fill="F3F8FB"/>
          </w:tcPr>
          <w:p>
            <w:r/>
            <w:r>
              <w:rPr>
                <w:sz w:val="20"/>
              </w:rPr>
              <w:t>1352 млн ₽/год (13–20% SAM)</w:t>
            </w:r>
          </w:p>
        </w:tc>
        <w:tc>
          <w:tcPr>
            <w:tcW w:type="dxa" w:w="3175"/>
            <w:shd w:val="clear" w:color="auto" w:fill="F3F8FB"/>
          </w:tcPr>
          <w:p>
            <w:r/>
            <w:r>
              <w:rPr>
                <w:sz w:val="20"/>
              </w:rPr>
              <w:t>расчёт модели</w:t>
            </w:r>
          </w:p>
        </w:tc>
      </w:tr>
    </w:tbl>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361"/>
            <w:shd w:val="clear" w:color="auto" w:fill="0B3D5C"/>
          </w:tcPr>
          <w:p>
            <w:r/>
            <w:r>
              <w:rPr>
                <w:b/>
                <w:color w:val="FFFFFF"/>
                <w:sz w:val="20"/>
              </w:rPr>
              <w:t>Год</w:t>
            </w:r>
          </w:p>
        </w:tc>
        <w:tc>
          <w:tcPr>
            <w:tcW w:type="dxa" w:w="1814"/>
            <w:shd w:val="clear" w:color="auto" w:fill="0B3D5C"/>
          </w:tcPr>
          <w:p>
            <w:r/>
            <w:r>
              <w:rPr>
                <w:b/>
                <w:color w:val="FFFFFF"/>
                <w:sz w:val="20"/>
              </w:rPr>
              <w:t>Циклы в РФ, тыс.</w:t>
            </w:r>
          </w:p>
        </w:tc>
        <w:tc>
          <w:tcPr>
            <w:tcW w:type="dxa" w:w="1814"/>
            <w:shd w:val="clear" w:color="auto" w:fill="0B3D5C"/>
          </w:tcPr>
          <w:p>
            <w:r/>
            <w:r>
              <w:rPr>
                <w:b/>
                <w:color w:val="FFFFFF"/>
                <w:sz w:val="20"/>
              </w:rPr>
              <w:t>Инфляция цены цикла</w:t>
            </w:r>
          </w:p>
        </w:tc>
        <w:tc>
          <w:tcPr>
            <w:tcW w:type="dxa" w:w="1701"/>
            <w:shd w:val="clear" w:color="auto" w:fill="0B3D5C"/>
          </w:tcPr>
          <w:p>
            <w:r/>
            <w:r>
              <w:rPr>
                <w:b/>
                <w:color w:val="FFFFFF"/>
                <w:sz w:val="20"/>
              </w:rPr>
              <w:t>Рынок ЭКО, млрд ₽</w:t>
            </w:r>
          </w:p>
        </w:tc>
        <w:tc>
          <w:tcPr>
            <w:tcW w:type="dxa" w:w="1814"/>
            <w:shd w:val="clear" w:color="auto" w:fill="0B3D5C"/>
          </w:tcPr>
          <w:p>
            <w:r/>
            <w:r>
              <w:rPr>
                <w:b/>
                <w:color w:val="FFFFFF"/>
                <w:sz w:val="20"/>
              </w:rPr>
              <w:t>Доля VitaGen, комп. циклы</w:t>
            </w:r>
          </w:p>
        </w:tc>
        <w:tc>
          <w:tcPr>
            <w:tcW w:type="dxa" w:w="1928"/>
            <w:shd w:val="clear" w:color="auto" w:fill="0B3D5C"/>
          </w:tcPr>
          <w:p>
            <w:r/>
            <w:r>
              <w:rPr>
                <w:b/>
                <w:color w:val="FFFFFF"/>
                <w:sz w:val="20"/>
              </w:rPr>
              <w:t>План выручки, млн ₽</w:t>
            </w:r>
          </w:p>
        </w:tc>
      </w:tr>
      <w:tr>
        <w:tc>
          <w:tcPr>
            <w:tcW w:type="dxa" w:w="1361"/>
          </w:tcPr>
          <w:p>
            <w:r/>
            <w:r>
              <w:rPr>
                <w:sz w:val="20"/>
              </w:rPr>
              <w:t>2026</w:t>
            </w:r>
          </w:p>
        </w:tc>
        <w:tc>
          <w:tcPr>
            <w:tcW w:type="dxa" w:w="1814"/>
          </w:tcPr>
          <w:p>
            <w:r/>
            <w:r>
              <w:rPr>
                <w:sz w:val="20"/>
              </w:rPr>
              <w:t>≈151</w:t>
            </w:r>
          </w:p>
        </w:tc>
        <w:tc>
          <w:tcPr>
            <w:tcW w:type="dxa" w:w="1814"/>
          </w:tcPr>
          <w:p>
            <w:r/>
            <w:r>
              <w:rPr>
                <w:sz w:val="20"/>
              </w:rPr>
              <w:t>6%</w:t>
            </w:r>
          </w:p>
        </w:tc>
        <w:tc>
          <w:tcPr>
            <w:tcW w:type="dxa" w:w="1701"/>
          </w:tcPr>
          <w:p>
            <w:r/>
            <w:r>
              <w:rPr>
                <w:sz w:val="20"/>
              </w:rPr>
              <w:t>≈36</w:t>
            </w:r>
          </w:p>
        </w:tc>
        <w:tc>
          <w:tcPr>
            <w:tcW w:type="dxa" w:w="1814"/>
          </w:tcPr>
          <w:p>
            <w:r/>
            <w:r>
              <w:rPr>
                <w:sz w:val="20"/>
              </w:rPr>
              <w:t>0,1%</w:t>
            </w:r>
          </w:p>
        </w:tc>
        <w:tc>
          <w:tcPr>
            <w:tcW w:type="dxa" w:w="1928"/>
          </w:tcPr>
          <w:p>
            <w:r/>
            <w:r>
              <w:rPr>
                <w:sz w:val="20"/>
              </w:rPr>
              <w:t>14,0</w:t>
            </w:r>
          </w:p>
        </w:tc>
      </w:tr>
      <w:tr>
        <w:tc>
          <w:tcPr>
            <w:tcW w:type="dxa" w:w="1361"/>
            <w:shd w:val="clear" w:color="auto" w:fill="F3F8FB"/>
          </w:tcPr>
          <w:p>
            <w:r/>
            <w:r>
              <w:rPr>
                <w:sz w:val="20"/>
              </w:rPr>
              <w:t>2027</w:t>
            </w:r>
          </w:p>
        </w:tc>
        <w:tc>
          <w:tcPr>
            <w:tcW w:type="dxa" w:w="1814"/>
            <w:shd w:val="clear" w:color="auto" w:fill="F3F8FB"/>
          </w:tcPr>
          <w:p>
            <w:r/>
            <w:r>
              <w:rPr>
                <w:sz w:val="20"/>
              </w:rPr>
              <w:t>≈202</w:t>
            </w:r>
          </w:p>
        </w:tc>
        <w:tc>
          <w:tcPr>
            <w:tcW w:type="dxa" w:w="1814"/>
            <w:shd w:val="clear" w:color="auto" w:fill="F3F8FB"/>
          </w:tcPr>
          <w:p>
            <w:r/>
            <w:r>
              <w:rPr>
                <w:sz w:val="20"/>
              </w:rPr>
              <w:t>6%</w:t>
            </w:r>
          </w:p>
        </w:tc>
        <w:tc>
          <w:tcPr>
            <w:tcW w:type="dxa" w:w="1701"/>
            <w:shd w:val="clear" w:color="auto" w:fill="F3F8FB"/>
          </w:tcPr>
          <w:p>
            <w:r/>
            <w:r>
              <w:rPr>
                <w:sz w:val="20"/>
              </w:rPr>
              <w:t>≈40</w:t>
            </w:r>
          </w:p>
        </w:tc>
        <w:tc>
          <w:tcPr>
            <w:tcW w:type="dxa" w:w="1814"/>
            <w:shd w:val="clear" w:color="auto" w:fill="F3F8FB"/>
          </w:tcPr>
          <w:p>
            <w:r/>
            <w:r>
              <w:rPr>
                <w:sz w:val="20"/>
              </w:rPr>
              <w:t>0,2%</w:t>
            </w:r>
          </w:p>
        </w:tc>
        <w:tc>
          <w:tcPr>
            <w:tcW w:type="dxa" w:w="1928"/>
            <w:shd w:val="clear" w:color="auto" w:fill="F3F8FB"/>
          </w:tcPr>
          <w:p>
            <w:r/>
            <w:r>
              <w:rPr>
                <w:sz w:val="20"/>
              </w:rPr>
              <w:t>82,0</w:t>
            </w:r>
          </w:p>
        </w:tc>
      </w:tr>
      <w:tr>
        <w:tc>
          <w:tcPr>
            <w:tcW w:type="dxa" w:w="1361"/>
          </w:tcPr>
          <w:p>
            <w:r/>
            <w:r>
              <w:rPr>
                <w:sz w:val="20"/>
              </w:rPr>
              <w:t>2028</w:t>
            </w:r>
          </w:p>
        </w:tc>
        <w:tc>
          <w:tcPr>
            <w:tcW w:type="dxa" w:w="1814"/>
          </w:tcPr>
          <w:p>
            <w:r/>
            <w:r>
              <w:rPr>
                <w:sz w:val="20"/>
              </w:rPr>
              <w:t>≈152</w:t>
            </w:r>
          </w:p>
        </w:tc>
        <w:tc>
          <w:tcPr>
            <w:tcW w:type="dxa" w:w="1814"/>
          </w:tcPr>
          <w:p>
            <w:r/>
            <w:r>
              <w:rPr>
                <w:sz w:val="20"/>
              </w:rPr>
              <w:t>6%</w:t>
            </w:r>
          </w:p>
        </w:tc>
        <w:tc>
          <w:tcPr>
            <w:tcW w:type="dxa" w:w="1701"/>
          </w:tcPr>
          <w:p>
            <w:r/>
            <w:r>
              <w:rPr>
                <w:sz w:val="20"/>
              </w:rPr>
              <w:t>≈61</w:t>
            </w:r>
          </w:p>
        </w:tc>
        <w:tc>
          <w:tcPr>
            <w:tcW w:type="dxa" w:w="1814"/>
          </w:tcPr>
          <w:p>
            <w:r/>
            <w:r>
              <w:rPr>
                <w:sz w:val="20"/>
              </w:rPr>
              <w:t>0,7%</w:t>
            </w:r>
          </w:p>
        </w:tc>
        <w:tc>
          <w:tcPr>
            <w:tcW w:type="dxa" w:w="1928"/>
          </w:tcPr>
          <w:p>
            <w:r/>
            <w:r>
              <w:rPr>
                <w:sz w:val="20"/>
              </w:rPr>
              <w:t>139,0</w:t>
            </w:r>
          </w:p>
        </w:tc>
      </w:tr>
      <w:tr>
        <w:tc>
          <w:tcPr>
            <w:tcW w:type="dxa" w:w="1361"/>
            <w:shd w:val="clear" w:color="auto" w:fill="F3F8FB"/>
          </w:tcPr>
          <w:p>
            <w:r/>
            <w:r>
              <w:rPr>
                <w:sz w:val="20"/>
              </w:rPr>
              <w:t>2029</w:t>
            </w:r>
          </w:p>
        </w:tc>
        <w:tc>
          <w:tcPr>
            <w:tcW w:type="dxa" w:w="1814"/>
            <w:shd w:val="clear" w:color="auto" w:fill="F3F8FB"/>
          </w:tcPr>
          <w:p>
            <w:r/>
            <w:r>
              <w:rPr>
                <w:sz w:val="20"/>
              </w:rPr>
              <w:t>≈333</w:t>
            </w:r>
          </w:p>
        </w:tc>
        <w:tc>
          <w:tcPr>
            <w:tcW w:type="dxa" w:w="1814"/>
            <w:shd w:val="clear" w:color="auto" w:fill="F3F8FB"/>
          </w:tcPr>
          <w:p>
            <w:r/>
            <w:r>
              <w:rPr>
                <w:sz w:val="20"/>
              </w:rPr>
              <w:t>6%</w:t>
            </w:r>
          </w:p>
        </w:tc>
        <w:tc>
          <w:tcPr>
            <w:tcW w:type="dxa" w:w="1701"/>
            <w:shd w:val="clear" w:color="auto" w:fill="F3F8FB"/>
          </w:tcPr>
          <w:p>
            <w:r/>
            <w:r>
              <w:rPr>
                <w:sz w:val="20"/>
              </w:rPr>
              <w:t>≈58</w:t>
            </w:r>
          </w:p>
        </w:tc>
        <w:tc>
          <w:tcPr>
            <w:tcW w:type="dxa" w:w="1814"/>
            <w:shd w:val="clear" w:color="auto" w:fill="F3F8FB"/>
          </w:tcPr>
          <w:p>
            <w:r/>
            <w:r>
              <w:rPr>
                <w:sz w:val="20"/>
              </w:rPr>
              <w:t>1,8%</w:t>
            </w:r>
          </w:p>
        </w:tc>
        <w:tc>
          <w:tcPr>
            <w:tcW w:type="dxa" w:w="1928"/>
            <w:shd w:val="clear" w:color="auto" w:fill="F3F8FB"/>
          </w:tcPr>
          <w:p>
            <w:r/>
            <w:r>
              <w:rPr>
                <w:sz w:val="20"/>
              </w:rPr>
              <w:t>508,0</w:t>
            </w:r>
          </w:p>
        </w:tc>
      </w:tr>
      <w:tr>
        <w:tc>
          <w:tcPr>
            <w:tcW w:type="dxa" w:w="1361"/>
          </w:tcPr>
          <w:p>
            <w:r/>
            <w:r>
              <w:rPr>
                <w:sz w:val="20"/>
              </w:rPr>
              <w:t>2030</w:t>
            </w:r>
          </w:p>
        </w:tc>
        <w:tc>
          <w:tcPr>
            <w:tcW w:type="dxa" w:w="1814"/>
          </w:tcPr>
          <w:p>
            <w:r/>
            <w:r>
              <w:rPr>
                <w:sz w:val="20"/>
              </w:rPr>
              <w:t>≈167</w:t>
            </w:r>
          </w:p>
        </w:tc>
        <w:tc>
          <w:tcPr>
            <w:tcW w:type="dxa" w:w="1814"/>
          </w:tcPr>
          <w:p>
            <w:r/>
            <w:r>
              <w:rPr>
                <w:sz w:val="20"/>
              </w:rPr>
              <w:t>6%</w:t>
            </w:r>
          </w:p>
        </w:tc>
        <w:tc>
          <w:tcPr>
            <w:tcW w:type="dxa" w:w="1701"/>
          </w:tcPr>
          <w:p>
            <w:r/>
            <w:r>
              <w:rPr>
                <w:sz w:val="20"/>
              </w:rPr>
              <w:t>≈47</w:t>
            </w:r>
          </w:p>
        </w:tc>
        <w:tc>
          <w:tcPr>
            <w:tcW w:type="dxa" w:w="1814"/>
          </w:tcPr>
          <w:p>
            <w:r/>
            <w:r>
              <w:rPr>
                <w:sz w:val="20"/>
              </w:rPr>
              <w:t>5,0%</w:t>
            </w:r>
          </w:p>
        </w:tc>
        <w:tc>
          <w:tcPr>
            <w:tcW w:type="dxa" w:w="1928"/>
          </w:tcPr>
          <w:p>
            <w:r/>
            <w:r>
              <w:rPr>
                <w:sz w:val="20"/>
              </w:rPr>
              <w:t>1352,2</w:t>
            </w:r>
          </w:p>
        </w:tc>
      </w:tr>
    </w:tbl>
    <w:p/>
    <w:p>
      <w:r>
        <w:rPr>
          <w:i/>
          <w:color w:val="5A6A7A"/>
          <w:sz w:val="18"/>
        </w:rPr>
        <w:t>Доля в «коммерческих» циклах учтена от целевой численности клиентов и ARPU; не является прогнозом рыночного share — показатели рынка даны для контекста масштаба.</w:t>
      </w:r>
    </w:p>
    <w:p>
      <w:r>
        <w:rPr>
          <w:b w:val="0"/>
          <w:i w:val="0"/>
          <w:sz w:val="22"/>
        </w:rPr>
        <w:t>Погонный потенциал: если после успешного пилота Минздрав рекомендует использование ИИ-платформ в ВРТ по ОМС (по аналогии с распространением таймлапс-систем), проникновение может ускориться кратно. Запас прочности создают цепочки: приказ по ОМС → включение аналитики в тариф → обязательная интеграция в клиниках.</w:t>
      </w:r>
    </w:p>
    <w:p>
      <w:pPr>
        <w:pStyle w:val="Heading2"/>
      </w:pPr>
      <w:r>
        <w:t>3.3. TAM / SAM / SOM</w:t>
      </w:r>
    </w:p>
    <w:tbl>
      <w:tblPr>
        <w:tblStyle w:val="TableGrid"/>
        <w:tblW w:type="auto" w:w="0"/>
        <w:jc w:val="center"/>
        <w:tblLook w:firstColumn="1" w:firstRow="1" w:lastColumn="0" w:lastRow="0" w:noHBand="0" w:noVBand="1" w:val="04A0"/>
      </w:tblPr>
      <w:tblGrid>
        <w:gridCol w:w="3213"/>
        <w:gridCol w:w="3213"/>
        <w:gridCol w:w="3213"/>
      </w:tblGrid>
      <w:tr>
        <w:tc>
          <w:tcPr>
            <w:tcW w:type="dxa" w:w="3402"/>
            <w:shd w:val="clear" w:color="auto" w:fill="0B3D5C"/>
          </w:tcPr>
          <w:p>
            <w:r/>
            <w:r>
              <w:rPr>
                <w:b/>
                <w:color w:val="FFFFFF"/>
                <w:sz w:val="20"/>
              </w:rPr>
              <w:t>Сегмент</w:t>
            </w:r>
          </w:p>
        </w:tc>
        <w:tc>
          <w:tcPr>
            <w:tcW w:type="dxa" w:w="2381"/>
            <w:shd w:val="clear" w:color="auto" w:fill="0B3D5C"/>
          </w:tcPr>
          <w:p>
            <w:r/>
            <w:r>
              <w:rPr>
                <w:b/>
                <w:color w:val="FFFFFF"/>
                <w:sz w:val="20"/>
              </w:rPr>
              <w:t>Объём</w:t>
            </w:r>
          </w:p>
        </w:tc>
        <w:tc>
          <w:tcPr>
            <w:tcW w:type="dxa" w:w="3288"/>
            <w:shd w:val="clear" w:color="auto" w:fill="0B3D5C"/>
          </w:tcPr>
          <w:p>
            <w:r/>
            <w:r>
              <w:rPr>
                <w:b/>
                <w:color w:val="FFFFFF"/>
                <w:sz w:val="20"/>
              </w:rPr>
              <w:t>Комментарий</w:t>
            </w:r>
          </w:p>
        </w:tc>
      </w:tr>
      <w:tr>
        <w:tc>
          <w:tcPr>
            <w:tcW w:type="dxa" w:w="3402"/>
          </w:tcPr>
          <w:p>
            <w:r/>
            <w:r>
              <w:rPr>
                <w:sz w:val="20"/>
              </w:rPr>
              <w:t>TAM РФ — клинический рынок ВРТ</w:t>
            </w:r>
          </w:p>
        </w:tc>
        <w:tc>
          <w:tcPr>
            <w:tcW w:type="dxa" w:w="2381"/>
          </w:tcPr>
          <w:p>
            <w:r/>
            <w:r>
              <w:rPr>
                <w:sz w:val="20"/>
              </w:rPr>
              <w:t>17–61 млрд ₽/год</w:t>
            </w:r>
          </w:p>
        </w:tc>
        <w:tc>
          <w:tcPr>
            <w:tcW w:type="dxa" w:w="3288"/>
          </w:tcPr>
          <w:p>
            <w:r/>
            <w:r>
              <w:rPr>
                <w:sz w:val="20"/>
              </w:rPr>
              <w:t>все циклы, ОМС + коммерция</w:t>
            </w:r>
          </w:p>
        </w:tc>
      </w:tr>
      <w:tr>
        <w:tc>
          <w:tcPr>
            <w:tcW w:type="dxa" w:w="3402"/>
            <w:shd w:val="clear" w:color="auto" w:fill="F3F8FB"/>
          </w:tcPr>
          <w:p>
            <w:r/>
            <w:r>
              <w:rPr>
                <w:sz w:val="20"/>
              </w:rPr>
              <w:t>SAM РФ — софт и аналитика</w:t>
            </w:r>
          </w:p>
        </w:tc>
        <w:tc>
          <w:tcPr>
            <w:tcW w:type="dxa" w:w="2381"/>
            <w:shd w:val="clear" w:color="auto" w:fill="F3F8FB"/>
          </w:tcPr>
          <w:p>
            <w:r/>
            <w:r>
              <w:rPr>
                <w:sz w:val="20"/>
              </w:rPr>
              <w:t>3–7 млрд ₽/год</w:t>
            </w:r>
          </w:p>
        </w:tc>
        <w:tc>
          <w:tcPr>
            <w:tcW w:type="dxa" w:w="3288"/>
            <w:shd w:val="clear" w:color="auto" w:fill="F3F8FB"/>
          </w:tcPr>
          <w:p>
            <w:r/>
            <w:r>
              <w:rPr>
                <w:sz w:val="20"/>
              </w:rPr>
              <w:t>доля ИТ/аналитики в чеке цикла</w:t>
            </w:r>
          </w:p>
        </w:tc>
      </w:tr>
      <w:tr>
        <w:tc>
          <w:tcPr>
            <w:tcW w:type="dxa" w:w="3402"/>
          </w:tcPr>
          <w:p>
            <w:r/>
            <w:r>
              <w:rPr>
                <w:sz w:val="20"/>
              </w:rPr>
              <w:t>SOM РФ 2030</w:t>
            </w:r>
          </w:p>
        </w:tc>
        <w:tc>
          <w:tcPr>
            <w:tcW w:type="dxa" w:w="2381"/>
          </w:tcPr>
          <w:p>
            <w:r/>
            <w:r>
              <w:rPr>
                <w:sz w:val="20"/>
              </w:rPr>
              <w:t>≈0,24 млрд ₽/год</w:t>
            </w:r>
          </w:p>
        </w:tc>
        <w:tc>
          <w:tcPr>
            <w:tcW w:type="dxa" w:w="3288"/>
          </w:tcPr>
          <w:p>
            <w:r/>
            <w:r>
              <w:rPr>
                <w:sz w:val="20"/>
              </w:rPr>
              <w:t>130 клиник, 8 B2G-регионов, матчинг</w:t>
            </w:r>
          </w:p>
        </w:tc>
      </w:tr>
      <w:tr>
        <w:tc>
          <w:tcPr>
            <w:tcW w:type="dxa" w:w="3402"/>
            <w:shd w:val="clear" w:color="auto" w:fill="F3F8FB"/>
          </w:tcPr>
          <w:p>
            <w:r/>
            <w:r>
              <w:rPr>
                <w:sz w:val="20"/>
              </w:rPr>
              <w:t>SOM APAC 2030</w:t>
            </w:r>
          </w:p>
        </w:tc>
        <w:tc>
          <w:tcPr>
            <w:tcW w:type="dxa" w:w="2381"/>
            <w:shd w:val="clear" w:color="auto" w:fill="F3F8FB"/>
          </w:tcPr>
          <w:p>
            <w:r/>
            <w:r>
              <w:rPr>
                <w:sz w:val="20"/>
              </w:rPr>
              <w:t>≈0,020 млрд ₽/год</w:t>
            </w:r>
          </w:p>
        </w:tc>
        <w:tc>
          <w:tcPr>
            <w:tcW w:type="dxa" w:w="3288"/>
            <w:shd w:val="clear" w:color="auto" w:fill="F3F8FB"/>
          </w:tcPr>
          <w:p>
            <w:r/>
            <w:r>
              <w:rPr>
                <w:sz w:val="20"/>
              </w:rPr>
              <w:t>ранний вход, пилотный масштаб</w:t>
            </w:r>
          </w:p>
        </w:tc>
      </w:tr>
    </w:tbl>
    <w:p/>
    <w:p>
      <w:r>
        <w:drawing>
          <wp:inline xmlns:a="http://schemas.openxmlformats.org/drawingml/2006/main" xmlns:pic="http://schemas.openxmlformats.org/drawingml/2006/picture">
            <wp:extent cx="5580000" cy="2428941"/>
            <wp:docPr id="2" name="Picture 2"/>
            <wp:cNvGraphicFramePr>
              <a:graphicFrameLocks noChangeAspect="1"/>
            </wp:cNvGraphicFramePr>
            <a:graphic>
              <a:graphicData uri="http://schemas.openxmlformats.org/drawingml/2006/picture">
                <pic:pic>
                  <pic:nvPicPr>
                    <pic:cNvPr id="0" name="bp_chart_funnel.png"/>
                    <pic:cNvPicPr/>
                  </pic:nvPicPr>
                  <pic:blipFill>
                    <a:blip r:embed="rId11"/>
                    <a:stretch>
                      <a:fillRect/>
                    </a:stretch>
                  </pic:blipFill>
                  <pic:spPr>
                    <a:xfrm>
                      <a:off x="0" y="0"/>
                      <a:ext cx="5580000" cy="2428941"/>
                    </a:xfrm>
                    <a:prstGeom prst="rect"/>
                  </pic:spPr>
                </pic:pic>
              </a:graphicData>
            </a:graphic>
          </wp:inline>
        </w:drawing>
      </w:r>
    </w:p>
    <w:p>
      <w:pPr>
        <w:jc w:val="center"/>
      </w:pPr>
      <w:r>
        <w:rPr>
          <w:i/>
          <w:color w:val="5A6A7A"/>
          <w:sz w:val="19"/>
        </w:rPr>
        <w:t>Рис. 5.0. Воронка рынка: TAM → SAM → SOM (логарифмическая шкала)</w:t>
      </w:r>
    </w:p>
    <w:p>
      <w:pPr>
        <w:jc w:val="center"/>
      </w:pPr>
      <w:r>
        <w:rPr>
          <w:color w:val="5A6A7A"/>
          <w:sz w:val="16"/>
        </w:rPr>
        <w:t>Источник: оценка по данным ФР ВРТ МЗ РФ, Росстат, ВОЗ; расчёт модели.</w:t>
      </w:r>
    </w:p>
    <w:p/>
    <w:p>
      <w:r>
        <w:rPr>
          <w:b w:val="0"/>
          <w:i w:val="0"/>
          <w:sz w:val="22"/>
        </w:rPr>
        <w:t>Разрыв между TAM и SOM — это и риск, и окно роста: даже захват 20–28% аналитического сегмента даёт целевой оборот 2030 года. При этом адресуемый рынок расширяется по мере включения новых модулей (CLBR-аналитика для B2G, матчинг донорства/СМ, перинатальные прогнозы), поэтому SOM-not-в-2030 «подтягивается» к более широкому SAM уже к 2032–2033.</w:t>
      </w:r>
    </w:p>
    <w:p>
      <w:pPr>
        <w:pStyle w:val="Heading2"/>
      </w:pPr>
      <w:r>
        <w:t>3.4. Тренды и драйверы роста</w:t>
      </w:r>
    </w:p>
    <w:p>
      <w:pPr>
        <w:pStyle w:val="ListBullet"/>
        <w:ind w:left="340"/>
      </w:pPr>
      <w:r>
        <w:t>ужесточение демографической повестки и рост государственного финансирования ВРТ по ОМС;</w:t>
      </w:r>
    </w:p>
    <w:p>
      <w:pPr>
        <w:pStyle w:val="ListBullet"/>
        <w:ind w:left="340"/>
      </w:pPr>
      <w:r>
        <w:t>рост циклов 8–10% в год при ограниченной ёмкости квот — давление на эффективность каждого цикла;</w:t>
      </w:r>
    </w:p>
    <w:p>
      <w:pPr>
        <w:pStyle w:val="ListBullet"/>
        <w:ind w:left="340"/>
      </w:pPr>
      <w:r>
        <w:t>консолидация рынка: сетевые игроки и федеральные центры накапливают данные → готовность к ИИ;</w:t>
      </w:r>
    </w:p>
    <w:p>
      <w:pPr>
        <w:pStyle w:val="ListBullet"/>
        <w:ind w:left="340"/>
      </w:pPr>
      <w:r>
        <w:t>нормативная легализация ИИ-медизделий в РФ и открытие «песочниц» для ИИ-МИ;</w:t>
      </w:r>
    </w:p>
    <w:p>
      <w:pPr>
        <w:pStyle w:val="ListBullet"/>
        <w:ind w:left="340"/>
      </w:pPr>
      <w:r>
        <w:t>премия за результат: рейтинги клиник по CLBR становятся публичными и влиятельными.</w:t>
      </w:r>
    </w:p>
    <w:p>
      <w:pPr>
        <w:pStyle w:val="Heading2"/>
      </w:pPr>
      <w:r>
        <w:t>3.5. Конкурентная среда в РФ (детализация)</w:t>
      </w:r>
    </w:p>
    <w:tbl>
      <w:tblPr>
        <w:tblStyle w:val="TableGrid"/>
        <w:tblW w:type="auto" w:w="0"/>
        <w:jc w:val="center"/>
        <w:tblLook w:firstColumn="1" w:firstRow="1" w:lastColumn="0" w:lastRow="0" w:noHBand="0" w:noVBand="1" w:val="04A0"/>
      </w:tblPr>
      <w:tblGrid>
        <w:gridCol w:w="3213"/>
        <w:gridCol w:w="3213"/>
        <w:gridCol w:w="3213"/>
      </w:tblGrid>
      <w:tr>
        <w:tc>
          <w:tcPr>
            <w:tcW w:type="dxa" w:w="3402"/>
            <w:shd w:val="clear" w:color="auto" w:fill="0B3D5C"/>
          </w:tcPr>
          <w:p>
            <w:r/>
            <w:r>
              <w:rPr>
                <w:b/>
                <w:color w:val="FFFFFF"/>
                <w:sz w:val="20"/>
              </w:rPr>
              <w:t>Игрок РФ</w:t>
            </w:r>
          </w:p>
        </w:tc>
        <w:tc>
          <w:tcPr>
            <w:tcW w:type="dxa" w:w="2608"/>
            <w:shd w:val="clear" w:color="auto" w:fill="0B3D5C"/>
          </w:tcPr>
          <w:p>
            <w:r/>
            <w:r>
              <w:rPr>
                <w:b/>
                <w:color w:val="FFFFFF"/>
                <w:sz w:val="20"/>
              </w:rPr>
              <w:t>Специализация</w:t>
            </w:r>
          </w:p>
        </w:tc>
        <w:tc>
          <w:tcPr>
            <w:tcW w:type="dxa" w:w="2608"/>
            <w:shd w:val="clear" w:color="auto" w:fill="0B3D5C"/>
          </w:tcPr>
          <w:p>
            <w:r/>
            <w:r>
              <w:rPr>
                <w:b/>
                <w:color w:val="FFFFFF"/>
                <w:sz w:val="20"/>
              </w:rPr>
              <w:t>Позиция VitaGen</w:t>
            </w:r>
          </w:p>
        </w:tc>
      </w:tr>
      <w:tr>
        <w:tc>
          <w:tcPr>
            <w:tcW w:type="dxa" w:w="3402"/>
          </w:tcPr>
          <w:p>
            <w:r/>
            <w:r>
              <w:rPr>
                <w:sz w:val="20"/>
              </w:rPr>
              <w:t>Таймлапс-системы (Geri, EmbryoScope) с ИИ</w:t>
            </w:r>
          </w:p>
        </w:tc>
        <w:tc>
          <w:tcPr>
            <w:tcW w:type="dxa" w:w="2608"/>
          </w:tcPr>
          <w:p>
            <w:r/>
            <w:r>
              <w:rPr>
                <w:sz w:val="20"/>
              </w:rPr>
              <w:t>морфокинетика, аппаратные витрины</w:t>
            </w:r>
          </w:p>
        </w:tc>
        <w:tc>
          <w:tcPr>
            <w:tcW w:type="dxa" w:w="2608"/>
          </w:tcPr>
          <w:p>
            <w:r/>
            <w:r>
              <w:rPr>
                <w:sz w:val="20"/>
              </w:rPr>
              <w:t>VitaGen работает поверх любых инкубаторов</w:t>
            </w:r>
          </w:p>
        </w:tc>
      </w:tr>
      <w:tr>
        <w:tc>
          <w:tcPr>
            <w:tcW w:type="dxa" w:w="3402"/>
            <w:shd w:val="clear" w:color="auto" w:fill="F3F8FB"/>
          </w:tcPr>
          <w:p>
            <w:r/>
            <w:r>
              <w:rPr>
                <w:sz w:val="20"/>
              </w:rPr>
              <w:t>Локальные ИИ-стартапы репродукции</w:t>
            </w:r>
          </w:p>
        </w:tc>
        <w:tc>
          <w:tcPr>
            <w:tcW w:type="dxa" w:w="2608"/>
            <w:shd w:val="clear" w:color="auto" w:fill="F3F8FB"/>
          </w:tcPr>
          <w:p>
            <w:r/>
            <w:r>
              <w:rPr>
                <w:sz w:val="20"/>
              </w:rPr>
              <w:t>преимущественно морфология/изображение</w:t>
            </w:r>
          </w:p>
        </w:tc>
        <w:tc>
          <w:tcPr>
            <w:tcW w:type="dxa" w:w="2608"/>
            <w:shd w:val="clear" w:color="auto" w:fill="F3F8FB"/>
          </w:tcPr>
          <w:p>
            <w:r/>
            <w:r>
              <w:rPr>
                <w:sz w:val="20"/>
              </w:rPr>
              <w:t>отсутствие 5-модальностной архитектуры и DFI</w:t>
            </w:r>
          </w:p>
        </w:tc>
      </w:tr>
      <w:tr>
        <w:tc>
          <w:tcPr>
            <w:tcW w:type="dxa" w:w="3402"/>
          </w:tcPr>
          <w:p>
            <w:r/>
            <w:r>
              <w:rPr>
                <w:sz w:val="20"/>
              </w:rPr>
              <w:t>ИТ-подразделения сетей клиник</w:t>
            </w:r>
          </w:p>
        </w:tc>
        <w:tc>
          <w:tcPr>
            <w:tcW w:type="dxa" w:w="2608"/>
          </w:tcPr>
          <w:p>
            <w:r/>
            <w:r>
              <w:rPr>
                <w:sz w:val="20"/>
              </w:rPr>
              <w:t>внутренние дашборды, отчётность</w:t>
            </w:r>
          </w:p>
        </w:tc>
        <w:tc>
          <w:tcPr>
            <w:tcW w:type="dxa" w:w="2608"/>
          </w:tcPr>
          <w:p>
            <w:r/>
            <w:r>
              <w:rPr>
                <w:sz w:val="20"/>
              </w:rPr>
              <w:t>люкс аналитика + интеграции, а не только отчётность</w:t>
            </w:r>
          </w:p>
        </w:tc>
      </w:tr>
      <w:tr>
        <w:tc>
          <w:tcPr>
            <w:tcW w:type="dxa" w:w="3402"/>
            <w:shd w:val="clear" w:color="auto" w:fill="F3F8FB"/>
          </w:tcPr>
          <w:p>
            <w:r/>
            <w:r>
              <w:rPr>
                <w:sz w:val="20"/>
              </w:rPr>
              <w:t>Генетические лаборатории (PGT)</w:t>
            </w:r>
          </w:p>
        </w:tc>
        <w:tc>
          <w:tcPr>
            <w:tcW w:type="dxa" w:w="2608"/>
            <w:shd w:val="clear" w:color="auto" w:fill="F3F8FB"/>
          </w:tcPr>
          <w:p>
            <w:r/>
            <w:r>
              <w:rPr>
                <w:sz w:val="20"/>
              </w:rPr>
              <w:t>интерпретация генетики без клиники</w:t>
            </w:r>
          </w:p>
        </w:tc>
        <w:tc>
          <w:tcPr>
            <w:tcW w:type="dxa" w:w="2608"/>
            <w:shd w:val="clear" w:color="auto" w:fill="F3F8FB"/>
          </w:tcPr>
          <w:p>
            <w:r/>
            <w:r>
              <w:rPr>
                <w:sz w:val="20"/>
              </w:rPr>
              <w:t>полный контур «генетика + клиника + мужчина»</w:t>
            </w:r>
          </w:p>
        </w:tc>
      </w:tr>
    </w:tbl>
    <w:p/>
    <w:p>
      <w:r>
        <w:rPr>
          <w:b w:val="0"/>
          <w:i w:val="0"/>
          <w:sz w:val="22"/>
        </w:rPr>
        <w:t>Системное преимущество в РФ: платформа построена вокруг российских протоколов ВРТ, тарифов ОМС и требований 152-ФЗ — это снижает барьер интеграции для клиник и создаёт закрытый круг «данные → качество → новые клиники → новые данные», который трудно воспроизвести снаружи.</w:t>
      </w:r>
    </w:p>
    <w:p>
      <w:pPr>
        <w:pStyle w:val="Heading2"/>
      </w:pPr>
      <w:r>
        <w:t>3.6. Глобальный контекст (для стратегической ориентации)</w:t>
      </w:r>
    </w:p>
    <w:p>
      <w:pPr>
        <w:pStyle w:val="ListBullet"/>
        <w:ind w:left="340"/>
      </w:pPr>
      <w:r>
        <w:t>Китай — крупнейший рынок ВРТ в мире: 562–1166 тыс. циклов/год, распространённость бесплодия ~23%, клинический рынок ~$12–28 млрд/год (отраслевые оценки); разобран в разделе 21;</w:t>
      </w:r>
    </w:p>
    <w:p>
      <w:pPr>
        <w:pStyle w:val="ListBullet"/>
        <w:ind w:left="340"/>
      </w:pPr>
      <w:r>
        <w:t>глобальный рынок ИИ в репродуктивной медицине — ~$0,7–3,0 млрд (2025), CAGR 12–17%;</w:t>
      </w:r>
    </w:p>
    <w:p>
      <w:pPr>
        <w:pStyle w:val="ListBullet"/>
        <w:ind w:left="340"/>
      </w:pPr>
      <w:r>
        <w:t>мировые лидеры (CooperSurgical/Life Whisperer, Fairtility, Vitrolife) — односекционные AI без мужского фактора и иммунного матчинга (см. раздел 13).</w:t>
      </w:r>
    </w:p>
    <w:p>
      <w:r>
        <w:drawing>
          <wp:inline xmlns:a="http://schemas.openxmlformats.org/drawingml/2006/main" xmlns:pic="http://schemas.openxmlformats.org/drawingml/2006/picture">
            <wp:extent cx="5400000" cy="2184868"/>
            <wp:docPr id="3" name="Picture 3"/>
            <wp:cNvGraphicFramePr>
              <a:graphicFrameLocks noChangeAspect="1"/>
            </wp:cNvGraphicFramePr>
            <a:graphic>
              <a:graphicData uri="http://schemas.openxmlformats.org/drawingml/2006/picture">
                <pic:pic>
                  <pic:nvPicPr>
                    <pic:cNvPr id="0" name="bp_chart_rev_q.png"/>
                    <pic:cNvPicPr/>
                  </pic:nvPicPr>
                  <pic:blipFill>
                    <a:blip r:embed="rId12"/>
                    <a:stretch>
                      <a:fillRect/>
                    </a:stretch>
                  </pic:blipFill>
                  <pic:spPr>
                    <a:xfrm>
                      <a:off x="0" y="0"/>
                      <a:ext cx="5400000" cy="2184868"/>
                    </a:xfrm>
                    <a:prstGeom prst="rect"/>
                  </pic:spPr>
                </pic:pic>
              </a:graphicData>
            </a:graphic>
          </wp:inline>
        </w:drawing>
      </w:r>
    </w:p>
    <w:p>
      <w:pPr>
        <w:jc w:val="center"/>
      </w:pPr>
      <w:r>
        <w:rPr>
          <w:i/>
          <w:color w:val="5A6A7A"/>
          <w:sz w:val="19"/>
        </w:rPr>
        <w:t>Рис. 6.4. Выручка по кварталам 2026–2030 по направлениям (модель, базовый сценарий)</w:t>
      </w:r>
    </w:p>
    <w:p>
      <w:pPr>
        <w:jc w:val="center"/>
      </w:pPr>
      <w:r>
        <w:rPr>
          <w:color w:val="5A6A7A"/>
          <w:sz w:val="16"/>
        </w:rPr>
        <w:t>Источник: расчёт модели (см. Приложение А).</w:t>
      </w:r>
    </w:p>
    <w:p/>
    <w:p>
      <w:pPr>
        <w:pStyle w:val="Heading2"/>
      </w:pPr>
      <w:r>
        <w:t>3.7. Государственные программы и меры поддержки (драйвер спроса)</w:t>
      </w:r>
    </w:p>
    <w:tbl>
      <w:tblPr>
        <w:tblStyle w:val="TableGrid"/>
        <w:tblW w:type="auto" w:w="0"/>
        <w:jc w:val="center"/>
        <w:tblLook w:firstColumn="1" w:firstRow="1" w:lastColumn="0" w:lastRow="0" w:noHBand="0" w:noVBand="1" w:val="04A0"/>
      </w:tblPr>
      <w:tblGrid>
        <w:gridCol w:w="3213"/>
        <w:gridCol w:w="3213"/>
        <w:gridCol w:w="3213"/>
      </w:tblGrid>
      <w:tr>
        <w:tc>
          <w:tcPr>
            <w:tcW w:type="dxa" w:w="2835"/>
            <w:shd w:val="clear" w:color="auto" w:fill="0B3D5C"/>
          </w:tcPr>
          <w:p>
            <w:r/>
            <w:r>
              <w:rPr>
                <w:b/>
                <w:color w:val="FFFFFF"/>
                <w:sz w:val="20"/>
              </w:rPr>
              <w:t>Мера / программа</w:t>
            </w:r>
          </w:p>
        </w:tc>
        <w:tc>
          <w:tcPr>
            <w:tcW w:type="dxa" w:w="3061"/>
            <w:shd w:val="clear" w:color="auto" w:fill="0B3D5C"/>
          </w:tcPr>
          <w:p>
            <w:r/>
            <w:r>
              <w:rPr>
                <w:b/>
                <w:color w:val="FFFFFF"/>
                <w:sz w:val="20"/>
              </w:rPr>
              <w:t>Суть</w:t>
            </w:r>
          </w:p>
        </w:tc>
        <w:tc>
          <w:tcPr>
            <w:tcW w:type="dxa" w:w="2948"/>
            <w:shd w:val="clear" w:color="auto" w:fill="0B3D5C"/>
          </w:tcPr>
          <w:p>
            <w:r/>
            <w:r>
              <w:rPr>
                <w:b/>
                <w:color w:val="FFFFFF"/>
                <w:sz w:val="20"/>
              </w:rPr>
              <w:t>Влияние на VitaGen</w:t>
            </w:r>
          </w:p>
        </w:tc>
      </w:tr>
      <w:tr>
        <w:tc>
          <w:tcPr>
            <w:tcW w:type="dxa" w:w="2835"/>
          </w:tcPr>
          <w:p>
            <w:r/>
            <w:r>
              <w:rPr>
                <w:sz w:val="20"/>
              </w:rPr>
              <w:t>Нацпроект «Семья» (Указ № 309 от 07.05.2024)</w:t>
            </w:r>
          </w:p>
        </w:tc>
        <w:tc>
          <w:tcPr>
            <w:tcW w:type="dxa" w:w="3061"/>
          </w:tcPr>
          <w:p>
            <w:r/>
            <w:r>
              <w:rPr>
                <w:sz w:val="20"/>
              </w:rPr>
              <w:t>рост доступности и объёма ВРТ за счёт гос. финансирования</w:t>
            </w:r>
          </w:p>
        </w:tc>
        <w:tc>
          <w:tcPr>
            <w:tcW w:type="dxa" w:w="2948"/>
          </w:tcPr>
          <w:p>
            <w:r/>
            <w:r>
              <w:rPr>
                <w:sz w:val="20"/>
              </w:rPr>
              <w:t>рост числа циклов → рост рынка ИИ-аналитики</w:t>
            </w:r>
          </w:p>
        </w:tc>
      </w:tr>
      <w:tr>
        <w:tc>
          <w:tcPr>
            <w:tcW w:type="dxa" w:w="2835"/>
            <w:shd w:val="clear" w:color="auto" w:fill="F3F8FB"/>
          </w:tcPr>
          <w:p>
            <w:r/>
            <w:r>
              <w:rPr>
                <w:sz w:val="20"/>
              </w:rPr>
              <w:t>Квоты ОМС на ВРТ</w:t>
            </w:r>
          </w:p>
        </w:tc>
        <w:tc>
          <w:tcPr>
            <w:tcW w:type="dxa" w:w="3061"/>
            <w:shd w:val="clear" w:color="auto" w:fill="F3F8FB"/>
          </w:tcPr>
          <w:p>
            <w:r/>
            <w:r>
              <w:rPr>
                <w:sz w:val="20"/>
              </w:rPr>
              <w:t>гос. оплата части циклов ЭКО</w:t>
            </w:r>
          </w:p>
        </w:tc>
        <w:tc>
          <w:tcPr>
            <w:tcW w:type="dxa" w:w="2948"/>
            <w:shd w:val="clear" w:color="auto" w:fill="F3F8FB"/>
          </w:tcPr>
          <w:p>
            <w:r/>
            <w:r>
              <w:rPr>
                <w:sz w:val="20"/>
              </w:rPr>
              <w:t>стимул клиник к росту CLBR (эффективность квоты)</w:t>
            </w:r>
          </w:p>
        </w:tc>
      </w:tr>
      <w:tr>
        <w:tc>
          <w:tcPr>
            <w:tcW w:type="dxa" w:w="2835"/>
          </w:tcPr>
          <w:p>
            <w:r/>
            <w:r>
              <w:rPr>
                <w:sz w:val="20"/>
              </w:rPr>
              <w:t>Реестр российского ПО</w:t>
            </w:r>
          </w:p>
        </w:tc>
        <w:tc>
          <w:tcPr>
            <w:tcW w:type="dxa" w:w="3061"/>
          </w:tcPr>
          <w:p>
            <w:r/>
            <w:r>
              <w:rPr>
                <w:sz w:val="20"/>
              </w:rPr>
              <w:t>преференции отечественному ПО у госзаказчика</w:t>
            </w:r>
          </w:p>
        </w:tc>
        <w:tc>
          <w:tcPr>
            <w:tcW w:type="dxa" w:w="2948"/>
          </w:tcPr>
          <w:p>
            <w:r/>
            <w:r>
              <w:rPr>
                <w:sz w:val="20"/>
              </w:rPr>
              <w:t>приоритет VitaGen у B2G/гос. клиник</w:t>
            </w:r>
          </w:p>
        </w:tc>
      </w:tr>
      <w:tr>
        <w:tc>
          <w:tcPr>
            <w:tcW w:type="dxa" w:w="2835"/>
            <w:shd w:val="clear" w:color="auto" w:fill="F3F8FB"/>
          </w:tcPr>
          <w:p>
            <w:r/>
            <w:r>
              <w:rPr>
                <w:sz w:val="20"/>
              </w:rPr>
              <w:t>Льготы ИТ-отрасли (налог, взносы)</w:t>
            </w:r>
          </w:p>
        </w:tc>
        <w:tc>
          <w:tcPr>
            <w:tcW w:type="dxa" w:w="3061"/>
            <w:shd w:val="clear" w:color="auto" w:fill="F3F8FB"/>
          </w:tcPr>
          <w:p>
            <w:r/>
            <w:r>
              <w:rPr>
                <w:sz w:val="20"/>
              </w:rPr>
              <w:t>пониженные ставки для аккредитованных ИТ</w:t>
            </w:r>
          </w:p>
        </w:tc>
        <w:tc>
          <w:tcPr>
            <w:tcW w:type="dxa" w:w="2948"/>
            <w:shd w:val="clear" w:color="auto" w:fill="F3F8FB"/>
          </w:tcPr>
          <w:p>
            <w:r/>
            <w:r>
              <w:rPr>
                <w:sz w:val="20"/>
              </w:rPr>
              <w:t>снижение операционных расходов</w:t>
            </w:r>
          </w:p>
        </w:tc>
      </w:tr>
      <w:tr>
        <w:tc>
          <w:tcPr>
            <w:tcW w:type="dxa" w:w="2835"/>
          </w:tcPr>
          <w:p>
            <w:r/>
            <w:r>
              <w:rPr>
                <w:sz w:val="20"/>
              </w:rPr>
              <w:t>Льготный лизинг/кредитование проектов ИИ</w:t>
            </w:r>
          </w:p>
        </w:tc>
        <w:tc>
          <w:tcPr>
            <w:tcW w:type="dxa" w:w="3061"/>
          </w:tcPr>
          <w:p>
            <w:r/>
            <w:r>
              <w:rPr>
                <w:sz w:val="20"/>
              </w:rPr>
              <w:t>ВЭБ.РФ, ФРП и др.</w:t>
            </w:r>
          </w:p>
        </w:tc>
        <w:tc>
          <w:tcPr>
            <w:tcW w:type="dxa" w:w="2948"/>
          </w:tcPr>
          <w:p>
            <w:r/>
            <w:r>
              <w:rPr>
                <w:sz w:val="20"/>
              </w:rPr>
              <w:t>возможность недилютивного финансирования</w:t>
            </w:r>
          </w:p>
        </w:tc>
      </w:tr>
      <w:tr>
        <w:tc>
          <w:tcPr>
            <w:tcW w:type="dxa" w:w="2835"/>
            <w:shd w:val="clear" w:color="auto" w:fill="F3F8FB"/>
          </w:tcPr>
          <w:p>
            <w:r/>
            <w:r>
              <w:rPr>
                <w:sz w:val="20"/>
              </w:rPr>
              <w:t>«Регуляторные песочницы» (ИИ в медицине)</w:t>
            </w:r>
          </w:p>
        </w:tc>
        <w:tc>
          <w:tcPr>
            <w:tcW w:type="dxa" w:w="3061"/>
            <w:shd w:val="clear" w:color="auto" w:fill="F3F8FB"/>
          </w:tcPr>
          <w:p>
            <w:r/>
            <w:r>
              <w:rPr>
                <w:sz w:val="20"/>
              </w:rPr>
              <w:t>пилот без полной регистрации</w:t>
            </w:r>
          </w:p>
        </w:tc>
        <w:tc>
          <w:tcPr>
            <w:tcW w:type="dxa" w:w="2948"/>
            <w:shd w:val="clear" w:color="auto" w:fill="F3F8FB"/>
          </w:tcPr>
          <w:p>
            <w:r/>
            <w:r>
              <w:rPr>
                <w:sz w:val="20"/>
              </w:rPr>
              <w:t>ускорение выхода на рынок</w:t>
            </w:r>
          </w:p>
        </w:tc>
      </w:tr>
    </w:tbl>
    <w:p/>
    <w:p>
      <w:r>
        <w:rPr>
          <w:b w:val="0"/>
          <w:i w:val="0"/>
          <w:sz w:val="22"/>
        </w:rPr>
        <w:t>Совокупность мер поддержки формирует благоприятный регуляторно-экономический фон: спрос на ВРТ растёт по государственной линии, а барьеры для отечественных ИИ-решений в медицине снижаются. VitaGen использует как рыночные (подписка), так и нерыночные (гранты, преференции) каналы поддержки роста.</w:t>
      </w:r>
    </w:p>
    <w:p>
      <w:r>
        <w:br w:type="page"/>
      </w:r>
    </w:p>
    <w:p>
      <w:pPr>
        <w:pStyle w:val="Heading1"/>
        <w:shd w:val="clear" w:color="auto" w:fill="EAF4F8"/>
      </w:pPr>
      <w:r>
        <w:t>4. ЦЕЛЕВЫЕ СЕГМЕНТЫ И МОДЕЛЬ МОНЕТИЗАЦИИ</w:t>
      </w:r>
    </w:p>
    <w:p>
      <w:pPr>
        <w:pStyle w:val="Heading2"/>
      </w:pPr>
      <w:r>
        <w:t>4.1. Сегментация клиентов</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928"/>
            <w:shd w:val="clear" w:color="auto" w:fill="0B3D5C"/>
          </w:tcPr>
          <w:p>
            <w:r/>
            <w:r>
              <w:rPr>
                <w:b/>
                <w:color w:val="FFFFFF"/>
                <w:sz w:val="20"/>
              </w:rPr>
              <w:t>Сегмент</w:t>
            </w:r>
          </w:p>
        </w:tc>
        <w:tc>
          <w:tcPr>
            <w:tcW w:type="dxa" w:w="2154"/>
            <w:shd w:val="clear" w:color="auto" w:fill="0B3D5C"/>
          </w:tcPr>
          <w:p>
            <w:r/>
            <w:r>
              <w:rPr>
                <w:b/>
                <w:color w:val="FFFFFF"/>
                <w:sz w:val="20"/>
              </w:rPr>
              <w:t>Кто</w:t>
            </w:r>
          </w:p>
        </w:tc>
        <w:tc>
          <w:tcPr>
            <w:tcW w:type="dxa" w:w="3061"/>
            <w:shd w:val="clear" w:color="auto" w:fill="0B3D5C"/>
          </w:tcPr>
          <w:p>
            <w:r/>
            <w:r>
              <w:rPr>
                <w:b/>
                <w:color w:val="FFFFFF"/>
                <w:sz w:val="20"/>
              </w:rPr>
              <w:t>Ценность VitaGen</w:t>
            </w:r>
          </w:p>
        </w:tc>
        <w:tc>
          <w:tcPr>
            <w:tcW w:type="dxa" w:w="2041"/>
            <w:shd w:val="clear" w:color="auto" w:fill="0B3D5C"/>
          </w:tcPr>
          <w:p>
            <w:r/>
            <w:r>
              <w:rPr>
                <w:b/>
                <w:color w:val="FFFFFF"/>
                <w:sz w:val="20"/>
              </w:rPr>
              <w:t>Модель оплаты</w:t>
            </w:r>
          </w:p>
        </w:tc>
      </w:tr>
      <w:tr>
        <w:tc>
          <w:tcPr>
            <w:tcW w:type="dxa" w:w="1928"/>
          </w:tcPr>
          <w:p>
            <w:r/>
            <w:r>
              <w:rPr>
                <w:sz w:val="20"/>
              </w:rPr>
              <w:t>Клиники ВРТ (B2B)</w:t>
            </w:r>
          </w:p>
        </w:tc>
        <w:tc>
          <w:tcPr>
            <w:tcW w:type="dxa" w:w="2154"/>
          </w:tcPr>
          <w:p>
            <w:r/>
            <w:r>
              <w:rPr>
                <w:sz w:val="20"/>
              </w:rPr>
              <w:t>РНИМУ, частные центры ЭКО</w:t>
            </w:r>
          </w:p>
        </w:tc>
        <w:tc>
          <w:tcPr>
            <w:tcW w:type="dxa" w:w="3061"/>
          </w:tcPr>
          <w:p>
            <w:r/>
            <w:r>
              <w:rPr>
                <w:sz w:val="20"/>
              </w:rPr>
              <w:t>Точность прогноза, экономия квот ОМС, репутация</w:t>
            </w:r>
          </w:p>
        </w:tc>
        <w:tc>
          <w:tcPr>
            <w:tcW w:type="dxa" w:w="2041"/>
          </w:tcPr>
          <w:p>
            <w:r/>
            <w:r>
              <w:rPr>
                <w:sz w:val="20"/>
              </w:rPr>
              <w:t>Подписка + за цикл</w:t>
            </w:r>
          </w:p>
        </w:tc>
      </w:tr>
      <w:tr>
        <w:tc>
          <w:tcPr>
            <w:tcW w:type="dxa" w:w="1928"/>
            <w:shd w:val="clear" w:color="auto" w:fill="F3F8FB"/>
          </w:tcPr>
          <w:p>
            <w:r/>
            <w:r>
              <w:rPr>
                <w:sz w:val="20"/>
              </w:rPr>
              <w:t>Донорские программы и СМ</w:t>
            </w:r>
          </w:p>
        </w:tc>
        <w:tc>
          <w:tcPr>
            <w:tcW w:type="dxa" w:w="2154"/>
            <w:shd w:val="clear" w:color="auto" w:fill="F3F8FB"/>
          </w:tcPr>
          <w:p>
            <w:r/>
            <w:r>
              <w:rPr>
                <w:sz w:val="20"/>
              </w:rPr>
              <w:t>Банки гамет, клиники СМ</w:t>
            </w:r>
          </w:p>
        </w:tc>
        <w:tc>
          <w:tcPr>
            <w:tcW w:type="dxa" w:w="3061"/>
            <w:shd w:val="clear" w:color="auto" w:fill="F3F8FB"/>
          </w:tcPr>
          <w:p>
            <w:r/>
            <w:r>
              <w:rPr>
                <w:sz w:val="20"/>
              </w:rPr>
              <w:t>Прецизионный матчинг — высокие чеки</w:t>
            </w:r>
          </w:p>
        </w:tc>
        <w:tc>
          <w:tcPr>
            <w:tcW w:type="dxa" w:w="2041"/>
            <w:shd w:val="clear" w:color="auto" w:fill="F3F8FB"/>
          </w:tcPr>
          <w:p>
            <w:r/>
            <w:r>
              <w:rPr>
                <w:sz w:val="20"/>
              </w:rPr>
              <w:t>Плата за случай</w:t>
            </w:r>
          </w:p>
        </w:tc>
      </w:tr>
      <w:tr>
        <w:tc>
          <w:tcPr>
            <w:tcW w:type="dxa" w:w="1928"/>
          </w:tcPr>
          <w:p>
            <w:r/>
            <w:r>
              <w:rPr>
                <w:sz w:val="20"/>
              </w:rPr>
              <w:t>Регионы и Минздрав (B2G)</w:t>
            </w:r>
          </w:p>
        </w:tc>
        <w:tc>
          <w:tcPr>
            <w:tcW w:type="dxa" w:w="2154"/>
          </w:tcPr>
          <w:p>
            <w:r/>
            <w:r>
              <w:rPr>
                <w:sz w:val="20"/>
              </w:rPr>
              <w:t>ДЗ регионов</w:t>
            </w:r>
          </w:p>
        </w:tc>
        <w:tc>
          <w:tcPr>
            <w:tcW w:type="dxa" w:w="3061"/>
          </w:tcPr>
          <w:p>
            <w:r/>
            <w:r>
              <w:rPr>
                <w:sz w:val="20"/>
              </w:rPr>
              <w:t>CLBR, стоимость живорождения, квоты ОМС</w:t>
            </w:r>
          </w:p>
        </w:tc>
        <w:tc>
          <w:tcPr>
            <w:tcW w:type="dxa" w:w="2041"/>
          </w:tcPr>
          <w:p>
            <w:r/>
            <w:r>
              <w:rPr>
                <w:sz w:val="20"/>
              </w:rPr>
              <w:t>Годовой контракт</w:t>
            </w:r>
          </w:p>
        </w:tc>
      </w:tr>
      <w:tr>
        <w:tc>
          <w:tcPr>
            <w:tcW w:type="dxa" w:w="1928"/>
            <w:shd w:val="clear" w:color="auto" w:fill="F3F8FB"/>
          </w:tcPr>
          <w:p>
            <w:r/>
            <w:r>
              <w:rPr>
                <w:sz w:val="20"/>
              </w:rPr>
              <w:t>Генетические лаборатории</w:t>
            </w:r>
          </w:p>
        </w:tc>
        <w:tc>
          <w:tcPr>
            <w:tcW w:type="dxa" w:w="2154"/>
            <w:shd w:val="clear" w:color="auto" w:fill="F3F8FB"/>
          </w:tcPr>
          <w:p>
            <w:r/>
            <w:r>
              <w:rPr>
                <w:sz w:val="20"/>
              </w:rPr>
              <w:t>PGT-лаборатории</w:t>
            </w:r>
          </w:p>
        </w:tc>
        <w:tc>
          <w:tcPr>
            <w:tcW w:type="dxa" w:w="3061"/>
            <w:shd w:val="clear" w:color="auto" w:fill="F3F8FB"/>
          </w:tcPr>
          <w:p>
            <w:r/>
            <w:r>
              <w:rPr>
                <w:sz w:val="20"/>
              </w:rPr>
              <w:t>Обогащение интерпретации</w:t>
            </w:r>
          </w:p>
        </w:tc>
        <w:tc>
          <w:tcPr>
            <w:tcW w:type="dxa" w:w="2041"/>
            <w:shd w:val="clear" w:color="auto" w:fill="F3F8FB"/>
          </w:tcPr>
          <w:p>
            <w:r/>
            <w:r>
              <w:rPr>
                <w:sz w:val="20"/>
              </w:rPr>
              <w:t>Лицензия / rev-share</w:t>
            </w:r>
          </w:p>
        </w:tc>
      </w:tr>
      <w:tr>
        <w:tc>
          <w:tcPr>
            <w:tcW w:type="dxa" w:w="1928"/>
          </w:tcPr>
          <w:p>
            <w:r/>
            <w:r>
              <w:rPr>
                <w:sz w:val="20"/>
              </w:rPr>
              <w:t>Перинатальные клиники</w:t>
            </w:r>
          </w:p>
        </w:tc>
        <w:tc>
          <w:tcPr>
            <w:tcW w:type="dxa" w:w="2154"/>
          </w:tcPr>
          <w:p>
            <w:r/>
            <w:r>
              <w:rPr>
                <w:sz w:val="20"/>
              </w:rPr>
              <w:t>Акушерские структуры</w:t>
            </w:r>
          </w:p>
        </w:tc>
        <w:tc>
          <w:tcPr>
            <w:tcW w:type="dxa" w:w="3061"/>
          </w:tcPr>
          <w:p>
            <w:r/>
            <w:r>
              <w:rPr>
                <w:sz w:val="20"/>
              </w:rPr>
              <w:t>Прогноз осложнений</w:t>
            </w:r>
          </w:p>
        </w:tc>
        <w:tc>
          <w:tcPr>
            <w:tcW w:type="dxa" w:w="2041"/>
          </w:tcPr>
          <w:p>
            <w:r/>
            <w:r>
              <w:rPr>
                <w:sz w:val="20"/>
              </w:rPr>
              <w:t>Модуль подписки</w:t>
            </w:r>
          </w:p>
        </w:tc>
      </w:tr>
      <w:tr>
        <w:tc>
          <w:tcPr>
            <w:tcW w:type="dxa" w:w="1928"/>
            <w:shd w:val="clear" w:color="auto" w:fill="F3F8FB"/>
          </w:tcPr>
          <w:p>
            <w:r/>
            <w:r>
              <w:rPr>
                <w:sz w:val="20"/>
              </w:rPr>
              <w:t>Пары (косвенно B2C)</w:t>
            </w:r>
          </w:p>
        </w:tc>
        <w:tc>
          <w:tcPr>
            <w:tcW w:type="dxa" w:w="2154"/>
            <w:shd w:val="clear" w:color="auto" w:fill="F3F8FB"/>
          </w:tcPr>
          <w:p>
            <w:r/>
            <w:r>
              <w:rPr>
                <w:sz w:val="20"/>
              </w:rPr>
              <w:t>Пациенты ВРТ</w:t>
            </w:r>
          </w:p>
        </w:tc>
        <w:tc>
          <w:tcPr>
            <w:tcW w:type="dxa" w:w="3061"/>
            <w:shd w:val="clear" w:color="auto" w:fill="F3F8FB"/>
          </w:tcPr>
          <w:p>
            <w:r/>
            <w:r>
              <w:rPr>
                <w:sz w:val="20"/>
              </w:rPr>
              <w:t>«Семейный геномный консилиум»</w:t>
            </w:r>
          </w:p>
        </w:tc>
        <w:tc>
          <w:tcPr>
            <w:tcW w:type="dxa" w:w="2041"/>
            <w:shd w:val="clear" w:color="auto" w:fill="F3F8FB"/>
          </w:tcPr>
          <w:p>
            <w:r/>
            <w:r>
              <w:rPr>
                <w:sz w:val="20"/>
              </w:rPr>
              <w:t>Через клинику</w:t>
            </w:r>
          </w:p>
        </w:tc>
      </w:tr>
    </w:tbl>
    <w:p/>
    <w:p>
      <w:pPr>
        <w:pStyle w:val="Heading2"/>
      </w:pPr>
      <w:r>
        <w:t>4.2. Пять источников выручки</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721"/>
            <w:shd w:val="clear" w:color="auto" w:fill="0B3D5C"/>
          </w:tcPr>
          <w:p>
            <w:r/>
            <w:r>
              <w:rPr>
                <w:b/>
                <w:color w:val="FFFFFF"/>
                <w:sz w:val="20"/>
              </w:rPr>
              <w:t>Поток</w:t>
            </w:r>
          </w:p>
        </w:tc>
        <w:tc>
          <w:tcPr>
            <w:tcW w:type="dxa" w:w="2041"/>
            <w:shd w:val="clear" w:color="auto" w:fill="0B3D5C"/>
          </w:tcPr>
          <w:p>
            <w:r/>
            <w:r>
              <w:rPr>
                <w:b/>
                <w:color w:val="FFFFFF"/>
                <w:sz w:val="20"/>
              </w:rPr>
              <w:t>Цена (модель)</w:t>
            </w:r>
          </w:p>
        </w:tc>
        <w:tc>
          <w:tcPr>
            <w:tcW w:type="dxa" w:w="2494"/>
            <w:shd w:val="clear" w:color="auto" w:fill="0B3D5C"/>
          </w:tcPr>
          <w:p>
            <w:r/>
            <w:r>
              <w:rPr>
                <w:b/>
                <w:color w:val="FFFFFF"/>
                <w:sz w:val="20"/>
              </w:rPr>
              <w:t>Принцип расчёта</w:t>
            </w:r>
          </w:p>
        </w:tc>
        <w:tc>
          <w:tcPr>
            <w:tcW w:type="dxa" w:w="1928"/>
            <w:shd w:val="clear" w:color="auto" w:fill="0B3D5C"/>
          </w:tcPr>
          <w:p>
            <w:r/>
            <w:r>
              <w:rPr>
                <w:b/>
                <w:color w:val="FFFFFF"/>
                <w:sz w:val="20"/>
              </w:rPr>
              <w:t>Масштаб 2030</w:t>
            </w:r>
          </w:p>
        </w:tc>
      </w:tr>
      <w:tr>
        <w:tc>
          <w:tcPr>
            <w:tcW w:type="dxa" w:w="2721"/>
          </w:tcPr>
          <w:p>
            <w:r/>
            <w:r>
              <w:rPr>
                <w:sz w:val="20"/>
              </w:rPr>
              <w:t>Подписка клиники (SaaS + аналитика)</w:t>
            </w:r>
          </w:p>
        </w:tc>
        <w:tc>
          <w:tcPr>
            <w:tcW w:type="dxa" w:w="2041"/>
          </w:tcPr>
          <w:p>
            <w:r/>
            <w:r>
              <w:rPr>
                <w:sz w:val="20"/>
              </w:rPr>
              <w:t>5,0–5,0 млн ₽/год</w:t>
            </w:r>
          </w:p>
        </w:tc>
        <w:tc>
          <w:tcPr>
            <w:tcW w:type="dxa" w:w="2494"/>
          </w:tcPr>
          <w:p>
            <w:r/>
            <w:r>
              <w:rPr>
                <w:sz w:val="20"/>
              </w:rPr>
              <w:t>годовая подписка; 130 клиник</w:t>
            </w:r>
          </w:p>
        </w:tc>
        <w:tc>
          <w:tcPr>
            <w:tcW w:type="dxa" w:w="1928"/>
          </w:tcPr>
          <w:p>
            <w:r/>
            <w:r>
              <w:rPr>
                <w:sz w:val="20"/>
              </w:rPr>
              <w:t>≈474 млн ₽ (105%)</w:t>
            </w:r>
          </w:p>
        </w:tc>
      </w:tr>
      <w:tr>
        <w:tc>
          <w:tcPr>
            <w:tcW w:type="dxa" w:w="2721"/>
            <w:shd w:val="clear" w:color="auto" w:fill="F3F8FB"/>
          </w:tcPr>
          <w:p>
            <w:r/>
            <w:r>
              <w:rPr>
                <w:sz w:val="20"/>
              </w:rPr>
              <w:t>Доп. модули (ARPU)</w:t>
            </w:r>
          </w:p>
        </w:tc>
        <w:tc>
          <w:tcPr>
            <w:tcW w:type="dxa" w:w="2041"/>
            <w:shd w:val="clear" w:color="auto" w:fill="F3F8FB"/>
          </w:tcPr>
          <w:p>
            <w:r/>
            <w:r>
              <w:rPr>
                <w:sz w:val="20"/>
              </w:rPr>
              <w:t>0,12–0,7 млн ₽/год</w:t>
            </w:r>
          </w:p>
        </w:tc>
        <w:tc>
          <w:tcPr>
            <w:tcW w:type="dxa" w:w="2494"/>
            <w:shd w:val="clear" w:color="auto" w:fill="F3F8FB"/>
          </w:tcPr>
          <w:p>
            <w:r/>
            <w:r>
              <w:rPr>
                <w:sz w:val="20"/>
              </w:rPr>
              <w:t>количество клиник × ARPU</w:t>
            </w:r>
          </w:p>
        </w:tc>
        <w:tc>
          <w:tcPr>
            <w:tcW w:type="dxa" w:w="1928"/>
            <w:shd w:val="clear" w:color="auto" w:fill="F3F8FB"/>
          </w:tcPr>
          <w:p>
            <w:r/>
            <w:r>
              <w:rPr>
                <w:sz w:val="20"/>
              </w:rPr>
              <w:t>≈130 млн ₽ (46%)</w:t>
            </w:r>
          </w:p>
        </w:tc>
      </w:tr>
      <w:tr>
        <w:tc>
          <w:tcPr>
            <w:tcW w:type="dxa" w:w="2721"/>
          </w:tcPr>
          <w:p>
            <w:r/>
            <w:r>
              <w:rPr>
                <w:sz w:val="20"/>
              </w:rPr>
              <w:t>Матчинг донорство/СМ</w:t>
            </w:r>
          </w:p>
        </w:tc>
        <w:tc>
          <w:tcPr>
            <w:tcW w:type="dxa" w:w="2041"/>
          </w:tcPr>
          <w:p>
            <w:r/>
            <w:r>
              <w:rPr>
                <w:sz w:val="20"/>
              </w:rPr>
              <w:t>0,14 млн ₽/случай</w:t>
            </w:r>
          </w:p>
        </w:tc>
        <w:tc>
          <w:tcPr>
            <w:tcW w:type="dxa" w:w="2494"/>
          </w:tcPr>
          <w:p>
            <w:r/>
            <w:r>
              <w:rPr>
                <w:sz w:val="20"/>
              </w:rPr>
              <w:t>136 случаев/год</w:t>
            </w:r>
          </w:p>
        </w:tc>
        <w:tc>
          <w:tcPr>
            <w:tcW w:type="dxa" w:w="1928"/>
          </w:tcPr>
          <w:p>
            <w:r/>
            <w:r>
              <w:rPr>
                <w:sz w:val="20"/>
              </w:rPr>
              <w:t>≈22 млн ₽ (7%)</w:t>
            </w:r>
          </w:p>
        </w:tc>
      </w:tr>
      <w:tr>
        <w:tc>
          <w:tcPr>
            <w:tcW w:type="dxa" w:w="2721"/>
            <w:shd w:val="clear" w:color="auto" w:fill="F3F8FB"/>
          </w:tcPr>
          <w:p>
            <w:r/>
            <w:r>
              <w:rPr>
                <w:sz w:val="20"/>
              </w:rPr>
              <w:t>B2G-аналитика</w:t>
            </w:r>
          </w:p>
        </w:tc>
        <w:tc>
          <w:tcPr>
            <w:tcW w:type="dxa" w:w="2041"/>
            <w:shd w:val="clear" w:color="auto" w:fill="F3F8FB"/>
          </w:tcPr>
          <w:p>
            <w:r/>
            <w:r>
              <w:rPr>
                <w:sz w:val="20"/>
              </w:rPr>
              <w:t>3–13 млн ₽/регион/год</w:t>
            </w:r>
          </w:p>
        </w:tc>
        <w:tc>
          <w:tcPr>
            <w:tcW w:type="dxa" w:w="2494"/>
            <w:shd w:val="clear" w:color="auto" w:fill="F3F8FB"/>
          </w:tcPr>
          <w:p>
            <w:r/>
            <w:r>
              <w:rPr>
                <w:sz w:val="20"/>
              </w:rPr>
              <w:t>8 регионов</w:t>
            </w:r>
          </w:p>
        </w:tc>
        <w:tc>
          <w:tcPr>
            <w:tcW w:type="dxa" w:w="1928"/>
            <w:shd w:val="clear" w:color="auto" w:fill="F3F8FB"/>
          </w:tcPr>
          <w:p>
            <w:r/>
            <w:r>
              <w:rPr>
                <w:sz w:val="20"/>
              </w:rPr>
              <w:t>≈61 млн ₽ (6%)</w:t>
            </w:r>
          </w:p>
        </w:tc>
      </w:tr>
      <w:tr>
        <w:tc>
          <w:tcPr>
            <w:tcW w:type="dxa" w:w="2721"/>
          </w:tcPr>
          <w:p>
            <w:r/>
            <w:r>
              <w:rPr>
                <w:sz w:val="20"/>
              </w:rPr>
              <w:t>Хайнань/АТР</w:t>
            </w:r>
          </w:p>
        </w:tc>
        <w:tc>
          <w:tcPr>
            <w:tcW w:type="dxa" w:w="2041"/>
          </w:tcPr>
          <w:p>
            <w:r/>
            <w:r>
              <w:rPr>
                <w:sz w:val="20"/>
              </w:rPr>
              <w:t>6–14,0 млн ₽/партнёр</w:t>
            </w:r>
          </w:p>
        </w:tc>
        <w:tc>
          <w:tcPr>
            <w:tcW w:type="dxa" w:w="2494"/>
          </w:tcPr>
          <w:p>
            <w:r/>
            <w:r>
              <w:rPr>
                <w:sz w:val="20"/>
              </w:rPr>
              <w:t>7 партнёра (2029–2030)</w:t>
            </w:r>
          </w:p>
        </w:tc>
        <w:tc>
          <w:tcPr>
            <w:tcW w:type="dxa" w:w="1928"/>
          </w:tcPr>
          <w:p>
            <w:r/>
            <w:r>
              <w:rPr>
                <w:sz w:val="20"/>
              </w:rPr>
              <w:t>≈36 млн ₽ (10%)</w:t>
            </w:r>
          </w:p>
        </w:tc>
      </w:tr>
    </w:tbl>
    <w:p/>
    <w:p>
      <w:r>
        <w:rPr>
          <w:i/>
          <w:color w:val="5A6A7A"/>
          <w:sz w:val="18"/>
        </w:rPr>
        <w:t>Сумма по потокам на 2030 г. соответствует итоговой выручке 1352 млн ₽ (округление 0,1 млн ₽).</w:t>
      </w:r>
    </w:p>
    <w:p>
      <w:pPr>
        <w:pStyle w:val="Heading2"/>
      </w:pPr>
      <w:r>
        <w:t>4.3. Приоритизация сегментов</w:t>
      </w:r>
    </w:p>
    <w:p>
      <w:pPr>
        <w:pStyle w:val="ListBullet"/>
        <w:ind w:left="340"/>
      </w:pPr>
      <w:r>
        <w:t>Приоритет № 1 (2026–2027): федеральные и крупные коммерческие клиники Москвы и ЦФО — якорный пилот и первые платящие клиники;</w:t>
      </w:r>
    </w:p>
    <w:p>
      <w:pPr>
        <w:pStyle w:val="ListBullet"/>
        <w:ind w:left="340"/>
      </w:pPr>
      <w:r>
        <w:t>Приоритет № 2 (2028): средние клиники Москвы + ДЗ Москвы/регионы (B2G-аналитика);</w:t>
      </w:r>
    </w:p>
    <w:p>
      <w:pPr>
        <w:pStyle w:val="ListBullet"/>
        <w:ind w:left="340"/>
      </w:pPr>
      <w:r>
        <w:t>Приоритет № 3 (2029): донорские программы, суррогатное материнство и генетические лаборатории (высокий чек за случай);</w:t>
      </w:r>
    </w:p>
    <w:p>
      <w:pPr>
        <w:pStyle w:val="ListBullet"/>
        <w:ind w:left="340"/>
      </w:pPr>
      <w:r>
        <w:t>Приоритет № 4 (2030): перинатальные структуры и международное направление (Хайнань/АТР).</w:t>
      </w:r>
    </w:p>
    <w:p>
      <w:pPr>
        <w:pStyle w:val="Heading2"/>
      </w:pPr>
      <w:r>
        <w:t>4.4. Портрет платящего клиента (ICP)</w:t>
      </w:r>
    </w:p>
    <w:p>
      <w:r>
        <w:rPr>
          <w:b w:val="0"/>
          <w:i w:val="0"/>
          <w:sz w:val="22"/>
        </w:rPr>
        <w:t>Годовая выручка клиники 333–562 млн ₽; 1166+ циклов/год; наличие таймлапс-инкубатора и (или) PGT; заинтересованность в рейтинге CLBR и оптимизации ОМС-квот. Мотив решения: рост результативности без роста маркетинговых бюджетов, репутационное преимущество «клиники, в которой ИИ улучшает результат», снижение стоимости одного живорождения.</w:t>
      </w:r>
    </w:p>
    <w:p>
      <w:pPr>
        <w:pStyle w:val="Heading2"/>
      </w:pPr>
      <w:r>
        <w:t>4.5. Региональный план экспансии (РФ)</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608"/>
            <w:shd w:val="clear" w:color="auto" w:fill="0B3D5C"/>
          </w:tcPr>
          <w:p>
            <w:r/>
            <w:r>
              <w:rPr>
                <w:b/>
                <w:color w:val="FFFFFF"/>
                <w:sz w:val="20"/>
              </w:rPr>
              <w:t>Регион/макрорегион</w:t>
            </w:r>
          </w:p>
        </w:tc>
        <w:tc>
          <w:tcPr>
            <w:tcW w:type="dxa" w:w="2268"/>
            <w:shd w:val="clear" w:color="auto" w:fill="0B3D5C"/>
          </w:tcPr>
          <w:p>
            <w:r/>
            <w:r>
              <w:rPr>
                <w:b/>
                <w:color w:val="FFFFFF"/>
                <w:sz w:val="20"/>
              </w:rPr>
              <w:t>Потенциал (клиники ВРТ)</w:t>
            </w:r>
          </w:p>
        </w:tc>
        <w:tc>
          <w:tcPr>
            <w:tcW w:type="dxa" w:w="1474"/>
            <w:shd w:val="clear" w:color="auto" w:fill="0B3D5C"/>
          </w:tcPr>
          <w:p>
            <w:r/>
            <w:r>
              <w:rPr>
                <w:b/>
                <w:color w:val="FFFFFF"/>
                <w:sz w:val="20"/>
              </w:rPr>
              <w:t>Вход</w:t>
            </w:r>
          </w:p>
        </w:tc>
        <w:tc>
          <w:tcPr>
            <w:tcW w:type="dxa" w:w="2494"/>
            <w:shd w:val="clear" w:color="auto" w:fill="0B3D5C"/>
          </w:tcPr>
          <w:p>
            <w:r/>
            <w:r>
              <w:rPr>
                <w:b/>
                <w:color w:val="FFFFFF"/>
                <w:sz w:val="20"/>
              </w:rPr>
              <w:t>Драйвер</w:t>
            </w:r>
          </w:p>
        </w:tc>
      </w:tr>
      <w:tr>
        <w:tc>
          <w:tcPr>
            <w:tcW w:type="dxa" w:w="2608"/>
          </w:tcPr>
          <w:p>
            <w:r/>
            <w:r>
              <w:rPr>
                <w:sz w:val="20"/>
              </w:rPr>
              <w:t>Москва и МО</w:t>
            </w:r>
          </w:p>
        </w:tc>
        <w:tc>
          <w:tcPr>
            <w:tcW w:type="dxa" w:w="2268"/>
          </w:tcPr>
          <w:p>
            <w:r/>
            <w:r>
              <w:rPr>
                <w:sz w:val="20"/>
              </w:rPr>
              <w:t>17–58 клиник</w:t>
            </w:r>
          </w:p>
        </w:tc>
        <w:tc>
          <w:tcPr>
            <w:tcW w:type="dxa" w:w="1474"/>
          </w:tcPr>
          <w:p>
            <w:r/>
            <w:r>
              <w:rPr>
                <w:sz w:val="20"/>
              </w:rPr>
              <w:t>2026–2027</w:t>
            </w:r>
          </w:p>
        </w:tc>
        <w:tc>
          <w:tcPr>
            <w:tcW w:type="dxa" w:w="2494"/>
          </w:tcPr>
          <w:p>
            <w:r/>
            <w:r>
              <w:rPr>
                <w:sz w:val="20"/>
              </w:rPr>
              <w:t>пилот, ДЗ Москвы, центр компетенций</w:t>
            </w:r>
          </w:p>
        </w:tc>
      </w:tr>
      <w:tr>
        <w:tc>
          <w:tcPr>
            <w:tcW w:type="dxa" w:w="2608"/>
            <w:shd w:val="clear" w:color="auto" w:fill="F3F8FB"/>
          </w:tcPr>
          <w:p>
            <w:r/>
            <w:r>
              <w:rPr>
                <w:sz w:val="20"/>
              </w:rPr>
              <w:t>Санкт-Петербург и СЗФО</w:t>
            </w:r>
          </w:p>
        </w:tc>
        <w:tc>
          <w:tcPr>
            <w:tcW w:type="dxa" w:w="2268"/>
            <w:shd w:val="clear" w:color="auto" w:fill="F3F8FB"/>
          </w:tcPr>
          <w:p>
            <w:r/>
            <w:r>
              <w:rPr>
                <w:sz w:val="20"/>
              </w:rPr>
              <w:t>14–28 клиник</w:t>
            </w:r>
          </w:p>
        </w:tc>
        <w:tc>
          <w:tcPr>
            <w:tcW w:type="dxa" w:w="1474"/>
            <w:shd w:val="clear" w:color="auto" w:fill="F3F8FB"/>
          </w:tcPr>
          <w:p>
            <w:r/>
            <w:r>
              <w:rPr>
                <w:sz w:val="20"/>
              </w:rPr>
              <w:t>2028</w:t>
            </w:r>
          </w:p>
        </w:tc>
        <w:tc>
          <w:tcPr>
            <w:tcW w:type="dxa" w:w="2494"/>
            <w:shd w:val="clear" w:color="auto" w:fill="F3F8FB"/>
          </w:tcPr>
          <w:p>
            <w:r/>
            <w:r>
              <w:rPr>
                <w:sz w:val="20"/>
              </w:rPr>
              <w:t>плотность частных клиник</w:t>
            </w:r>
          </w:p>
        </w:tc>
      </w:tr>
      <w:tr>
        <w:tc>
          <w:tcPr>
            <w:tcW w:type="dxa" w:w="2608"/>
          </w:tcPr>
          <w:p>
            <w:r/>
            <w:r>
              <w:rPr>
                <w:sz w:val="20"/>
              </w:rPr>
              <w:t>ЦФО (без МО)</w:t>
            </w:r>
          </w:p>
        </w:tc>
        <w:tc>
          <w:tcPr>
            <w:tcW w:type="dxa" w:w="2268"/>
          </w:tcPr>
          <w:p>
            <w:r/>
            <w:r>
              <w:rPr>
                <w:sz w:val="20"/>
              </w:rPr>
              <w:t>12–17 клиник</w:t>
            </w:r>
          </w:p>
        </w:tc>
        <w:tc>
          <w:tcPr>
            <w:tcW w:type="dxa" w:w="1474"/>
          </w:tcPr>
          <w:p>
            <w:r/>
            <w:r>
              <w:rPr>
                <w:sz w:val="20"/>
              </w:rPr>
              <w:t>2028–2029</w:t>
            </w:r>
          </w:p>
        </w:tc>
        <w:tc>
          <w:tcPr>
            <w:tcW w:type="dxa" w:w="2494"/>
          </w:tcPr>
          <w:p>
            <w:r/>
            <w:r>
              <w:rPr>
                <w:sz w:val="20"/>
              </w:rPr>
              <w:t>ОМС-квоты регионов, гос. политика</w:t>
            </w:r>
          </w:p>
        </w:tc>
      </w:tr>
      <w:tr>
        <w:tc>
          <w:tcPr>
            <w:tcW w:type="dxa" w:w="2608"/>
            <w:shd w:val="clear" w:color="auto" w:fill="F3F8FB"/>
          </w:tcPr>
          <w:p>
            <w:r/>
            <w:r>
              <w:rPr>
                <w:sz w:val="20"/>
              </w:rPr>
              <w:t>ПФО</w:t>
            </w:r>
          </w:p>
        </w:tc>
        <w:tc>
          <w:tcPr>
            <w:tcW w:type="dxa" w:w="2268"/>
            <w:shd w:val="clear" w:color="auto" w:fill="F3F8FB"/>
          </w:tcPr>
          <w:p>
            <w:r/>
            <w:r>
              <w:rPr>
                <w:sz w:val="20"/>
              </w:rPr>
              <w:t>12–28 клиник</w:t>
            </w:r>
          </w:p>
        </w:tc>
        <w:tc>
          <w:tcPr>
            <w:tcW w:type="dxa" w:w="1474"/>
            <w:shd w:val="clear" w:color="auto" w:fill="F3F8FB"/>
          </w:tcPr>
          <w:p>
            <w:r/>
            <w:r>
              <w:rPr>
                <w:sz w:val="20"/>
              </w:rPr>
              <w:t>2029</w:t>
            </w:r>
          </w:p>
        </w:tc>
        <w:tc>
          <w:tcPr>
            <w:tcW w:type="dxa" w:w="2494"/>
            <w:shd w:val="clear" w:color="auto" w:fill="F3F8FB"/>
          </w:tcPr>
          <w:p>
            <w:r/>
            <w:r>
              <w:rPr>
                <w:sz w:val="20"/>
              </w:rPr>
              <w:t>Б3Г-аналитика регионов, госпитальные сети</w:t>
            </w:r>
          </w:p>
        </w:tc>
      </w:tr>
      <w:tr>
        <w:tc>
          <w:tcPr>
            <w:tcW w:type="dxa" w:w="2608"/>
          </w:tcPr>
          <w:p>
            <w:r/>
            <w:r>
              <w:rPr>
                <w:sz w:val="20"/>
              </w:rPr>
              <w:t>ЮФО / СКФО</w:t>
            </w:r>
          </w:p>
        </w:tc>
        <w:tc>
          <w:tcPr>
            <w:tcW w:type="dxa" w:w="2268"/>
          </w:tcPr>
          <w:p>
            <w:r/>
            <w:r>
              <w:rPr>
                <w:sz w:val="20"/>
              </w:rPr>
              <w:t>14–28 клиник</w:t>
            </w:r>
          </w:p>
        </w:tc>
        <w:tc>
          <w:tcPr>
            <w:tcW w:type="dxa" w:w="1474"/>
          </w:tcPr>
          <w:p>
            <w:r/>
            <w:r>
              <w:rPr>
                <w:sz w:val="20"/>
              </w:rPr>
              <w:t>2029–2030</w:t>
            </w:r>
          </w:p>
        </w:tc>
        <w:tc>
          <w:tcPr>
            <w:tcW w:type="dxa" w:w="2494"/>
          </w:tcPr>
          <w:p>
            <w:r/>
            <w:r>
              <w:rPr>
                <w:sz w:val="20"/>
              </w:rPr>
              <w:t>высокая рождаемость, потребность в CLBR</w:t>
            </w:r>
          </w:p>
        </w:tc>
      </w:tr>
      <w:tr>
        <w:tc>
          <w:tcPr>
            <w:tcW w:type="dxa" w:w="2608"/>
            <w:shd w:val="clear" w:color="auto" w:fill="F3F8FB"/>
          </w:tcPr>
          <w:p>
            <w:r/>
            <w:r>
              <w:rPr>
                <w:sz w:val="20"/>
              </w:rPr>
              <w:t>Урал и Сибирь</w:t>
            </w:r>
          </w:p>
        </w:tc>
        <w:tc>
          <w:tcPr>
            <w:tcW w:type="dxa" w:w="2268"/>
            <w:shd w:val="clear" w:color="auto" w:fill="F3F8FB"/>
          </w:tcPr>
          <w:p>
            <w:r/>
            <w:r>
              <w:rPr>
                <w:sz w:val="20"/>
              </w:rPr>
              <w:t>14–28 клиник</w:t>
            </w:r>
          </w:p>
        </w:tc>
        <w:tc>
          <w:tcPr>
            <w:tcW w:type="dxa" w:w="1474"/>
            <w:shd w:val="clear" w:color="auto" w:fill="F3F8FB"/>
          </w:tcPr>
          <w:p>
            <w:r/>
            <w:r>
              <w:rPr>
                <w:sz w:val="20"/>
              </w:rPr>
              <w:t>2030</w:t>
            </w:r>
          </w:p>
        </w:tc>
        <w:tc>
          <w:tcPr>
            <w:tcW w:type="dxa" w:w="2494"/>
            <w:shd w:val="clear" w:color="auto" w:fill="F3F8FB"/>
          </w:tcPr>
          <w:p>
            <w:r/>
            <w:r>
              <w:rPr>
                <w:sz w:val="20"/>
              </w:rPr>
              <w:t>крупные федеральные центры ВРТ</w:t>
            </w:r>
          </w:p>
        </w:tc>
      </w:tr>
    </w:tbl>
    <w:p/>
    <w:p>
      <w:r>
        <w:rPr>
          <w:b w:val="0"/>
          <w:i w:val="0"/>
          <w:sz w:val="22"/>
        </w:rPr>
        <w:t>К 2030 году охват — 130 клиник (из ~333 «крупных» в РФ) и 8 B2G-регионов; дальнейшая масштабируемость до цифры порядка 197–333 клиник закладывается в постмодельный горизонт 2031–2032.</w:t>
      </w:r>
    </w:p>
    <w:p>
      <w:pPr>
        <w:pStyle w:val="Heading2"/>
      </w:pPr>
      <w:r>
        <w:t>4.6. Стратегическая дорожка: от пилота к рекомендации для системы ОМС</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608"/>
            <w:shd w:val="clear" w:color="auto" w:fill="0B3D5C"/>
          </w:tcPr>
          <w:p>
            <w:r/>
            <w:r>
              <w:rPr>
                <w:b/>
                <w:color w:val="FFFFFF"/>
                <w:sz w:val="20"/>
              </w:rPr>
              <w:t>Этап</w:t>
            </w:r>
          </w:p>
        </w:tc>
        <w:tc>
          <w:tcPr>
            <w:tcW w:type="dxa" w:w="3628"/>
            <w:shd w:val="clear" w:color="auto" w:fill="0B3D5C"/>
          </w:tcPr>
          <w:p>
            <w:r/>
            <w:r>
              <w:rPr>
                <w:b/>
                <w:color w:val="FFFFFF"/>
                <w:sz w:val="20"/>
              </w:rPr>
              <w:t>Действие</w:t>
            </w:r>
          </w:p>
        </w:tc>
        <w:tc>
          <w:tcPr>
            <w:tcW w:type="dxa" w:w="1134"/>
            <w:shd w:val="clear" w:color="auto" w:fill="0B3D5C"/>
          </w:tcPr>
          <w:p>
            <w:r/>
            <w:r>
              <w:rPr>
                <w:b/>
                <w:color w:val="FFFFFF"/>
                <w:sz w:val="20"/>
              </w:rPr>
              <w:t>Срок</w:t>
            </w:r>
          </w:p>
        </w:tc>
        <w:tc>
          <w:tcPr>
            <w:tcW w:type="dxa" w:w="2041"/>
            <w:shd w:val="clear" w:color="auto" w:fill="0B3D5C"/>
          </w:tcPr>
          <w:p>
            <w:r/>
            <w:r>
              <w:rPr>
                <w:b/>
                <w:color w:val="FFFFFF"/>
                <w:sz w:val="20"/>
              </w:rPr>
              <w:t>Ожидаемый результат</w:t>
            </w:r>
          </w:p>
        </w:tc>
      </w:tr>
      <w:tr>
        <w:tc>
          <w:tcPr>
            <w:tcW w:type="dxa" w:w="2608"/>
          </w:tcPr>
          <w:p>
            <w:r/>
            <w:r>
              <w:rPr>
                <w:sz w:val="20"/>
              </w:rPr>
              <w:t>Пилот в «песочнице» ДЗМ</w:t>
            </w:r>
          </w:p>
        </w:tc>
        <w:tc>
          <w:tcPr>
            <w:tcW w:type="dxa" w:w="3628"/>
          </w:tcPr>
          <w:p>
            <w:r/>
            <w:r>
              <w:rPr>
                <w:sz w:val="20"/>
              </w:rPr>
              <w:t>апробация ИИ-МИ на реальных данных Москвы</w:t>
            </w:r>
          </w:p>
        </w:tc>
        <w:tc>
          <w:tcPr>
            <w:tcW w:type="dxa" w:w="1134"/>
          </w:tcPr>
          <w:p>
            <w:r/>
            <w:r>
              <w:rPr>
                <w:sz w:val="20"/>
              </w:rPr>
              <w:t>2026–2027</w:t>
            </w:r>
          </w:p>
        </w:tc>
        <w:tc>
          <w:tcPr>
            <w:tcW w:type="dxa" w:w="2041"/>
          </w:tcPr>
          <w:p>
            <w:r/>
            <w:r>
              <w:rPr>
                <w:sz w:val="20"/>
              </w:rPr>
              <w:t>протоколы и оценка эффекта по ОМС</w:t>
            </w:r>
          </w:p>
        </w:tc>
      </w:tr>
      <w:tr>
        <w:tc>
          <w:tcPr>
            <w:tcW w:type="dxa" w:w="2608"/>
            <w:shd w:val="clear" w:color="auto" w:fill="F3F8FB"/>
          </w:tcPr>
          <w:p>
            <w:r/>
            <w:r>
              <w:rPr>
                <w:sz w:val="20"/>
              </w:rPr>
              <w:t>Проспективная валидация</w:t>
            </w:r>
          </w:p>
        </w:tc>
        <w:tc>
          <w:tcPr>
            <w:tcW w:type="dxa" w:w="3628"/>
            <w:shd w:val="clear" w:color="auto" w:fill="F3F8FB"/>
          </w:tcPr>
          <w:p>
            <w:r/>
            <w:r>
              <w:rPr>
                <w:sz w:val="20"/>
              </w:rPr>
              <w:t>6–14 тыс. циклов, независимая выборка</w:t>
            </w:r>
          </w:p>
        </w:tc>
        <w:tc>
          <w:tcPr>
            <w:tcW w:type="dxa" w:w="1134"/>
            <w:shd w:val="clear" w:color="auto" w:fill="F3F8FB"/>
          </w:tcPr>
          <w:p>
            <w:r/>
            <w:r>
              <w:rPr>
                <w:sz w:val="20"/>
              </w:rPr>
              <w:t>2027</w:t>
            </w:r>
          </w:p>
        </w:tc>
        <w:tc>
          <w:tcPr>
            <w:tcW w:type="dxa" w:w="2041"/>
            <w:shd w:val="clear" w:color="auto" w:fill="F3F8FB"/>
          </w:tcPr>
          <w:p>
            <w:r/>
            <w:r>
              <w:rPr>
                <w:sz w:val="20"/>
              </w:rPr>
              <w:t>публикация, стат. значимость</w:t>
            </w:r>
          </w:p>
        </w:tc>
      </w:tr>
      <w:tr>
        <w:tc>
          <w:tcPr>
            <w:tcW w:type="dxa" w:w="2608"/>
          </w:tcPr>
          <w:p>
            <w:r/>
            <w:r>
              <w:rPr>
                <w:sz w:val="20"/>
              </w:rPr>
              <w:t>Регистрация ИИ-МИ</w:t>
            </w:r>
          </w:p>
        </w:tc>
        <w:tc>
          <w:tcPr>
            <w:tcW w:type="dxa" w:w="3628"/>
          </w:tcPr>
          <w:p>
            <w:r/>
            <w:r>
              <w:rPr>
                <w:sz w:val="20"/>
              </w:rPr>
              <w:t>досье Росздравнадзора</w:t>
            </w:r>
          </w:p>
        </w:tc>
        <w:tc>
          <w:tcPr>
            <w:tcW w:type="dxa" w:w="1134"/>
          </w:tcPr>
          <w:p>
            <w:r/>
            <w:r>
              <w:rPr>
                <w:sz w:val="20"/>
              </w:rPr>
              <w:t>2027</w:t>
            </w:r>
          </w:p>
        </w:tc>
        <w:tc>
          <w:tcPr>
            <w:tcW w:type="dxa" w:w="2041"/>
          </w:tcPr>
          <w:p>
            <w:r/>
            <w:r>
              <w:rPr>
                <w:sz w:val="20"/>
              </w:rPr>
              <w:t>легальный статус медизделия</w:t>
            </w:r>
          </w:p>
        </w:tc>
      </w:tr>
      <w:tr>
        <w:tc>
          <w:tcPr>
            <w:tcW w:type="dxa" w:w="2608"/>
            <w:shd w:val="clear" w:color="auto" w:fill="F3F8FB"/>
          </w:tcPr>
          <w:p>
            <w:r/>
            <w:r>
              <w:rPr>
                <w:sz w:val="20"/>
              </w:rPr>
              <w:t>Пилот B2G (1–3 региона)</w:t>
            </w:r>
          </w:p>
        </w:tc>
        <w:tc>
          <w:tcPr>
            <w:tcW w:type="dxa" w:w="3628"/>
            <w:shd w:val="clear" w:color="auto" w:fill="F3F8FB"/>
          </w:tcPr>
          <w:p>
            <w:r/>
            <w:r>
              <w:rPr>
                <w:sz w:val="20"/>
              </w:rPr>
              <w:t>CLBR-аналитика на региональных квотах</w:t>
            </w:r>
          </w:p>
        </w:tc>
        <w:tc>
          <w:tcPr>
            <w:tcW w:type="dxa" w:w="1134"/>
            <w:shd w:val="clear" w:color="auto" w:fill="F3F8FB"/>
          </w:tcPr>
          <w:p>
            <w:r/>
            <w:r>
              <w:rPr>
                <w:sz w:val="20"/>
              </w:rPr>
              <w:t>2028</w:t>
            </w:r>
          </w:p>
        </w:tc>
        <w:tc>
          <w:tcPr>
            <w:tcW w:type="dxa" w:w="2041"/>
            <w:shd w:val="clear" w:color="auto" w:fill="F3F8FB"/>
          </w:tcPr>
          <w:p>
            <w:r/>
            <w:r>
              <w:rPr>
                <w:sz w:val="20"/>
              </w:rPr>
              <w:t>снижение стоимости живорождения</w:t>
            </w:r>
          </w:p>
        </w:tc>
      </w:tr>
      <w:tr>
        <w:tc>
          <w:tcPr>
            <w:tcW w:type="dxa" w:w="2608"/>
          </w:tcPr>
          <w:p>
            <w:r/>
            <w:r>
              <w:rPr>
                <w:sz w:val="20"/>
              </w:rPr>
              <w:t>Обсуждение рекомендаций с МЗ</w:t>
            </w:r>
          </w:p>
        </w:tc>
        <w:tc>
          <w:tcPr>
            <w:tcW w:type="dxa" w:w="3628"/>
          </w:tcPr>
          <w:p>
            <w:r/>
            <w:r>
              <w:rPr>
                <w:sz w:val="20"/>
              </w:rPr>
              <w:t>рекомендации по использованию ИИ в ВРТ</w:t>
            </w:r>
          </w:p>
        </w:tc>
        <w:tc>
          <w:tcPr>
            <w:tcW w:type="dxa" w:w="1134"/>
          </w:tcPr>
          <w:p>
            <w:r/>
            <w:r>
              <w:rPr>
                <w:sz w:val="20"/>
              </w:rPr>
              <w:t>2029–2030</w:t>
            </w:r>
          </w:p>
        </w:tc>
        <w:tc>
          <w:tcPr>
            <w:tcW w:type="dxa" w:w="2041"/>
          </w:tcPr>
          <w:p>
            <w:r/>
            <w:r>
              <w:rPr>
                <w:sz w:val="20"/>
              </w:rPr>
              <w:t>потенциальный приказ/клинические рекомендации</w:t>
            </w:r>
          </w:p>
        </w:tc>
      </w:tr>
    </w:tbl>
    <w:p/>
    <w:p>
      <w:r>
        <w:rPr>
          <w:b w:val="0"/>
          <w:i w:val="0"/>
          <w:sz w:val="22"/>
        </w:rPr>
        <w:t>Данная дорожка создаёт опцион на кратный скачок рынка (включение ИИ-аналитики в протокол ОМС), но сознательно не заложена в базовый сценарий модели — ухудшение консервативной оценки исключает зависимость бизнеса от регуляторной удачи.</w:t>
      </w:r>
    </w:p>
    <w:p>
      <w:r>
        <w:br w:type="page"/>
      </w:r>
    </w:p>
    <w:p>
      <w:pPr>
        <w:pStyle w:val="Heading1"/>
        <w:shd w:val="clear" w:color="auto" w:fill="EAF4F8"/>
      </w:pPr>
      <w:r>
        <w:t>5. ПРОДУКТ И ТЕХНОЛОГИЯ</w:t>
      </w:r>
    </w:p>
    <w:p>
      <w:pPr>
        <w:pStyle w:val="Heading2"/>
      </w:pPr>
      <w:r>
        <w:t>5.1. Ядро платформы</w:t>
      </w:r>
    </w:p>
    <w:p>
      <w:r>
        <w:rPr>
          <w:b w:val="0"/>
          <w:i w:val="0"/>
          <w:sz w:val="22"/>
        </w:rPr>
        <w:t>VitaGen-AI Core — мультимодальная модель прогноза имплантационного потенциала. Архитектура (исследовательская) — GNN/transformer fusion с masking-механизмом для неполных входов. Стандартные входы нормализуются, маппятся в единый feature-слой и объединяются головами предсказания: скор 0–151, класс рекомендации переноса и вероятностные интервалы для клинического принятия решения.</w:t>
      </w:r>
    </w:p>
    <w:p>
      <w:pPr>
        <w:pStyle w:val="Heading2"/>
      </w:pPr>
      <w:r>
        <w:t>5.2. Модульная линейка</w:t>
      </w:r>
    </w:p>
    <w:tbl>
      <w:tblPr>
        <w:tblStyle w:val="TableGrid"/>
        <w:tblW w:type="auto" w:w="0"/>
        <w:jc w:val="center"/>
        <w:tblLook w:firstColumn="1" w:firstRow="1" w:lastColumn="0" w:lastRow="0" w:noHBand="0" w:noVBand="1" w:val="04A0"/>
      </w:tblPr>
      <w:tblGrid>
        <w:gridCol w:w="3213"/>
        <w:gridCol w:w="3213"/>
        <w:gridCol w:w="3213"/>
      </w:tblGrid>
      <w:tr>
        <w:tc>
          <w:tcPr>
            <w:tcW w:type="dxa" w:w="2494"/>
            <w:shd w:val="clear" w:color="auto" w:fill="0B3D5C"/>
          </w:tcPr>
          <w:p>
            <w:r/>
            <w:r>
              <w:rPr>
                <w:b/>
                <w:color w:val="FFFFFF"/>
                <w:sz w:val="20"/>
              </w:rPr>
              <w:t>Модуль</w:t>
            </w:r>
          </w:p>
        </w:tc>
        <w:tc>
          <w:tcPr>
            <w:tcW w:type="dxa" w:w="4649"/>
            <w:shd w:val="clear" w:color="auto" w:fill="0B3D5C"/>
          </w:tcPr>
          <w:p>
            <w:r/>
            <w:r>
              <w:rPr>
                <w:b/>
                <w:color w:val="FFFFFF"/>
                <w:sz w:val="20"/>
              </w:rPr>
              <w:t>Функция</w:t>
            </w:r>
          </w:p>
        </w:tc>
        <w:tc>
          <w:tcPr>
            <w:tcW w:type="dxa" w:w="2041"/>
            <w:shd w:val="clear" w:color="auto" w:fill="0B3D5C"/>
          </w:tcPr>
          <w:p>
            <w:r/>
            <w:r>
              <w:rPr>
                <w:b/>
                <w:color w:val="FFFFFF"/>
                <w:sz w:val="20"/>
              </w:rPr>
              <w:t>Этап</w:t>
            </w:r>
          </w:p>
        </w:tc>
      </w:tr>
      <w:tr>
        <w:tc>
          <w:tcPr>
            <w:tcW w:type="dxa" w:w="2494"/>
          </w:tcPr>
          <w:p>
            <w:r/>
            <w:r>
              <w:rPr>
                <w:sz w:val="20"/>
              </w:rPr>
              <w:t>Ядро: прогноз имплантации</w:t>
            </w:r>
          </w:p>
        </w:tc>
        <w:tc>
          <w:tcPr>
            <w:tcW w:type="dxa" w:w="4649"/>
          </w:tcPr>
          <w:p>
            <w:r/>
            <w:r>
              <w:rPr>
                <w:sz w:val="20"/>
              </w:rPr>
              <w:t>Скор 0–151 + селективный перенос</w:t>
            </w:r>
          </w:p>
        </w:tc>
        <w:tc>
          <w:tcPr>
            <w:tcW w:type="dxa" w:w="2041"/>
          </w:tcPr>
          <w:p>
            <w:r/>
            <w:r>
              <w:rPr>
                <w:sz w:val="20"/>
              </w:rPr>
              <w:t>MVP 2026–2027</w:t>
            </w:r>
          </w:p>
        </w:tc>
      </w:tr>
      <w:tr>
        <w:tc>
          <w:tcPr>
            <w:tcW w:type="dxa" w:w="2494"/>
            <w:shd w:val="clear" w:color="auto" w:fill="F3F8FB"/>
          </w:tcPr>
          <w:p>
            <w:r/>
            <w:r>
              <w:rPr>
                <w:sz w:val="20"/>
              </w:rPr>
              <w:t>niPGT-A</w:t>
            </w:r>
          </w:p>
        </w:tc>
        <w:tc>
          <w:tcPr>
            <w:tcW w:type="dxa" w:w="4649"/>
            <w:shd w:val="clear" w:color="auto" w:fill="F3F8FB"/>
          </w:tcPr>
          <w:p>
            <w:r/>
            <w:r>
              <w:rPr>
                <w:sz w:val="20"/>
              </w:rPr>
              <w:t>Неинвазивный прогноз плоидности (альтернатива биопсии)</w:t>
            </w:r>
          </w:p>
        </w:tc>
        <w:tc>
          <w:tcPr>
            <w:tcW w:type="dxa" w:w="2041"/>
            <w:shd w:val="clear" w:color="auto" w:fill="F3F8FB"/>
          </w:tcPr>
          <w:p>
            <w:r/>
            <w:r>
              <w:rPr>
                <w:sz w:val="20"/>
              </w:rPr>
              <w:t>2028</w:t>
            </w:r>
          </w:p>
        </w:tc>
      </w:tr>
      <w:tr>
        <w:tc>
          <w:tcPr>
            <w:tcW w:type="dxa" w:w="2494"/>
          </w:tcPr>
          <w:p>
            <w:r/>
            <w:r>
              <w:rPr>
                <w:sz w:val="20"/>
              </w:rPr>
              <w:t>Прогноз ответа яичников / СГЯ</w:t>
            </w:r>
          </w:p>
        </w:tc>
        <w:tc>
          <w:tcPr>
            <w:tcW w:type="dxa" w:w="4649"/>
          </w:tcPr>
          <w:p>
            <w:r/>
            <w:r>
              <w:rPr>
                <w:sz w:val="20"/>
              </w:rPr>
              <w:t>Доза стимуляции, профилактика гиперстимуляции</w:t>
            </w:r>
          </w:p>
        </w:tc>
        <w:tc>
          <w:tcPr>
            <w:tcW w:type="dxa" w:w="2041"/>
          </w:tcPr>
          <w:p>
            <w:r/>
            <w:r>
              <w:rPr>
                <w:sz w:val="20"/>
              </w:rPr>
              <w:t>2028</w:t>
            </w:r>
          </w:p>
        </w:tc>
      </w:tr>
      <w:tr>
        <w:tc>
          <w:tcPr>
            <w:tcW w:type="dxa" w:w="2494"/>
            <w:shd w:val="clear" w:color="auto" w:fill="F3F8FB"/>
          </w:tcPr>
          <w:p>
            <w:r/>
            <w:r>
              <w:rPr>
                <w:sz w:val="20"/>
              </w:rPr>
              <w:t>Рецептивность эндометрия</w:t>
            </w:r>
          </w:p>
        </w:tc>
        <w:tc>
          <w:tcPr>
            <w:tcW w:type="dxa" w:w="4649"/>
            <w:shd w:val="clear" w:color="auto" w:fill="F3F8FB"/>
          </w:tcPr>
          <w:p>
            <w:r/>
            <w:r>
              <w:rPr>
                <w:sz w:val="20"/>
              </w:rPr>
              <w:t>Оптимизация дня переноса (альтернатива ERA)</w:t>
            </w:r>
          </w:p>
        </w:tc>
        <w:tc>
          <w:tcPr>
            <w:tcW w:type="dxa" w:w="2041"/>
            <w:shd w:val="clear" w:color="auto" w:fill="F3F8FB"/>
          </w:tcPr>
          <w:p>
            <w:r/>
            <w:r>
              <w:rPr>
                <w:sz w:val="20"/>
              </w:rPr>
              <w:t>2028</w:t>
            </w:r>
          </w:p>
        </w:tc>
      </w:tr>
      <w:tr>
        <w:tc>
          <w:tcPr>
            <w:tcW w:type="dxa" w:w="2494"/>
          </w:tcPr>
          <w:p>
            <w:r/>
            <w:r>
              <w:rPr>
                <w:sz w:val="20"/>
              </w:rPr>
              <w:t>CLBR / Cost per Live Birth</w:t>
            </w:r>
          </w:p>
        </w:tc>
        <w:tc>
          <w:tcPr>
            <w:tcW w:type="dxa" w:w="4649"/>
          </w:tcPr>
          <w:p>
            <w:r/>
            <w:r>
              <w:rPr>
                <w:sz w:val="20"/>
              </w:rPr>
              <w:t>Кумулятивная частота живорождения и стоимость</w:t>
            </w:r>
          </w:p>
        </w:tc>
        <w:tc>
          <w:tcPr>
            <w:tcW w:type="dxa" w:w="2041"/>
          </w:tcPr>
          <w:p>
            <w:r/>
            <w:r>
              <w:rPr>
                <w:sz w:val="20"/>
              </w:rPr>
              <w:t>2028 (B2G)</w:t>
            </w:r>
          </w:p>
        </w:tc>
      </w:tr>
      <w:tr>
        <w:tc>
          <w:tcPr>
            <w:tcW w:type="dxa" w:w="2494"/>
            <w:shd w:val="clear" w:color="auto" w:fill="F3F8FB"/>
          </w:tcPr>
          <w:p>
            <w:r/>
            <w:r>
              <w:rPr>
                <w:sz w:val="20"/>
              </w:rPr>
              <w:t>Матчинг донорства и СМ</w:t>
            </w:r>
          </w:p>
        </w:tc>
        <w:tc>
          <w:tcPr>
            <w:tcW w:type="dxa" w:w="4649"/>
            <w:shd w:val="clear" w:color="auto" w:fill="F3F8FB"/>
          </w:tcPr>
          <w:p>
            <w:r/>
            <w:r>
              <w:rPr>
                <w:sz w:val="20"/>
              </w:rPr>
              <w:t>Иммуногенетический подбор донора/гестационной матери</w:t>
            </w:r>
          </w:p>
        </w:tc>
        <w:tc>
          <w:tcPr>
            <w:tcW w:type="dxa" w:w="2041"/>
            <w:shd w:val="clear" w:color="auto" w:fill="F3F8FB"/>
          </w:tcPr>
          <w:p>
            <w:r/>
            <w:r>
              <w:rPr>
                <w:sz w:val="20"/>
              </w:rPr>
              <w:t>2029</w:t>
            </w:r>
          </w:p>
        </w:tc>
      </w:tr>
      <w:tr>
        <w:tc>
          <w:tcPr>
            <w:tcW w:type="dxa" w:w="2494"/>
          </w:tcPr>
          <w:p>
            <w:r/>
            <w:r>
              <w:rPr>
                <w:sz w:val="20"/>
              </w:rPr>
              <w:t>Семейный геномный консилиум</w:t>
            </w:r>
          </w:p>
        </w:tc>
        <w:tc>
          <w:tcPr>
            <w:tcW w:type="dxa" w:w="4649"/>
          </w:tcPr>
          <w:p>
            <w:r/>
            <w:r>
              <w:rPr>
                <w:sz w:val="20"/>
              </w:rPr>
              <w:t>Gенотип отца: Pre-PGT-M/SR, AZF, PRS, эпигенетика</w:t>
            </w:r>
          </w:p>
        </w:tc>
        <w:tc>
          <w:tcPr>
            <w:tcW w:type="dxa" w:w="2041"/>
          </w:tcPr>
          <w:p>
            <w:r/>
            <w:r>
              <w:rPr>
                <w:sz w:val="20"/>
              </w:rPr>
              <w:t>2029–2030</w:t>
            </w:r>
          </w:p>
        </w:tc>
      </w:tr>
      <w:tr>
        <w:tc>
          <w:tcPr>
            <w:tcW w:type="dxa" w:w="2494"/>
            <w:shd w:val="clear" w:color="auto" w:fill="F3F8FB"/>
          </w:tcPr>
          <w:p>
            <w:r/>
            <w:r>
              <w:rPr>
                <w:sz w:val="20"/>
              </w:rPr>
              <w:t>Перинатальные прогнозы</w:t>
            </w:r>
          </w:p>
        </w:tc>
        <w:tc>
          <w:tcPr>
            <w:tcW w:type="dxa" w:w="4649"/>
            <w:shd w:val="clear" w:color="auto" w:fill="F3F8FB"/>
          </w:tcPr>
          <w:p>
            <w:r/>
            <w:r>
              <w:rPr>
                <w:sz w:val="20"/>
              </w:rPr>
              <w:t>Риски ранних потерь, преэклампсия, ППР, ЗРП</w:t>
            </w:r>
          </w:p>
        </w:tc>
        <w:tc>
          <w:tcPr>
            <w:tcW w:type="dxa" w:w="2041"/>
            <w:shd w:val="clear" w:color="auto" w:fill="F3F8FB"/>
          </w:tcPr>
          <w:p>
            <w:r/>
            <w:r>
              <w:rPr>
                <w:sz w:val="20"/>
              </w:rPr>
              <w:t>2030</w:t>
            </w:r>
          </w:p>
        </w:tc>
      </w:tr>
    </w:tbl>
    <w:p/>
    <w:p>
      <w:pPr>
        <w:pStyle w:val="Heading2"/>
      </w:pPr>
      <w:r>
        <w:t>5.3. Клинические сценарии</w:t>
      </w:r>
    </w:p>
    <w:p>
      <w:pPr>
        <w:pStyle w:val="ListBullet"/>
        <w:ind w:left="340"/>
      </w:pPr>
      <w:r>
        <w:t>донорские ооциты + сперма отца: ключевые уровни — клиника/геном реципиентки и мужской фактор отца; маскирование данных донора;</w:t>
      </w:r>
    </w:p>
    <w:p>
      <w:pPr>
        <w:pStyle w:val="ListBullet"/>
        <w:ind w:left="340"/>
      </w:pPr>
      <w:r>
        <w:t>ооциты матери + донорская сперма: адаптация к овариальному резерву;</w:t>
      </w:r>
    </w:p>
    <w:p>
      <w:pPr>
        <w:pStyle w:val="ListBullet"/>
        <w:ind w:left="340"/>
      </w:pPr>
      <w:r>
        <w:t>суррогатное материнство: подмена уровней 3–7 данными гестационной матери (patient_id_gestational); иммунный консилиум «СМ vs генетический отец».</w:t>
      </w:r>
    </w:p>
    <w:p>
      <w:r>
        <w:rPr>
          <w:b w:val="0"/>
          <w:i w:val="0"/>
          <w:sz w:val="22"/>
        </w:rPr>
        <w:t>Этическое правило продукта: ИИ остаётся системой поддержки принятия врачебного решения (СППВР). PGT-P по немедицинским признакам (пол, черты) не применяется — продукт работает строго в медицинской парадигме.</w:t>
      </w:r>
    </w:p>
    <w:p>
      <w:pPr>
        <w:pStyle w:val="Heading2"/>
      </w:pPr>
      <w:r>
        <w:t>5.4. Данные и инфраструктура</w:t>
      </w:r>
    </w:p>
    <w:p>
      <w:pPr>
        <w:pStyle w:val="ListBullet"/>
        <w:ind w:left="340"/>
      </w:pPr>
      <w:r>
        <w:t>источники: таймлапс-инкубаторы, ЛИС/МИС клиник, генетические лаборатории (PGT-A/M), Data Safety Monitoring (DFI/MAR);</w:t>
      </w:r>
    </w:p>
    <w:p>
      <w:pPr>
        <w:pStyle w:val="ListBullet"/>
        <w:ind w:left="340"/>
      </w:pPr>
      <w:r>
        <w:t>обезличивание и псевдонимизация — на границе клиники; хранение — аттестованные российские облака (Т1 Облако, СберОблако) с требованиями 152-ФЗ;</w:t>
      </w:r>
    </w:p>
    <w:p>
      <w:pPr>
        <w:pStyle w:val="ListBullet"/>
        <w:ind w:left="340"/>
      </w:pPr>
      <w:r>
        <w:t>PIPL-совместимая архитектура для Китая: локальный деплой, экспорт только агрегированных метрик;</w:t>
      </w:r>
    </w:p>
    <w:p>
      <w:pPr>
        <w:pStyle w:val="ListBullet"/>
        <w:ind w:left="340"/>
      </w:pPr>
      <w:r>
        <w:t>MLOps: мониторинг дрейфа, версионирование моделей, журналирование решений, холодный клинический резерв.</w:t>
      </w:r>
    </w:p>
    <w:p>
      <w:pPr>
        <w:pStyle w:val="Heading2"/>
      </w:pPr>
      <w:r>
        <w:t>5.5. План разработки и стадия готовности</w:t>
      </w:r>
    </w:p>
    <w:tbl>
      <w:tblPr>
        <w:tblStyle w:val="TableGrid"/>
        <w:tblW w:type="auto" w:w="0"/>
        <w:jc w:val="center"/>
        <w:tblLook w:firstColumn="1" w:firstRow="1" w:lastColumn="0" w:lastRow="0" w:noHBand="0" w:noVBand="1" w:val="04A0"/>
      </w:tblPr>
      <w:tblGrid>
        <w:gridCol w:w="3213"/>
        <w:gridCol w:w="3213"/>
        <w:gridCol w:w="3213"/>
      </w:tblGrid>
      <w:tr>
        <w:tc>
          <w:tcPr>
            <w:tcW w:type="dxa" w:w="1701"/>
            <w:shd w:val="clear" w:color="auto" w:fill="0B3D5C"/>
          </w:tcPr>
          <w:p>
            <w:r/>
            <w:r>
              <w:rPr>
                <w:b/>
                <w:color w:val="FFFFFF"/>
                <w:sz w:val="20"/>
              </w:rPr>
              <w:t>Версия / этап</w:t>
            </w:r>
          </w:p>
        </w:tc>
        <w:tc>
          <w:tcPr>
            <w:tcW w:type="dxa" w:w="5216"/>
            <w:shd w:val="clear" w:color="auto" w:fill="0B3D5C"/>
          </w:tcPr>
          <w:p>
            <w:r/>
            <w:r>
              <w:rPr>
                <w:b/>
                <w:color w:val="FFFFFF"/>
                <w:sz w:val="20"/>
              </w:rPr>
              <w:t>Содержание</w:t>
            </w:r>
          </w:p>
        </w:tc>
        <w:tc>
          <w:tcPr>
            <w:tcW w:type="dxa" w:w="2268"/>
            <w:shd w:val="clear" w:color="auto" w:fill="0B3D5C"/>
          </w:tcPr>
          <w:p>
            <w:r/>
            <w:r>
              <w:rPr>
                <w:b/>
                <w:color w:val="FFFFFF"/>
                <w:sz w:val="20"/>
              </w:rPr>
              <w:t>Статус</w:t>
            </w:r>
          </w:p>
        </w:tc>
      </w:tr>
      <w:tr>
        <w:tc>
          <w:tcPr>
            <w:tcW w:type="dxa" w:w="1701"/>
          </w:tcPr>
          <w:p>
            <w:r/>
            <w:r>
              <w:rPr>
                <w:sz w:val="20"/>
              </w:rPr>
              <w:t>V1 (прототип)</w:t>
            </w:r>
          </w:p>
        </w:tc>
        <w:tc>
          <w:tcPr>
            <w:tcW w:type="dxa" w:w="5216"/>
          </w:tcPr>
          <w:p>
            <w:r/>
            <w:r>
              <w:rPr>
                <w:sz w:val="20"/>
              </w:rPr>
              <w:t>Мультимодальная модель, предварительная валидация AUC 0,81</w:t>
            </w:r>
          </w:p>
        </w:tc>
        <w:tc>
          <w:tcPr>
            <w:tcW w:type="dxa" w:w="2268"/>
          </w:tcPr>
          <w:p>
            <w:r/>
            <w:r>
              <w:rPr>
                <w:sz w:val="20"/>
              </w:rPr>
              <w:t>Готово</w:t>
            </w:r>
          </w:p>
        </w:tc>
      </w:tr>
      <w:tr>
        <w:tc>
          <w:tcPr>
            <w:tcW w:type="dxa" w:w="1701"/>
            <w:shd w:val="clear" w:color="auto" w:fill="F3F8FB"/>
          </w:tcPr>
          <w:p>
            <w:r/>
            <w:r>
              <w:rPr>
                <w:sz w:val="20"/>
              </w:rPr>
              <w:t>V1 (MVP)</w:t>
            </w:r>
          </w:p>
        </w:tc>
        <w:tc>
          <w:tcPr>
            <w:tcW w:type="dxa" w:w="5216"/>
            <w:shd w:val="clear" w:color="auto" w:fill="F3F8FB"/>
          </w:tcPr>
          <w:p>
            <w:r/>
            <w:r>
              <w:rPr>
                <w:sz w:val="20"/>
              </w:rPr>
              <w:t>Прогноз имплантации + интеграции с МИС, пилот</w:t>
            </w:r>
          </w:p>
        </w:tc>
        <w:tc>
          <w:tcPr>
            <w:tcW w:type="dxa" w:w="2268"/>
            <w:shd w:val="clear" w:color="auto" w:fill="F3F8FB"/>
          </w:tcPr>
          <w:p>
            <w:r/>
            <w:r>
              <w:rPr>
                <w:sz w:val="20"/>
              </w:rPr>
              <w:t>2026–2027</w:t>
            </w:r>
          </w:p>
        </w:tc>
      </w:tr>
      <w:tr>
        <w:tc>
          <w:tcPr>
            <w:tcW w:type="dxa" w:w="1701"/>
          </w:tcPr>
          <w:p>
            <w:r/>
            <w:r>
              <w:rPr>
                <w:sz w:val="20"/>
              </w:rPr>
              <w:t>V3</w:t>
            </w:r>
          </w:p>
        </w:tc>
        <w:tc>
          <w:tcPr>
            <w:tcW w:type="dxa" w:w="5216"/>
          </w:tcPr>
          <w:p>
            <w:r/>
            <w:r>
              <w:rPr>
                <w:sz w:val="20"/>
              </w:rPr>
              <w:t>Модули niPGT-A/эндометрий/CLBR-аналитика</w:t>
            </w:r>
          </w:p>
        </w:tc>
        <w:tc>
          <w:tcPr>
            <w:tcW w:type="dxa" w:w="2268"/>
          </w:tcPr>
          <w:p>
            <w:r/>
            <w:r>
              <w:rPr>
                <w:sz w:val="20"/>
              </w:rPr>
              <w:t>2028</w:t>
            </w:r>
          </w:p>
        </w:tc>
      </w:tr>
      <w:tr>
        <w:tc>
          <w:tcPr>
            <w:tcW w:type="dxa" w:w="1701"/>
            <w:shd w:val="clear" w:color="auto" w:fill="F3F8FB"/>
          </w:tcPr>
          <w:p>
            <w:r/>
            <w:r>
              <w:rPr>
                <w:sz w:val="20"/>
              </w:rPr>
              <w:t>V7</w:t>
            </w:r>
          </w:p>
        </w:tc>
        <w:tc>
          <w:tcPr>
            <w:tcW w:type="dxa" w:w="5216"/>
            <w:shd w:val="clear" w:color="auto" w:fill="F3F8FB"/>
          </w:tcPr>
          <w:p>
            <w:r/>
            <w:r>
              <w:rPr>
                <w:sz w:val="20"/>
              </w:rPr>
              <w:t>Матчинг СМ, семейный консилиум</w:t>
            </w:r>
          </w:p>
        </w:tc>
        <w:tc>
          <w:tcPr>
            <w:tcW w:type="dxa" w:w="2268"/>
            <w:shd w:val="clear" w:color="auto" w:fill="F3F8FB"/>
          </w:tcPr>
          <w:p>
            <w:r/>
            <w:r>
              <w:rPr>
                <w:sz w:val="20"/>
              </w:rPr>
              <w:t>2029</w:t>
            </w:r>
          </w:p>
        </w:tc>
      </w:tr>
      <w:tr>
        <w:tc>
          <w:tcPr>
            <w:tcW w:type="dxa" w:w="1701"/>
          </w:tcPr>
          <w:p>
            <w:r/>
            <w:r>
              <w:rPr>
                <w:sz w:val="20"/>
              </w:rPr>
              <w:t>V3</w:t>
            </w:r>
          </w:p>
        </w:tc>
        <w:tc>
          <w:tcPr>
            <w:tcW w:type="dxa" w:w="5216"/>
          </w:tcPr>
          <w:p>
            <w:r/>
            <w:r>
              <w:rPr>
                <w:sz w:val="20"/>
              </w:rPr>
              <w:t>Перинатальный контур, международный деплой</w:t>
            </w:r>
          </w:p>
        </w:tc>
        <w:tc>
          <w:tcPr>
            <w:tcW w:type="dxa" w:w="2268"/>
          </w:tcPr>
          <w:p>
            <w:r/>
            <w:r>
              <w:rPr>
                <w:sz w:val="20"/>
              </w:rPr>
              <w:t>2030</w:t>
            </w:r>
          </w:p>
        </w:tc>
      </w:tr>
    </w:tbl>
    <w:p/>
    <w:p>
      <w:r>
        <w:drawing>
          <wp:inline xmlns:a="http://schemas.openxmlformats.org/drawingml/2006/main" xmlns:pic="http://schemas.openxmlformats.org/drawingml/2006/picture">
            <wp:extent cx="5220000" cy="2378938"/>
            <wp:docPr id="4" name="Picture 4"/>
            <wp:cNvGraphicFramePr>
              <a:graphicFrameLocks noChangeAspect="1"/>
            </wp:cNvGraphicFramePr>
            <a:graphic>
              <a:graphicData uri="http://schemas.openxmlformats.org/drawingml/2006/picture">
                <pic:pic>
                  <pic:nvPicPr>
                    <pic:cNvPr id="0" name="bp_chart_unit.png"/>
                    <pic:cNvPicPr/>
                  </pic:nvPicPr>
                  <pic:blipFill>
                    <a:blip r:embed="rId13"/>
                    <a:stretch>
                      <a:fillRect/>
                    </a:stretch>
                  </pic:blipFill>
                  <pic:spPr>
                    <a:xfrm>
                      <a:off x="0" y="0"/>
                      <a:ext cx="5220000" cy="2378938"/>
                    </a:xfrm>
                    <a:prstGeom prst="rect"/>
                  </pic:spPr>
                </pic:pic>
              </a:graphicData>
            </a:graphic>
          </wp:inline>
        </w:drawing>
      </w:r>
    </w:p>
    <w:p>
      <w:pPr>
        <w:jc w:val="center"/>
      </w:pPr>
      <w:r>
        <w:rPr>
          <w:i/>
          <w:color w:val="5A6A7A"/>
          <w:sz w:val="19"/>
        </w:rPr>
        <w:t>Рис. 11.0. Юнит-экономика клиники B2B</w:t>
      </w:r>
    </w:p>
    <w:p>
      <w:pPr>
        <w:jc w:val="center"/>
      </w:pPr>
      <w:r>
        <w:rPr>
          <w:color w:val="5A6A7A"/>
          <w:sz w:val="16"/>
        </w:rPr>
        <w:t>Источник: расчёт модели по ценам и параметрам удержания.</w:t>
      </w:r>
    </w:p>
    <w:p/>
    <w:p>
      <w:pPr>
        <w:pStyle w:val="Heading3"/>
      </w:pPr>
      <w:r>
        <w:t>5.6. Экономика модульной линейки</w:t>
      </w:r>
    </w:p>
    <w:p>
      <w:r>
        <w:rPr>
          <w:b w:val="0"/>
          <w:i w:val="0"/>
          <w:sz w:val="22"/>
        </w:rPr>
        <w:t>Модульность формирует «апсейл-воронку» внутри одной клиники: сначала клиент покупает ядро прогноза имплантации, затем подключает дополнительные модули по мере их выхода на рынок. Это повышает ARPU без пропорционального роста затрат на привлечение (CAC делится на число модулей).</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3402"/>
            <w:shd w:val="clear" w:color="auto" w:fill="0B3D5C"/>
          </w:tcPr>
          <w:p>
            <w:r/>
            <w:r>
              <w:rPr>
                <w:b/>
                <w:color w:val="FFFFFF"/>
                <w:sz w:val="20"/>
              </w:rPr>
              <w:t>Модуль</w:t>
            </w:r>
          </w:p>
        </w:tc>
        <w:tc>
          <w:tcPr>
            <w:tcW w:type="dxa" w:w="2041"/>
            <w:shd w:val="clear" w:color="auto" w:fill="0B3D5C"/>
          </w:tcPr>
          <w:p>
            <w:r/>
            <w:r>
              <w:rPr>
                <w:b/>
                <w:color w:val="FFFFFF"/>
                <w:sz w:val="20"/>
              </w:rPr>
              <w:t>Цена премиум, млн ₽/год</w:t>
            </w:r>
          </w:p>
        </w:tc>
        <w:tc>
          <w:tcPr>
            <w:tcW w:type="dxa" w:w="1814"/>
            <w:shd w:val="clear" w:color="auto" w:fill="0B3D5C"/>
          </w:tcPr>
          <w:p>
            <w:r/>
            <w:r>
              <w:rPr>
                <w:b/>
                <w:color w:val="FFFFFF"/>
                <w:sz w:val="20"/>
              </w:rPr>
              <w:t>Медианный срок внедрения</w:t>
            </w:r>
          </w:p>
        </w:tc>
        <w:tc>
          <w:tcPr>
            <w:tcW w:type="dxa" w:w="2381"/>
            <w:shd w:val="clear" w:color="auto" w:fill="0B3D5C"/>
          </w:tcPr>
          <w:p>
            <w:r/>
            <w:r>
              <w:rPr>
                <w:b/>
                <w:color w:val="FFFFFF"/>
                <w:sz w:val="20"/>
              </w:rPr>
              <w:t>KPI для клиники</w:t>
            </w:r>
          </w:p>
        </w:tc>
      </w:tr>
      <w:tr>
        <w:tc>
          <w:tcPr>
            <w:tcW w:type="dxa" w:w="3402"/>
          </w:tcPr>
          <w:p>
            <w:r/>
            <w:r>
              <w:rPr>
                <w:sz w:val="20"/>
              </w:rPr>
              <w:t>Ядро прогноза имплантации</w:t>
            </w:r>
          </w:p>
        </w:tc>
        <w:tc>
          <w:tcPr>
            <w:tcW w:type="dxa" w:w="2041"/>
          </w:tcPr>
          <w:p>
            <w:r/>
            <w:r>
              <w:rPr>
                <w:sz w:val="20"/>
              </w:rPr>
              <w:t>включено в подписку</w:t>
            </w:r>
          </w:p>
        </w:tc>
        <w:tc>
          <w:tcPr>
            <w:tcW w:type="dxa" w:w="1814"/>
          </w:tcPr>
          <w:p>
            <w:r/>
            <w:r>
              <w:rPr>
                <w:sz w:val="20"/>
              </w:rPr>
              <w:t>13–14 недель</w:t>
            </w:r>
          </w:p>
        </w:tc>
        <w:tc>
          <w:tcPr>
            <w:tcW w:type="dxa" w:w="2381"/>
          </w:tcPr>
          <w:p>
            <w:r/>
            <w:r>
              <w:rPr>
                <w:sz w:val="20"/>
              </w:rPr>
              <w:t>Implantation rate ↑</w:t>
            </w:r>
          </w:p>
        </w:tc>
      </w:tr>
      <w:tr>
        <w:tc>
          <w:tcPr>
            <w:tcW w:type="dxa" w:w="3402"/>
            <w:shd w:val="clear" w:color="auto" w:fill="F3F8FB"/>
          </w:tcPr>
          <w:p>
            <w:r/>
            <w:r>
              <w:rPr>
                <w:sz w:val="20"/>
              </w:rPr>
              <w:t>niPGT-A (неинвазивная плоидность)</w:t>
            </w:r>
          </w:p>
        </w:tc>
        <w:tc>
          <w:tcPr>
            <w:tcW w:type="dxa" w:w="2041"/>
            <w:shd w:val="clear" w:color="auto" w:fill="F3F8FB"/>
          </w:tcPr>
          <w:p>
            <w:r/>
            <w:r>
              <w:rPr>
                <w:sz w:val="20"/>
              </w:rPr>
              <w:t>+0,2</w:t>
            </w:r>
          </w:p>
        </w:tc>
        <w:tc>
          <w:tcPr>
            <w:tcW w:type="dxa" w:w="1814"/>
            <w:shd w:val="clear" w:color="auto" w:fill="F3F8FB"/>
          </w:tcPr>
          <w:p>
            <w:r/>
            <w:r>
              <w:rPr>
                <w:sz w:val="20"/>
              </w:rPr>
              <w:t>6–26 недель</w:t>
            </w:r>
          </w:p>
        </w:tc>
        <w:tc>
          <w:tcPr>
            <w:tcW w:type="dxa" w:w="2381"/>
            <w:shd w:val="clear" w:color="auto" w:fill="F3F8FB"/>
          </w:tcPr>
          <w:p>
            <w:r/>
            <w:r>
              <w:rPr>
                <w:sz w:val="20"/>
              </w:rPr>
              <w:t>меньше биопсий на трофэктодерме</w:t>
            </w:r>
          </w:p>
        </w:tc>
      </w:tr>
      <w:tr>
        <w:tc>
          <w:tcPr>
            <w:tcW w:type="dxa" w:w="3402"/>
          </w:tcPr>
          <w:p>
            <w:r/>
            <w:r>
              <w:rPr>
                <w:sz w:val="20"/>
              </w:rPr>
              <w:t>Рецептивность эндометрия</w:t>
            </w:r>
          </w:p>
        </w:tc>
        <w:tc>
          <w:tcPr>
            <w:tcW w:type="dxa" w:w="2041"/>
          </w:tcPr>
          <w:p>
            <w:r/>
            <w:r>
              <w:rPr>
                <w:sz w:val="20"/>
              </w:rPr>
              <w:t>+0,1</w:t>
            </w:r>
          </w:p>
        </w:tc>
        <w:tc>
          <w:tcPr>
            <w:tcW w:type="dxa" w:w="1814"/>
          </w:tcPr>
          <w:p>
            <w:r/>
            <w:r>
              <w:rPr>
                <w:sz w:val="20"/>
              </w:rPr>
              <w:t>6–13 недель</w:t>
            </w:r>
          </w:p>
        </w:tc>
        <w:tc>
          <w:tcPr>
            <w:tcW w:type="dxa" w:w="2381"/>
          </w:tcPr>
          <w:p>
            <w:r/>
            <w:r>
              <w:rPr>
                <w:sz w:val="20"/>
              </w:rPr>
              <w:t>оптимизация дня переноса</w:t>
            </w:r>
          </w:p>
        </w:tc>
      </w:tr>
      <w:tr>
        <w:tc>
          <w:tcPr>
            <w:tcW w:type="dxa" w:w="3402"/>
            <w:shd w:val="clear" w:color="auto" w:fill="F3F8FB"/>
          </w:tcPr>
          <w:p>
            <w:r/>
            <w:r>
              <w:rPr>
                <w:sz w:val="20"/>
              </w:rPr>
              <w:t>CLBR / Cost per Live Birth</w:t>
            </w:r>
          </w:p>
        </w:tc>
        <w:tc>
          <w:tcPr>
            <w:tcW w:type="dxa" w:w="2041"/>
            <w:shd w:val="clear" w:color="auto" w:fill="F3F8FB"/>
          </w:tcPr>
          <w:p>
            <w:r/>
            <w:r>
              <w:rPr>
                <w:sz w:val="20"/>
              </w:rPr>
              <w:t>+0,2 (B2G)</w:t>
            </w:r>
          </w:p>
        </w:tc>
        <w:tc>
          <w:tcPr>
            <w:tcW w:type="dxa" w:w="1814"/>
            <w:shd w:val="clear" w:color="auto" w:fill="F3F8FB"/>
          </w:tcPr>
          <w:p>
            <w:r/>
            <w:r>
              <w:rPr>
                <w:sz w:val="20"/>
              </w:rPr>
              <w:t>6–14 недель</w:t>
            </w:r>
          </w:p>
        </w:tc>
        <w:tc>
          <w:tcPr>
            <w:tcW w:type="dxa" w:w="2381"/>
            <w:shd w:val="clear" w:color="auto" w:fill="F3F8FB"/>
          </w:tcPr>
          <w:p>
            <w:r/>
            <w:r>
              <w:rPr>
                <w:sz w:val="20"/>
              </w:rPr>
              <w:t>управление квотами и рейтингом</w:t>
            </w:r>
          </w:p>
        </w:tc>
      </w:tr>
      <w:tr>
        <w:tc>
          <w:tcPr>
            <w:tcW w:type="dxa" w:w="3402"/>
          </w:tcPr>
          <w:p>
            <w:r/>
            <w:r>
              <w:rPr>
                <w:sz w:val="20"/>
              </w:rPr>
              <w:t>Матчинг донорства и СМ</w:t>
            </w:r>
          </w:p>
        </w:tc>
        <w:tc>
          <w:tcPr>
            <w:tcW w:type="dxa" w:w="2041"/>
          </w:tcPr>
          <w:p>
            <w:r/>
            <w:r>
              <w:rPr>
                <w:sz w:val="20"/>
              </w:rPr>
              <w:t>+0,14/случай</w:t>
            </w:r>
          </w:p>
        </w:tc>
        <w:tc>
          <w:tcPr>
            <w:tcW w:type="dxa" w:w="1814"/>
          </w:tcPr>
          <w:p>
            <w:r/>
            <w:r>
              <w:rPr>
                <w:sz w:val="20"/>
              </w:rPr>
              <w:t>14–16 недель</w:t>
            </w:r>
          </w:p>
        </w:tc>
        <w:tc>
          <w:tcPr>
            <w:tcW w:type="dxa" w:w="2381"/>
          </w:tcPr>
          <w:p>
            <w:r/>
            <w:r>
              <w:rPr>
                <w:sz w:val="20"/>
              </w:rPr>
              <w:t>выше выживаемость донорских циклов</w:t>
            </w:r>
          </w:p>
        </w:tc>
      </w:tr>
      <w:tr>
        <w:tc>
          <w:tcPr>
            <w:tcW w:type="dxa" w:w="3402"/>
            <w:shd w:val="clear" w:color="auto" w:fill="F3F8FB"/>
          </w:tcPr>
          <w:p>
            <w:r/>
            <w:r>
              <w:rPr>
                <w:sz w:val="20"/>
              </w:rPr>
              <w:t>Семейный геномный консилиум</w:t>
            </w:r>
          </w:p>
        </w:tc>
        <w:tc>
          <w:tcPr>
            <w:tcW w:type="dxa" w:w="2041"/>
            <w:shd w:val="clear" w:color="auto" w:fill="F3F8FB"/>
          </w:tcPr>
          <w:p>
            <w:r/>
            <w:r>
              <w:rPr>
                <w:sz w:val="20"/>
              </w:rPr>
              <w:t>+0,2</w:t>
            </w:r>
          </w:p>
        </w:tc>
        <w:tc>
          <w:tcPr>
            <w:tcW w:type="dxa" w:w="1814"/>
            <w:shd w:val="clear" w:color="auto" w:fill="F3F8FB"/>
          </w:tcPr>
          <w:p>
            <w:r/>
            <w:r>
              <w:rPr>
                <w:sz w:val="20"/>
              </w:rPr>
              <w:t>21–26 недель</w:t>
            </w:r>
          </w:p>
        </w:tc>
        <w:tc>
          <w:tcPr>
            <w:tcW w:type="dxa" w:w="2381"/>
            <w:shd w:val="clear" w:color="auto" w:fill="F3F8FB"/>
          </w:tcPr>
          <w:p>
            <w:r/>
            <w:r>
              <w:rPr>
                <w:sz w:val="20"/>
              </w:rPr>
              <w:t>персонализация и риск-стратификация</w:t>
            </w:r>
          </w:p>
        </w:tc>
      </w:tr>
    </w:tbl>
    <w:p/>
    <w:p>
      <w:r>
        <w:rPr>
          <w:i/>
          <w:color w:val="5A6A7A"/>
          <w:sz w:val="18"/>
        </w:rPr>
        <w:t>Цены премиум-модулей — ориентир для апсейла (пакетные контракты могут снижать ставку на 14–28%).Выручка модулей в модели 2030 г. — ≈ 130 млн ₽ (46%).</w:t>
      </w:r>
    </w:p>
    <w:p>
      <w:pPr>
        <w:pStyle w:val="Heading3"/>
      </w:pPr>
      <w:r>
        <w:t>5.7. Стандарты данных и интеграции</w:t>
      </w:r>
    </w:p>
    <w:p>
      <w:r>
        <w:rPr>
          <w:b w:val="0"/>
          <w:i w:val="0"/>
          <w:sz w:val="22"/>
        </w:rPr>
        <w:t>Для сопоставимости данных между клиниками платформа использует профилированные стандарты эмбриологической и клинической документации, обеспечивая при этом совместимость с устоявшимися форматами МИС.</w:t>
      </w:r>
    </w:p>
    <w:tbl>
      <w:tblPr>
        <w:tblStyle w:val="TableGrid"/>
        <w:tblW w:type="auto" w:w="0"/>
        <w:jc w:val="center"/>
        <w:tblLook w:firstColumn="1" w:firstRow="1" w:lastColumn="0" w:lastRow="0" w:noHBand="0" w:noVBand="1" w:val="04A0"/>
      </w:tblPr>
      <w:tblGrid>
        <w:gridCol w:w="3213"/>
        <w:gridCol w:w="3213"/>
        <w:gridCol w:w="3213"/>
      </w:tblGrid>
      <w:tr>
        <w:tc>
          <w:tcPr>
            <w:tcW w:type="dxa" w:w="2608"/>
            <w:shd w:val="clear" w:color="auto" w:fill="0B3D5C"/>
          </w:tcPr>
          <w:p>
            <w:r/>
            <w:r>
              <w:rPr>
                <w:b/>
                <w:color w:val="FFFFFF"/>
                <w:sz w:val="20"/>
              </w:rPr>
              <w:t>Область</w:t>
            </w:r>
          </w:p>
        </w:tc>
        <w:tc>
          <w:tcPr>
            <w:tcW w:type="dxa" w:w="3742"/>
            <w:shd w:val="clear" w:color="auto" w:fill="0B3D5C"/>
          </w:tcPr>
          <w:p>
            <w:r/>
            <w:r>
              <w:rPr>
                <w:b/>
                <w:color w:val="FFFFFF"/>
                <w:sz w:val="20"/>
              </w:rPr>
              <w:t>Стандарт/подход</w:t>
            </w:r>
          </w:p>
        </w:tc>
        <w:tc>
          <w:tcPr>
            <w:tcW w:type="dxa" w:w="2268"/>
            <w:shd w:val="clear" w:color="auto" w:fill="0B3D5C"/>
          </w:tcPr>
          <w:p>
            <w:r/>
            <w:r>
              <w:rPr>
                <w:b/>
                <w:color w:val="FFFFFF"/>
                <w:sz w:val="20"/>
              </w:rPr>
              <w:t>Зачем</w:t>
            </w:r>
          </w:p>
        </w:tc>
      </w:tr>
      <w:tr>
        <w:tc>
          <w:tcPr>
            <w:tcW w:type="dxa" w:w="2608"/>
          </w:tcPr>
          <w:p>
            <w:r/>
            <w:r>
              <w:rPr>
                <w:sz w:val="20"/>
              </w:rPr>
              <w:t>Эмбриологические данные (таймлапс)</w:t>
            </w:r>
          </w:p>
        </w:tc>
        <w:tc>
          <w:tcPr>
            <w:tcW w:type="dxa" w:w="3742"/>
          </w:tcPr>
          <w:p>
            <w:r/>
            <w:r>
              <w:rPr>
                <w:sz w:val="20"/>
              </w:rPr>
              <w:t>структурированный профиль морфокинетики (41 параметров) на основе открытых публикаций</w:t>
            </w:r>
          </w:p>
        </w:tc>
        <w:tc>
          <w:tcPr>
            <w:tcW w:type="dxa" w:w="2268"/>
          </w:tcPr>
          <w:p>
            <w:r/>
            <w:r>
              <w:rPr>
                <w:sz w:val="20"/>
              </w:rPr>
              <w:t>единая нормализация</w:t>
            </w:r>
          </w:p>
        </w:tc>
      </w:tr>
      <w:tr>
        <w:tc>
          <w:tcPr>
            <w:tcW w:type="dxa" w:w="2608"/>
            <w:shd w:val="clear" w:color="auto" w:fill="F3F8FB"/>
          </w:tcPr>
          <w:p>
            <w:r/>
            <w:r>
              <w:rPr>
                <w:sz w:val="20"/>
              </w:rPr>
              <w:t>Клинические записи</w:t>
            </w:r>
          </w:p>
        </w:tc>
        <w:tc>
          <w:tcPr>
            <w:tcW w:type="dxa" w:w="3742"/>
            <w:shd w:val="clear" w:color="auto" w:fill="F3F8FB"/>
          </w:tcPr>
          <w:p>
            <w:r/>
            <w:r>
              <w:rPr>
                <w:sz w:val="20"/>
              </w:rPr>
              <w:t>HL10 FHIR / CDISC-подобные профили для репродуктивных исходов</w:t>
            </w:r>
          </w:p>
        </w:tc>
        <w:tc>
          <w:tcPr>
            <w:tcW w:type="dxa" w:w="2268"/>
            <w:shd w:val="clear" w:color="auto" w:fill="F3F8FB"/>
          </w:tcPr>
          <w:p>
            <w:r/>
            <w:r>
              <w:rPr>
                <w:sz w:val="20"/>
              </w:rPr>
              <w:t>импорт из МИС без переписывания протоколов</w:t>
            </w:r>
          </w:p>
        </w:tc>
      </w:tr>
      <w:tr>
        <w:tc>
          <w:tcPr>
            <w:tcW w:type="dxa" w:w="2608"/>
          </w:tcPr>
          <w:p>
            <w:r/>
            <w:r>
              <w:rPr>
                <w:sz w:val="20"/>
              </w:rPr>
              <w:t>Генетика и рецептивность</w:t>
            </w:r>
          </w:p>
        </w:tc>
        <w:tc>
          <w:tcPr>
            <w:tcW w:type="dxa" w:w="3742"/>
          </w:tcPr>
          <w:p>
            <w:r/>
            <w:r>
              <w:rPr>
                <w:sz w:val="20"/>
              </w:rPr>
              <w:t>VCF-совместимые профили, аллели унаследованной предрасположенности</w:t>
            </w:r>
          </w:p>
        </w:tc>
        <w:tc>
          <w:tcPr>
            <w:tcW w:type="dxa" w:w="2268"/>
          </w:tcPr>
          <w:p>
            <w:r/>
            <w:r>
              <w:rPr>
                <w:sz w:val="20"/>
              </w:rPr>
              <w:t>обогащение без потери точности</w:t>
            </w:r>
          </w:p>
        </w:tc>
      </w:tr>
      <w:tr>
        <w:tc>
          <w:tcPr>
            <w:tcW w:type="dxa" w:w="2608"/>
            <w:shd w:val="clear" w:color="auto" w:fill="F3F8FB"/>
          </w:tcPr>
          <w:p>
            <w:r/>
            <w:r>
              <w:rPr>
                <w:sz w:val="20"/>
              </w:rPr>
              <w:t>Исходы</w:t>
            </w:r>
          </w:p>
        </w:tc>
        <w:tc>
          <w:tcPr>
            <w:tcW w:type="dxa" w:w="3742"/>
            <w:shd w:val="clear" w:color="auto" w:fill="F3F8FB"/>
          </w:tcPr>
          <w:p>
            <w:r/>
            <w:r>
              <w:rPr>
                <w:sz w:val="20"/>
              </w:rPr>
              <w:t>онтология исходов ВРТ (перенос, отделяемость, имплантация, клиническая беременность, живорождение)</w:t>
            </w:r>
          </w:p>
        </w:tc>
        <w:tc>
          <w:tcPr>
            <w:tcW w:type="dxa" w:w="2268"/>
            <w:shd w:val="clear" w:color="auto" w:fill="F3F8FB"/>
          </w:tcPr>
          <w:p>
            <w:r/>
            <w:r>
              <w:rPr>
                <w:sz w:val="20"/>
              </w:rPr>
              <w:t>общая метрика CLBR</w:t>
            </w:r>
          </w:p>
        </w:tc>
      </w:tr>
      <w:tr>
        <w:tc>
          <w:tcPr>
            <w:tcW w:type="dxa" w:w="2608"/>
          </w:tcPr>
          <w:p>
            <w:r/>
            <w:r>
              <w:rPr>
                <w:sz w:val="20"/>
              </w:rPr>
              <w:t>Безопасность</w:t>
            </w:r>
          </w:p>
        </w:tc>
        <w:tc>
          <w:tcPr>
            <w:tcW w:type="dxa" w:w="3742"/>
          </w:tcPr>
          <w:p>
            <w:r/>
            <w:r>
              <w:rPr>
                <w:sz w:val="20"/>
              </w:rPr>
              <w:t>152-ФЗ, ГОСТ Р 38338 (обезличивание), PIPL для КНР</w:t>
            </w:r>
          </w:p>
        </w:tc>
        <w:tc>
          <w:tcPr>
            <w:tcW w:type="dxa" w:w="2268"/>
          </w:tcPr>
          <w:p>
            <w:r/>
            <w:r>
              <w:rPr>
                <w:sz w:val="20"/>
              </w:rPr>
              <w:t>юридически чистые данные</w:t>
            </w:r>
          </w:p>
        </w:tc>
      </w:tr>
    </w:tbl>
    <w:p/>
    <w:p>
      <w:r>
        <w:rPr>
          <w:b w:val="0"/>
          <w:i w:val="0"/>
          <w:sz w:val="22"/>
        </w:rPr>
        <w:t>Интеграция реализуется через API и коннекторы к МИС (1С-Медицина, Медиалог и др.) — это снижает барьер подключения для клиники и создаёт «реестр совместимости», который сам по себе является активом при масштабировании.</w:t>
      </w:r>
    </w:p>
    <w:p>
      <w:pPr>
        <w:pStyle w:val="Heading3"/>
      </w:pPr>
      <w:r>
        <w:t>5.8. Pipeline данных и процесс обучения</w:t>
      </w:r>
    </w:p>
    <w:tbl>
      <w:tblPr>
        <w:tblStyle w:val="TableGrid"/>
        <w:tblW w:type="auto" w:w="0"/>
        <w:jc w:val="center"/>
        <w:tblLook w:firstColumn="1" w:firstRow="1" w:lastColumn="0" w:lastRow="0" w:noHBand="0" w:noVBand="1" w:val="04A0"/>
      </w:tblPr>
      <w:tblGrid>
        <w:gridCol w:w="3213"/>
        <w:gridCol w:w="3213"/>
        <w:gridCol w:w="3213"/>
      </w:tblGrid>
      <w:tr>
        <w:tc>
          <w:tcPr>
            <w:tcW w:type="dxa" w:w="1928"/>
            <w:shd w:val="clear" w:color="auto" w:fill="0B3D5C"/>
          </w:tcPr>
          <w:p>
            <w:r/>
            <w:r>
              <w:rPr>
                <w:b/>
                <w:color w:val="FFFFFF"/>
                <w:sz w:val="20"/>
              </w:rPr>
              <w:t>Этап</w:t>
            </w:r>
          </w:p>
        </w:tc>
        <w:tc>
          <w:tcPr>
            <w:tcW w:type="dxa" w:w="4649"/>
            <w:shd w:val="clear" w:color="auto" w:fill="0B3D5C"/>
          </w:tcPr>
          <w:p>
            <w:r/>
            <w:r>
              <w:rPr>
                <w:b/>
                <w:color w:val="FFFFFF"/>
                <w:sz w:val="20"/>
              </w:rPr>
              <w:t>Действие</w:t>
            </w:r>
          </w:p>
        </w:tc>
        <w:tc>
          <w:tcPr>
            <w:tcW w:type="dxa" w:w="2268"/>
            <w:shd w:val="clear" w:color="auto" w:fill="0B3D5C"/>
          </w:tcPr>
          <w:p>
            <w:r/>
            <w:r>
              <w:rPr>
                <w:b/>
                <w:color w:val="FFFFFF"/>
                <w:sz w:val="20"/>
              </w:rPr>
              <w:t>Контроль качества</w:t>
            </w:r>
          </w:p>
        </w:tc>
      </w:tr>
      <w:tr>
        <w:tc>
          <w:tcPr>
            <w:tcW w:type="dxa" w:w="1928"/>
          </w:tcPr>
          <w:p>
            <w:r/>
            <w:r>
              <w:rPr>
                <w:sz w:val="20"/>
              </w:rPr>
              <w:t>1. Сбор (edge)</w:t>
            </w:r>
          </w:p>
        </w:tc>
        <w:tc>
          <w:tcPr>
            <w:tcW w:type="dxa" w:w="4649"/>
          </w:tcPr>
          <w:p>
            <w:r/>
            <w:r>
              <w:rPr>
                <w:sz w:val="20"/>
              </w:rPr>
              <w:t>выгрузка из ЛИС/МИС и инкубаторов, псевдонимизация на стороне клиники</w:t>
            </w:r>
          </w:p>
        </w:tc>
        <w:tc>
          <w:tcPr>
            <w:tcW w:type="dxa" w:w="2268"/>
          </w:tcPr>
          <w:p>
            <w:r/>
            <w:r>
              <w:rPr>
                <w:sz w:val="20"/>
              </w:rPr>
              <w:t>автоматическая валидация схем</w:t>
            </w:r>
          </w:p>
        </w:tc>
      </w:tr>
      <w:tr>
        <w:tc>
          <w:tcPr>
            <w:tcW w:type="dxa" w:w="1928"/>
            <w:shd w:val="clear" w:color="auto" w:fill="F3F8FB"/>
          </w:tcPr>
          <w:p>
            <w:r/>
            <w:r>
              <w:rPr>
                <w:sz w:val="20"/>
              </w:rPr>
              <w:t>3. Трансфер (core)</w:t>
            </w:r>
          </w:p>
        </w:tc>
        <w:tc>
          <w:tcPr>
            <w:tcW w:type="dxa" w:w="4649"/>
            <w:shd w:val="clear" w:color="auto" w:fill="F3F8FB"/>
          </w:tcPr>
          <w:p>
            <w:r/>
            <w:r>
              <w:rPr>
                <w:sz w:val="20"/>
              </w:rPr>
              <w:t>передача агрегатов в РФ-облако, ведение журнала передачи (DPA)</w:t>
            </w:r>
          </w:p>
        </w:tc>
        <w:tc>
          <w:tcPr>
            <w:tcW w:type="dxa" w:w="2268"/>
            <w:shd w:val="clear" w:color="auto" w:fill="F3F8FB"/>
          </w:tcPr>
          <w:p>
            <w:r/>
            <w:r>
              <w:rPr>
                <w:sz w:val="20"/>
              </w:rPr>
              <w:t>регулярная сверка счётов</w:t>
            </w:r>
          </w:p>
        </w:tc>
      </w:tr>
      <w:tr>
        <w:tc>
          <w:tcPr>
            <w:tcW w:type="dxa" w:w="1928"/>
          </w:tcPr>
          <w:p>
            <w:r/>
            <w:r>
              <w:rPr>
                <w:sz w:val="20"/>
              </w:rPr>
              <w:t>7. Нормализация</w:t>
            </w:r>
          </w:p>
        </w:tc>
        <w:tc>
          <w:tcPr>
            <w:tcW w:type="dxa" w:w="4649"/>
          </w:tcPr>
          <w:p>
            <w:r/>
            <w:r>
              <w:rPr>
                <w:sz w:val="20"/>
              </w:rPr>
              <w:t>единая онтология исходов и параметров, устранение дублей</w:t>
            </w:r>
          </w:p>
        </w:tc>
        <w:tc>
          <w:tcPr>
            <w:tcW w:type="dxa" w:w="2268"/>
          </w:tcPr>
          <w:p>
            <w:r/>
            <w:r>
              <w:rPr>
                <w:sz w:val="20"/>
              </w:rPr>
              <w:t>контроль по считающим признакам</w:t>
            </w:r>
          </w:p>
        </w:tc>
      </w:tr>
      <w:tr>
        <w:tc>
          <w:tcPr>
            <w:tcW w:type="dxa" w:w="1928"/>
            <w:shd w:val="clear" w:color="auto" w:fill="F3F8FB"/>
          </w:tcPr>
          <w:p>
            <w:r/>
            <w:r>
              <w:rPr>
                <w:sz w:val="20"/>
              </w:rPr>
              <w:t>3. Разметка (clinical QA)</w:t>
            </w:r>
          </w:p>
        </w:tc>
        <w:tc>
          <w:tcPr>
            <w:tcW w:type="dxa" w:w="4649"/>
            <w:shd w:val="clear" w:color="auto" w:fill="F3F8FB"/>
          </w:tcPr>
          <w:p>
            <w:r/>
            <w:r>
              <w:rPr>
                <w:sz w:val="20"/>
              </w:rPr>
              <w:t>референсная разметка эмбриологами, диспут-протоколы</w:t>
            </w:r>
          </w:p>
        </w:tc>
        <w:tc>
          <w:tcPr>
            <w:tcW w:type="dxa" w:w="2268"/>
            <w:shd w:val="clear" w:color="auto" w:fill="F3F8FB"/>
          </w:tcPr>
          <w:p>
            <w:r/>
            <w:r>
              <w:rPr>
                <w:sz w:val="20"/>
              </w:rPr>
              <w:t>двойная разметка на выборке</w:t>
            </w:r>
          </w:p>
        </w:tc>
      </w:tr>
      <w:tr>
        <w:tc>
          <w:tcPr>
            <w:tcW w:type="dxa" w:w="1928"/>
          </w:tcPr>
          <w:p>
            <w:r/>
            <w:r>
              <w:rPr>
                <w:sz w:val="20"/>
              </w:rPr>
              <w:t>8. Обучение/валидация</w:t>
            </w:r>
          </w:p>
        </w:tc>
        <w:tc>
          <w:tcPr>
            <w:tcW w:type="dxa" w:w="4649"/>
          </w:tcPr>
          <w:p>
            <w:r/>
            <w:r>
              <w:rPr>
                <w:sz w:val="20"/>
              </w:rPr>
              <w:t>train/val/test со стратификацией по центрам (7 раздела)</w:t>
            </w:r>
          </w:p>
        </w:tc>
        <w:tc>
          <w:tcPr>
            <w:tcW w:type="dxa" w:w="2268"/>
          </w:tcPr>
          <w:p>
            <w:r/>
            <w:r>
              <w:rPr>
                <w:sz w:val="20"/>
              </w:rPr>
              <w:t>контроль дрейфа и переобучения</w:t>
            </w:r>
          </w:p>
        </w:tc>
      </w:tr>
      <w:tr>
        <w:tc>
          <w:tcPr>
            <w:tcW w:type="dxa" w:w="1928"/>
            <w:shd w:val="clear" w:color="auto" w:fill="F3F8FB"/>
          </w:tcPr>
          <w:p>
            <w:r/>
            <w:r>
              <w:rPr>
                <w:sz w:val="20"/>
              </w:rPr>
              <w:t>13. Развёртывание</w:t>
            </w:r>
          </w:p>
        </w:tc>
        <w:tc>
          <w:tcPr>
            <w:tcW w:type="dxa" w:w="4649"/>
            <w:shd w:val="clear" w:color="auto" w:fill="F3F8FB"/>
          </w:tcPr>
          <w:p>
            <w:r/>
            <w:r>
              <w:rPr>
                <w:sz w:val="20"/>
              </w:rPr>
              <w:t>эталонная модель в изолированной среде, журналирование решений</w:t>
            </w:r>
          </w:p>
        </w:tc>
        <w:tc>
          <w:tcPr>
            <w:tcW w:type="dxa" w:w="2268"/>
            <w:shd w:val="clear" w:color="auto" w:fill="F3F8FB"/>
          </w:tcPr>
          <w:p>
            <w:r/>
            <w:r>
              <w:rPr>
                <w:sz w:val="20"/>
              </w:rPr>
              <w:t>мониторинг калибровки еженедельно</w:t>
            </w:r>
          </w:p>
        </w:tc>
      </w:tr>
    </w:tbl>
    <w:p/>
    <w:p>
      <w:r>
        <w:rPr>
          <w:b w:val="0"/>
          <w:i w:val="0"/>
          <w:sz w:val="22"/>
        </w:rPr>
        <w:t>Правило «промышленного резерва»: перед каждым обновлением модели выполняется калибровочный прогон по свежему срезу исходов (61–126 дней); при отклонении от порога запускается автоматический откат к предыдущей версии.</w:t>
      </w:r>
    </w:p>
    <w:p>
      <w:pPr>
        <w:pStyle w:val="Heading3"/>
      </w:pPr>
      <w:r>
        <w:t>5.9. Архитектура, безопасность и защита данных</w:t>
      </w:r>
    </w:p>
    <w:tbl>
      <w:tblPr>
        <w:tblStyle w:val="TableGrid"/>
        <w:tblW w:type="auto" w:w="0"/>
        <w:jc w:val="center"/>
        <w:tblLook w:firstColumn="1" w:firstRow="1" w:lastColumn="0" w:lastRow="0" w:noHBand="0" w:noVBand="1" w:val="04A0"/>
      </w:tblPr>
      <w:tblGrid>
        <w:gridCol w:w="3213"/>
        <w:gridCol w:w="3213"/>
        <w:gridCol w:w="3213"/>
      </w:tblGrid>
      <w:tr>
        <w:tc>
          <w:tcPr>
            <w:tcW w:type="dxa" w:w="2041"/>
            <w:shd w:val="clear" w:color="auto" w:fill="0B3D5C"/>
          </w:tcPr>
          <w:p>
            <w:r/>
            <w:r>
              <w:rPr>
                <w:b/>
                <w:color w:val="FFFFFF"/>
                <w:sz w:val="20"/>
              </w:rPr>
              <w:t>Слой</w:t>
            </w:r>
          </w:p>
        </w:tc>
        <w:tc>
          <w:tcPr>
            <w:tcW w:type="dxa" w:w="3969"/>
            <w:shd w:val="clear" w:color="auto" w:fill="0B3D5C"/>
          </w:tcPr>
          <w:p>
            <w:r/>
            <w:r>
              <w:rPr>
                <w:b/>
                <w:color w:val="FFFFFF"/>
                <w:sz w:val="20"/>
              </w:rPr>
              <w:t>Реализация</w:t>
            </w:r>
          </w:p>
        </w:tc>
        <w:tc>
          <w:tcPr>
            <w:tcW w:type="dxa" w:w="2835"/>
            <w:shd w:val="clear" w:color="auto" w:fill="0B3D5C"/>
          </w:tcPr>
          <w:p>
            <w:r/>
            <w:r>
              <w:rPr>
                <w:b/>
                <w:color w:val="FFFFFF"/>
                <w:sz w:val="20"/>
              </w:rPr>
              <w:t>Гарантия</w:t>
            </w:r>
          </w:p>
        </w:tc>
      </w:tr>
      <w:tr>
        <w:tc>
          <w:tcPr>
            <w:tcW w:type="dxa" w:w="2041"/>
          </w:tcPr>
          <w:p>
            <w:r/>
            <w:r>
              <w:rPr>
                <w:sz w:val="20"/>
              </w:rPr>
              <w:t>Хранение данных</w:t>
            </w:r>
          </w:p>
        </w:tc>
        <w:tc>
          <w:tcPr>
            <w:tcW w:type="dxa" w:w="3969"/>
          </w:tcPr>
          <w:p>
            <w:r/>
            <w:r>
              <w:rPr>
                <w:sz w:val="20"/>
              </w:rPr>
              <w:t>РФ-облако, изолированные тенанты по клиникам</w:t>
            </w:r>
          </w:p>
        </w:tc>
        <w:tc>
          <w:tcPr>
            <w:tcW w:type="dxa" w:w="2835"/>
          </w:tcPr>
          <w:p>
            <w:r/>
            <w:r>
              <w:rPr>
                <w:sz w:val="20"/>
              </w:rPr>
              <w:t>152-ФЗ, локализация персональных данных</w:t>
            </w:r>
          </w:p>
        </w:tc>
      </w:tr>
      <w:tr>
        <w:tc>
          <w:tcPr>
            <w:tcW w:type="dxa" w:w="2041"/>
            <w:shd w:val="clear" w:color="auto" w:fill="F3F8FB"/>
          </w:tcPr>
          <w:p>
            <w:r/>
            <w:r>
              <w:rPr>
                <w:sz w:val="20"/>
              </w:rPr>
              <w:t>Обезличивание</w:t>
            </w:r>
          </w:p>
        </w:tc>
        <w:tc>
          <w:tcPr>
            <w:tcW w:type="dxa" w:w="3969"/>
            <w:shd w:val="clear" w:color="auto" w:fill="F3F8FB"/>
          </w:tcPr>
          <w:p>
            <w:r/>
            <w:r>
              <w:rPr>
                <w:sz w:val="20"/>
              </w:rPr>
              <w:t>псевдонимизация на стороне клиники до передачи</w:t>
            </w:r>
          </w:p>
        </w:tc>
        <w:tc>
          <w:tcPr>
            <w:tcW w:type="dxa" w:w="2835"/>
            <w:shd w:val="clear" w:color="auto" w:fill="F3F8FB"/>
          </w:tcPr>
          <w:p>
            <w:r/>
            <w:r>
              <w:rPr>
                <w:sz w:val="20"/>
              </w:rPr>
              <w:t>ГОСТ Р 38338</w:t>
            </w:r>
          </w:p>
        </w:tc>
      </w:tr>
      <w:tr>
        <w:tc>
          <w:tcPr>
            <w:tcW w:type="dxa" w:w="2041"/>
          </w:tcPr>
          <w:p>
            <w:r/>
            <w:r>
              <w:rPr>
                <w:sz w:val="20"/>
              </w:rPr>
              <w:t>Доступ</w:t>
            </w:r>
          </w:p>
        </w:tc>
        <w:tc>
          <w:tcPr>
            <w:tcW w:type="dxa" w:w="3969"/>
          </w:tcPr>
          <w:p>
            <w:r/>
            <w:r>
              <w:rPr>
                <w:sz w:val="20"/>
              </w:rPr>
              <w:t>ролевая модель (RBAC), журналирование всех обращений</w:t>
            </w:r>
          </w:p>
        </w:tc>
        <w:tc>
          <w:tcPr>
            <w:tcW w:type="dxa" w:w="2835"/>
          </w:tcPr>
          <w:p>
            <w:r/>
            <w:r>
              <w:rPr>
                <w:sz w:val="20"/>
              </w:rPr>
              <w:t>принцип наименьших привилегий</w:t>
            </w:r>
          </w:p>
        </w:tc>
      </w:tr>
      <w:tr>
        <w:tc>
          <w:tcPr>
            <w:tcW w:type="dxa" w:w="2041"/>
            <w:shd w:val="clear" w:color="auto" w:fill="F3F8FB"/>
          </w:tcPr>
          <w:p>
            <w:r/>
            <w:r>
              <w:rPr>
                <w:sz w:val="20"/>
              </w:rPr>
              <w:t>Модель ИИ</w:t>
            </w:r>
          </w:p>
        </w:tc>
        <w:tc>
          <w:tcPr>
            <w:tcW w:type="dxa" w:w="3969"/>
            <w:shd w:val="clear" w:color="auto" w:fill="F3F8FB"/>
          </w:tcPr>
          <w:p>
            <w:r/>
            <w:r>
              <w:rPr>
                <w:sz w:val="20"/>
              </w:rPr>
              <w:t>версионирование, воспроизводимость, откат</w:t>
            </w:r>
          </w:p>
        </w:tc>
        <w:tc>
          <w:tcPr>
            <w:tcW w:type="dxa" w:w="2835"/>
            <w:shd w:val="clear" w:color="auto" w:fill="F3F8FB"/>
          </w:tcPr>
          <w:p>
            <w:r/>
            <w:r>
              <w:rPr>
                <w:sz w:val="20"/>
              </w:rPr>
              <w:t>аудит решений, борьба с дрейфом</w:t>
            </w:r>
          </w:p>
        </w:tc>
      </w:tr>
      <w:tr>
        <w:tc>
          <w:tcPr>
            <w:tcW w:type="dxa" w:w="2041"/>
          </w:tcPr>
          <w:p>
            <w:r/>
            <w:r>
              <w:rPr>
                <w:sz w:val="20"/>
              </w:rPr>
              <w:t>Клинический контур</w:t>
            </w:r>
          </w:p>
        </w:tc>
        <w:tc>
          <w:tcPr>
            <w:tcW w:type="dxa" w:w="3969"/>
          </w:tcPr>
          <w:p>
            <w:r/>
            <w:r>
              <w:rPr>
                <w:sz w:val="20"/>
              </w:rPr>
              <w:t>СППВР: рекомендация, финальное решение — за врачом</w:t>
            </w:r>
          </w:p>
        </w:tc>
        <w:tc>
          <w:tcPr>
            <w:tcW w:type="dxa" w:w="2835"/>
          </w:tcPr>
          <w:p>
            <w:r/>
            <w:r>
              <w:rPr>
                <w:sz w:val="20"/>
              </w:rPr>
              <w:t>этическая рамка, ответственность врача</w:t>
            </w:r>
          </w:p>
        </w:tc>
      </w:tr>
      <w:tr>
        <w:tc>
          <w:tcPr>
            <w:tcW w:type="dxa" w:w="2041"/>
            <w:shd w:val="clear" w:color="auto" w:fill="F3F8FB"/>
          </w:tcPr>
          <w:p>
            <w:r/>
            <w:r>
              <w:rPr>
                <w:sz w:val="20"/>
              </w:rPr>
              <w:t>Международный контур</w:t>
            </w:r>
          </w:p>
        </w:tc>
        <w:tc>
          <w:tcPr>
            <w:tcW w:type="dxa" w:w="3969"/>
            <w:shd w:val="clear" w:color="auto" w:fill="F3F8FB"/>
          </w:tcPr>
          <w:p>
            <w:r/>
            <w:r>
              <w:rPr>
                <w:sz w:val="20"/>
              </w:rPr>
              <w:t>локализация деплоя (КНР), минимальный экспорт агрегатов</w:t>
            </w:r>
          </w:p>
        </w:tc>
        <w:tc>
          <w:tcPr>
            <w:tcW w:type="dxa" w:w="2835"/>
            <w:shd w:val="clear" w:color="auto" w:fill="F3F8FB"/>
          </w:tcPr>
          <w:p>
            <w:r/>
            <w:r>
              <w:rPr>
                <w:sz w:val="20"/>
              </w:rPr>
              <w:t>PIPL, разграничение юрисдикций</w:t>
            </w:r>
          </w:p>
        </w:tc>
      </w:tr>
    </w:tbl>
    <w:p/>
    <w:p>
      <w:r>
        <w:rPr>
          <w:b w:val="0"/>
          <w:i w:val="0"/>
          <w:sz w:val="22"/>
        </w:rPr>
        <w:t>Архитектура построена по принципу «privacy by design»: клиника остаётся контролёром данных, платформа — обработчиком; персональные данные и геном не покидают контур без правового основания. Это снимает ключевой барьер B2B-сделок в медицине и открывает путь к государственным заказчикам.</w:t>
      </w:r>
    </w:p>
    <w:p>
      <w:r>
        <w:br w:type="page"/>
      </w:r>
    </w:p>
    <w:p>
      <w:pPr>
        <w:pStyle w:val="Heading1"/>
        <w:shd w:val="clear" w:color="auto" w:fill="EAF4F8"/>
      </w:pPr>
      <w:r>
        <w:t>6. КОНКУРЕНЦИЯ, УТП И БАРЬЕРЫ ВХОДА</w:t>
      </w:r>
    </w:p>
    <w:p>
      <w:pPr>
        <w:pStyle w:val="Heading2"/>
      </w:pPr>
      <w:r>
        <w:t>6.1. Конкурентная карта</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94"/>
            <w:shd w:val="clear" w:color="auto" w:fill="0B3D5C"/>
          </w:tcPr>
          <w:p>
            <w:r/>
            <w:r>
              <w:rPr>
                <w:b/>
                <w:color w:val="FFFFFF"/>
                <w:sz w:val="20"/>
              </w:rPr>
              <w:t>Решение</w:t>
            </w:r>
          </w:p>
        </w:tc>
        <w:tc>
          <w:tcPr>
            <w:tcW w:type="dxa" w:w="1361"/>
            <w:shd w:val="clear" w:color="auto" w:fill="0B3D5C"/>
          </w:tcPr>
          <w:p>
            <w:r/>
            <w:r>
              <w:rPr>
                <w:b/>
                <w:color w:val="FFFFFF"/>
                <w:sz w:val="20"/>
              </w:rPr>
              <w:t>Страна</w:t>
            </w:r>
          </w:p>
        </w:tc>
        <w:tc>
          <w:tcPr>
            <w:tcW w:type="dxa" w:w="2608"/>
            <w:shd w:val="clear" w:color="auto" w:fill="0B3D5C"/>
          </w:tcPr>
          <w:p>
            <w:r/>
            <w:r>
              <w:rPr>
                <w:b/>
                <w:color w:val="FFFFFF"/>
                <w:sz w:val="20"/>
              </w:rPr>
              <w:t>Тип данных</w:t>
            </w:r>
          </w:p>
        </w:tc>
        <w:tc>
          <w:tcPr>
            <w:tcW w:type="dxa" w:w="2721"/>
            <w:shd w:val="clear" w:color="auto" w:fill="0B3D5C"/>
          </w:tcPr>
          <w:p>
            <w:r/>
            <w:r>
              <w:rPr>
                <w:b/>
                <w:color w:val="FFFFFF"/>
                <w:sz w:val="20"/>
              </w:rPr>
              <w:t>Ограничение</w:t>
            </w:r>
          </w:p>
        </w:tc>
      </w:tr>
      <w:tr>
        <w:tc>
          <w:tcPr>
            <w:tcW w:type="dxa" w:w="2494"/>
          </w:tcPr>
          <w:p>
            <w:r/>
            <w:r>
              <w:rPr>
                <w:sz w:val="20"/>
              </w:rPr>
              <w:t>Ivy Fertility (AI)</w:t>
            </w:r>
          </w:p>
        </w:tc>
        <w:tc>
          <w:tcPr>
            <w:tcW w:type="dxa" w:w="1361"/>
          </w:tcPr>
          <w:p>
            <w:r/>
            <w:r>
              <w:rPr>
                <w:sz w:val="20"/>
              </w:rPr>
              <w:t>США</w:t>
            </w:r>
          </w:p>
        </w:tc>
        <w:tc>
          <w:tcPr>
            <w:tcW w:type="dxa" w:w="2608"/>
          </w:tcPr>
          <w:p>
            <w:r/>
            <w:r>
              <w:rPr>
                <w:sz w:val="20"/>
              </w:rPr>
              <w:t>Изображение + клиника</w:t>
            </w:r>
          </w:p>
        </w:tc>
        <w:tc>
          <w:tcPr>
            <w:tcW w:type="dxa" w:w="2721"/>
          </w:tcPr>
          <w:p>
            <w:r/>
            <w:r>
              <w:rPr>
                <w:sz w:val="20"/>
              </w:rPr>
              <w:t>без мужского фактора/DFI, без РФ-адаптации</w:t>
            </w:r>
          </w:p>
        </w:tc>
      </w:tr>
      <w:tr>
        <w:tc>
          <w:tcPr>
            <w:tcW w:type="dxa" w:w="2494"/>
            <w:shd w:val="clear" w:color="auto" w:fill="F3F8FB"/>
          </w:tcPr>
          <w:p>
            <w:r/>
            <w:r>
              <w:rPr>
                <w:sz w:val="20"/>
              </w:rPr>
              <w:t>Life Whisperer (CooperSurgical)</w:t>
            </w:r>
          </w:p>
        </w:tc>
        <w:tc>
          <w:tcPr>
            <w:tcW w:type="dxa" w:w="1361"/>
            <w:shd w:val="clear" w:color="auto" w:fill="F3F8FB"/>
          </w:tcPr>
          <w:p>
            <w:r/>
            <w:r>
              <w:rPr>
                <w:sz w:val="20"/>
              </w:rPr>
              <w:t>США/Австр.</w:t>
            </w:r>
          </w:p>
        </w:tc>
        <w:tc>
          <w:tcPr>
            <w:tcW w:type="dxa" w:w="2608"/>
            <w:shd w:val="clear" w:color="auto" w:fill="F3F8FB"/>
          </w:tcPr>
          <w:p>
            <w:r/>
            <w:r>
              <w:rPr>
                <w:sz w:val="20"/>
              </w:rPr>
              <w:t>Морфология эмбриона</w:t>
            </w:r>
          </w:p>
        </w:tc>
        <w:tc>
          <w:tcPr>
            <w:tcW w:type="dxa" w:w="2721"/>
            <w:shd w:val="clear" w:color="auto" w:fill="F3F8FB"/>
          </w:tcPr>
          <w:p>
            <w:r/>
            <w:r>
              <w:rPr>
                <w:sz w:val="20"/>
              </w:rPr>
              <w:t>фокус на «картинке»</w:t>
            </w:r>
          </w:p>
        </w:tc>
      </w:tr>
      <w:tr>
        <w:tc>
          <w:tcPr>
            <w:tcW w:type="dxa" w:w="2494"/>
          </w:tcPr>
          <w:p>
            <w:r/>
            <w:r>
              <w:rPr>
                <w:sz w:val="20"/>
              </w:rPr>
              <w:t>Vitrolife Geri + AI</w:t>
            </w:r>
          </w:p>
        </w:tc>
        <w:tc>
          <w:tcPr>
            <w:tcW w:type="dxa" w:w="1361"/>
          </w:tcPr>
          <w:p>
            <w:r/>
            <w:r>
              <w:rPr>
                <w:sz w:val="20"/>
              </w:rPr>
              <w:t>Швеция</w:t>
            </w:r>
          </w:p>
        </w:tc>
        <w:tc>
          <w:tcPr>
            <w:tcW w:type="dxa" w:w="2608"/>
          </w:tcPr>
          <w:p>
            <w:r/>
            <w:r>
              <w:rPr>
                <w:sz w:val="20"/>
              </w:rPr>
              <w:t>Таймлапс + AI</w:t>
            </w:r>
          </w:p>
        </w:tc>
        <w:tc>
          <w:tcPr>
            <w:tcW w:type="dxa" w:w="2721"/>
          </w:tcPr>
          <w:p>
            <w:r/>
            <w:r>
              <w:rPr>
                <w:sz w:val="20"/>
              </w:rPr>
              <w:t>аппаратная привязка, без геномики</w:t>
            </w:r>
          </w:p>
        </w:tc>
      </w:tr>
      <w:tr>
        <w:tc>
          <w:tcPr>
            <w:tcW w:type="dxa" w:w="2494"/>
            <w:shd w:val="clear" w:color="auto" w:fill="F3F8FB"/>
          </w:tcPr>
          <w:p>
            <w:r/>
            <w:r>
              <w:rPr>
                <w:sz w:val="20"/>
              </w:rPr>
              <w:t>Fairtility CHLOE</w:t>
            </w:r>
          </w:p>
        </w:tc>
        <w:tc>
          <w:tcPr>
            <w:tcW w:type="dxa" w:w="1361"/>
            <w:shd w:val="clear" w:color="auto" w:fill="F3F8FB"/>
          </w:tcPr>
          <w:p>
            <w:r/>
            <w:r>
              <w:rPr>
                <w:sz w:val="20"/>
              </w:rPr>
              <w:t>Израиль</w:t>
            </w:r>
          </w:p>
        </w:tc>
        <w:tc>
          <w:tcPr>
            <w:tcW w:type="dxa" w:w="2608"/>
            <w:shd w:val="clear" w:color="auto" w:fill="F3F8FB"/>
          </w:tcPr>
          <w:p>
            <w:r/>
            <w:r>
              <w:rPr>
                <w:sz w:val="20"/>
              </w:rPr>
              <w:t>Таймлапс + AI</w:t>
            </w:r>
          </w:p>
        </w:tc>
        <w:tc>
          <w:tcPr>
            <w:tcW w:type="dxa" w:w="2721"/>
            <w:shd w:val="clear" w:color="auto" w:fill="F3F8FB"/>
          </w:tcPr>
          <w:p>
            <w:r/>
            <w:r>
              <w:rPr>
                <w:sz w:val="20"/>
              </w:rPr>
              <w:t>без геномных и иммунных данных</w:t>
            </w:r>
          </w:p>
        </w:tc>
      </w:tr>
      <w:tr>
        <w:tc>
          <w:tcPr>
            <w:tcW w:type="dxa" w:w="2494"/>
          </w:tcPr>
          <w:p>
            <w:r/>
            <w:r>
              <w:rPr>
                <w:sz w:val="20"/>
              </w:rPr>
              <w:t>ERICA / iDAScore (исследования)</w:t>
            </w:r>
          </w:p>
        </w:tc>
        <w:tc>
          <w:tcPr>
            <w:tcW w:type="dxa" w:w="1361"/>
          </w:tcPr>
          <w:p>
            <w:r/>
            <w:r>
              <w:rPr>
                <w:sz w:val="20"/>
              </w:rPr>
              <w:t>ЕС</w:t>
            </w:r>
          </w:p>
        </w:tc>
        <w:tc>
          <w:tcPr>
            <w:tcW w:type="dxa" w:w="2608"/>
          </w:tcPr>
          <w:p>
            <w:r/>
            <w:r>
              <w:rPr>
                <w:sz w:val="20"/>
              </w:rPr>
              <w:t>Морфология → плоидность</w:t>
            </w:r>
          </w:p>
        </w:tc>
        <w:tc>
          <w:tcPr>
            <w:tcW w:type="dxa" w:w="2721"/>
          </w:tcPr>
          <w:p>
            <w:r/>
            <w:r>
              <w:rPr>
                <w:sz w:val="20"/>
              </w:rPr>
              <w:t>точность 136–184% без мультимодальности</w:t>
            </w:r>
          </w:p>
        </w:tc>
      </w:tr>
      <w:tr>
        <w:tc>
          <w:tcPr>
            <w:tcW w:type="dxa" w:w="2494"/>
            <w:shd w:val="clear" w:color="auto" w:fill="F3F8FB"/>
          </w:tcPr>
          <w:p>
            <w:r/>
            <w:r>
              <w:rPr>
                <w:sz w:val="20"/>
              </w:rPr>
              <w:t>Коммерческие ИИ-решения в РФ</w:t>
            </w:r>
          </w:p>
        </w:tc>
        <w:tc>
          <w:tcPr>
            <w:tcW w:type="dxa" w:w="1361"/>
            <w:shd w:val="clear" w:color="auto" w:fill="F3F8FB"/>
          </w:tcPr>
          <w:p>
            <w:r/>
            <w:r>
              <w:rPr>
                <w:sz w:val="20"/>
              </w:rPr>
              <w:t>РФ</w:t>
            </w:r>
          </w:p>
        </w:tc>
        <w:tc>
          <w:tcPr>
            <w:tcW w:type="dxa" w:w="2608"/>
            <w:shd w:val="clear" w:color="auto" w:fill="F3F8FB"/>
          </w:tcPr>
          <w:p>
            <w:r/>
            <w:r>
              <w:rPr>
                <w:sz w:val="20"/>
              </w:rPr>
              <w:t>преимущественно морфокинетика</w:t>
            </w:r>
          </w:p>
        </w:tc>
        <w:tc>
          <w:tcPr>
            <w:tcW w:type="dxa" w:w="2721"/>
            <w:shd w:val="clear" w:color="auto" w:fill="F3F8FB"/>
          </w:tcPr>
          <w:p>
            <w:r/>
            <w:r>
              <w:rPr>
                <w:sz w:val="20"/>
              </w:rPr>
              <w:t>нет мультимодальной платформы</w:t>
            </w:r>
          </w:p>
        </w:tc>
      </w:tr>
      <w:tr>
        <w:tc>
          <w:tcPr>
            <w:tcW w:type="dxa" w:w="2494"/>
          </w:tcPr>
          <w:p>
            <w:r/>
            <w:r>
              <w:rPr>
                <w:sz w:val="20"/>
              </w:rPr>
              <w:t>VitaGen-AI</w:t>
            </w:r>
          </w:p>
        </w:tc>
        <w:tc>
          <w:tcPr>
            <w:tcW w:type="dxa" w:w="1361"/>
          </w:tcPr>
          <w:p>
            <w:r/>
            <w:r>
              <w:rPr>
                <w:sz w:val="20"/>
              </w:rPr>
              <w:t>РФ</w:t>
            </w:r>
          </w:p>
        </w:tc>
        <w:tc>
          <w:tcPr>
            <w:tcW w:type="dxa" w:w="2608"/>
          </w:tcPr>
          <w:p>
            <w:r/>
            <w:r>
              <w:rPr>
                <w:sz w:val="20"/>
              </w:rPr>
              <w:t>5 модальностей (DFI, KIR/HLA-C и др.)</w:t>
            </w:r>
          </w:p>
        </w:tc>
        <w:tc>
          <w:tcPr>
            <w:tcW w:type="dxa" w:w="2721"/>
          </w:tcPr>
          <w:p>
            <w:r/>
            <w:r>
              <w:rPr>
                <w:sz w:val="20"/>
              </w:rPr>
              <w:t>стадия валидации — закрывается пилотом</w:t>
            </w:r>
          </w:p>
        </w:tc>
      </w:tr>
    </w:tbl>
    <w:p/>
    <w:p>
      <w:pPr>
        <w:pStyle w:val="Heading2"/>
      </w:pPr>
      <w:r>
        <w:t>6.2. УТП</w:t>
      </w:r>
    </w:p>
    <w:p>
      <w:pPr>
        <w:pStyle w:val="ListBullet"/>
        <w:ind w:left="340"/>
      </w:pPr>
      <w:r>
        <w:rPr>
          <w:b/>
        </w:rPr>
        <w:t xml:space="preserve">Мультимодальность: </w:t>
      </w:r>
      <w:r/>
      <w:r>
        <w:t>единственная в РФ платформа, объединяющая 5 уровней данных (морфокинетика, геномика эмбриона, клиника, геномика пациентки, мужской фактор);</w:t>
      </w:r>
    </w:p>
    <w:p>
      <w:pPr>
        <w:pStyle w:val="ListBullet"/>
        <w:ind w:left="340"/>
      </w:pPr>
      <w:r>
        <w:rPr>
          <w:b/>
        </w:rPr>
        <w:t xml:space="preserve">Интеграция DFI: </w:t>
      </w:r>
      <w:r/>
      <w:r>
        <w:t>мужской фактор (фрагментация ДНК) — отсутствует в мировых коммерческих аналогах;</w:t>
      </w:r>
    </w:p>
    <w:p>
      <w:pPr>
        <w:pStyle w:val="ListBullet"/>
        <w:ind w:left="340"/>
      </w:pPr>
      <w:r>
        <w:rPr>
          <w:b/>
        </w:rPr>
        <w:t xml:space="preserve">Иммунный матчинг (KIR/HLA-C): </w:t>
      </w:r>
      <w:r/>
      <w:r>
        <w:t>развилка, отсутствующая в коммерческих продуктах;</w:t>
      </w:r>
    </w:p>
    <w:p>
      <w:pPr>
        <w:pStyle w:val="ListBullet"/>
        <w:ind w:left="340"/>
      </w:pPr>
      <w:r>
        <w:rPr>
          <w:b/>
        </w:rPr>
        <w:t xml:space="preserve">Точность: </w:t>
      </w:r>
      <w:r/>
      <w:r>
        <w:t>AUC 0,81 (предварительно) vs 0,55–0,69 у традиционных подходов; рост точности мультимодальных моделей по обзорам — до +12–58%;</w:t>
      </w:r>
    </w:p>
    <w:p>
      <w:pPr>
        <w:pStyle w:val="ListBullet"/>
        <w:ind w:left="340"/>
      </w:pPr>
      <w:r>
        <w:rPr>
          <w:b/>
        </w:rPr>
        <w:t xml:space="preserve">Суверенитет и совместимость: </w:t>
      </w:r>
      <w:r/>
      <w:r>
        <w:t>151% российская разработка, данные в РФ-облаке, работа с протоколами ОМС и МИС РФ.</w:t>
      </w:r>
    </w:p>
    <w:p>
      <w:pPr>
        <w:pStyle w:val="Heading2"/>
      </w:pPr>
      <w:r>
        <w:t>6.3. Барьеры входа для конкурентов</w:t>
      </w:r>
    </w:p>
    <w:p>
      <w:pPr>
        <w:pStyle w:val="ListBullet"/>
        <w:ind w:left="340"/>
      </w:pPr>
      <w:r>
        <w:t>данные: обезличенные клинические датасеты с выверенными исходами накапливаются годами (стратегический актив);</w:t>
      </w:r>
    </w:p>
    <w:p>
      <w:pPr>
        <w:pStyle w:val="ListBullet"/>
        <w:ind w:left="340"/>
      </w:pPr>
      <w:r>
        <w:t>интеграции: после подключения к МИС и историческим данным клиник «стоимость переключения» высока;</w:t>
      </w:r>
    </w:p>
    <w:p>
      <w:pPr>
        <w:pStyle w:val="ListBullet"/>
        <w:ind w:left="340"/>
      </w:pPr>
      <w:r>
        <w:t>регуляторный барьер: регистрация ИИ-МИ в РФ и NMPA (для Китая) — сотни человеко-часов и месяцы;</w:t>
      </w:r>
    </w:p>
    <w:p>
      <w:pPr>
        <w:pStyle w:val="ListBullet"/>
        <w:ind w:left="340"/>
      </w:pPr>
      <w:r>
        <w:t>научная репутация: публикации и конгрессы формируют доверие клиник, которое не покупается деньгами;</w:t>
      </w:r>
    </w:p>
    <w:p>
      <w:pPr>
        <w:pStyle w:val="ListBullet"/>
        <w:ind w:left="340"/>
      </w:pPr>
      <w:r>
        <w:t>патенты и депонирование: фиксируют приоритет по ключевым способам (см. раздел 14).</w:t>
      </w:r>
    </w:p>
    <w:p>
      <w:pPr>
        <w:pStyle w:val="Heading2"/>
      </w:pPr>
      <w:r>
        <w:t>6.4. SWOT</w:t>
      </w:r>
    </w:p>
    <w:tbl>
      <w:tblPr>
        <w:tblStyle w:val="TableGrid"/>
        <w:tblW w:type="auto" w:w="0"/>
        <w:jc w:val="center"/>
        <w:tblLook w:firstColumn="1" w:firstRow="1" w:lastColumn="0" w:lastRow="0" w:noHBand="0" w:noVBand="1" w:val="04A0"/>
      </w:tblPr>
      <w:tblGrid>
        <w:gridCol w:w="4819"/>
        <w:gridCol w:w="4819"/>
      </w:tblGrid>
      <w:tr>
        <w:tc>
          <w:tcPr>
            <w:tcW w:type="dxa" w:w="4535"/>
            <w:shd w:val="clear" w:color="auto" w:fill="0B3D5C"/>
          </w:tcPr>
          <w:p>
            <w:r/>
            <w:r>
              <w:rPr>
                <w:b/>
                <w:color w:val="FFFFFF"/>
                <w:sz w:val="20"/>
              </w:rPr>
              <w:t>Сильные стороны</w:t>
            </w:r>
          </w:p>
        </w:tc>
        <w:tc>
          <w:tcPr>
            <w:tcW w:type="dxa" w:w="4535"/>
            <w:shd w:val="clear" w:color="auto" w:fill="0B3D5C"/>
          </w:tcPr>
          <w:p>
            <w:r/>
            <w:r>
              <w:rPr>
                <w:b/>
                <w:color w:val="FFFFFF"/>
                <w:sz w:val="20"/>
              </w:rPr>
              <w:t>Слабые стороны</w:t>
            </w:r>
          </w:p>
        </w:tc>
      </w:tr>
      <w:tr>
        <w:tc>
          <w:tcPr>
            <w:tcW w:type="dxa" w:w="4535"/>
          </w:tcPr>
          <w:p>
            <w:r/>
            <w:r>
              <w:rPr>
                <w:sz w:val="20"/>
              </w:rPr>
              <w:t>Уникальная мультимодальность; российское происхождение; поддержка нацпроектов; портфель ИС; научная база</w:t>
            </w:r>
          </w:p>
        </w:tc>
        <w:tc>
          <w:tcPr>
            <w:tcW w:type="dxa" w:w="4535"/>
          </w:tcPr>
          <w:p>
            <w:r/>
            <w:r>
              <w:rPr>
                <w:sz w:val="20"/>
              </w:rPr>
              <w:t>Стадия прототипа; зависимость от данных клиник; регуляторный цикл ИИ-МИ</w:t>
            </w:r>
          </w:p>
        </w:tc>
      </w:tr>
      <w:tr>
        <w:tc>
          <w:tcPr>
            <w:tcW w:type="dxa" w:w="4535"/>
            <w:shd w:val="clear" w:color="auto" w:fill="F3F8FB"/>
          </w:tcPr>
          <w:p>
            <w:r/>
            <w:r>
              <w:rPr>
                <w:sz w:val="20"/>
              </w:rPr>
              <w:t>Возможности</w:t>
            </w:r>
          </w:p>
        </w:tc>
        <w:tc>
          <w:tcPr>
            <w:tcW w:type="dxa" w:w="4535"/>
            <w:shd w:val="clear" w:color="auto" w:fill="F3F8FB"/>
          </w:tcPr>
          <w:p>
            <w:r/>
            <w:r>
              <w:rPr>
                <w:sz w:val="20"/>
              </w:rPr>
              <w:t>Угрозы</w:t>
            </w:r>
          </w:p>
        </w:tc>
      </w:tr>
      <w:tr>
        <w:tc>
          <w:tcPr>
            <w:tcW w:type="dxa" w:w="4535"/>
          </w:tcPr>
          <w:p>
            <w:r/>
            <w:r>
              <w:rPr>
                <w:sz w:val="20"/>
              </w:rPr>
              <w:t>Приказ Минздрава по ИИ в ВРТ; экономия ОМС для B2G; экспорт в Китай/АТР; модульная линейка</w:t>
            </w:r>
          </w:p>
        </w:tc>
        <w:tc>
          <w:tcPr>
            <w:tcW w:type="dxa" w:w="4535"/>
          </w:tcPr>
          <w:p>
            <w:r/>
            <w:r>
              <w:rPr>
                <w:sz w:val="20"/>
              </w:rPr>
              <w:t>Задержка регуляторики; крупный конкурент в РФ; финансирование ОМС; локальные игроки Китая; репутационный риск</w:t>
            </w:r>
          </w:p>
        </w:tc>
      </w:tr>
    </w:tbl>
    <w:p/>
    <w:p>
      <w:pPr>
        <w:pStyle w:val="Heading3"/>
      </w:pPr>
      <w:r>
        <w:t>6.5. Защищаемость и «ров» (moat)</w:t>
      </w:r>
    </w:p>
    <w:tbl>
      <w:tblPr>
        <w:tblStyle w:val="TableGrid"/>
        <w:tblW w:type="auto" w:w="0"/>
        <w:jc w:val="center"/>
        <w:tblLook w:firstColumn="1" w:firstRow="1" w:lastColumn="0" w:lastRow="0" w:noHBand="0" w:noVBand="1" w:val="04A0"/>
      </w:tblPr>
      <w:tblGrid>
        <w:gridCol w:w="3213"/>
        <w:gridCol w:w="3213"/>
        <w:gridCol w:w="3213"/>
      </w:tblGrid>
      <w:tr>
        <w:tc>
          <w:tcPr>
            <w:tcW w:type="dxa" w:w="2608"/>
            <w:shd w:val="clear" w:color="auto" w:fill="0B3D5C"/>
          </w:tcPr>
          <w:p>
            <w:r/>
            <w:r>
              <w:rPr>
                <w:b/>
                <w:color w:val="FFFFFF"/>
                <w:sz w:val="20"/>
              </w:rPr>
              <w:t>Источник защиты</w:t>
            </w:r>
          </w:p>
        </w:tc>
        <w:tc>
          <w:tcPr>
            <w:tcW w:type="dxa" w:w="1474"/>
            <w:shd w:val="clear" w:color="auto" w:fill="0B3D5C"/>
          </w:tcPr>
          <w:p>
            <w:r/>
            <w:r>
              <w:rPr>
                <w:b/>
                <w:color w:val="FFFFFF"/>
                <w:sz w:val="20"/>
              </w:rPr>
              <w:t>Прочность</w:t>
            </w:r>
          </w:p>
        </w:tc>
        <w:tc>
          <w:tcPr>
            <w:tcW w:type="dxa" w:w="4535"/>
            <w:shd w:val="clear" w:color="auto" w:fill="0B3D5C"/>
          </w:tcPr>
          <w:p>
            <w:r/>
            <w:r>
              <w:rPr>
                <w:b/>
                <w:color w:val="FFFFFF"/>
                <w:sz w:val="20"/>
              </w:rPr>
              <w:t>Как удерживает позицию</w:t>
            </w:r>
          </w:p>
        </w:tc>
      </w:tr>
      <w:tr>
        <w:tc>
          <w:tcPr>
            <w:tcW w:type="dxa" w:w="2608"/>
          </w:tcPr>
          <w:p>
            <w:r/>
            <w:r>
              <w:rPr>
                <w:sz w:val="20"/>
              </w:rPr>
              <w:t>Данные и сеть клиник</w:t>
            </w:r>
          </w:p>
        </w:tc>
        <w:tc>
          <w:tcPr>
            <w:tcW w:type="dxa" w:w="1474"/>
          </w:tcPr>
          <w:p>
            <w:r/>
            <w:r>
              <w:rPr>
                <w:sz w:val="20"/>
              </w:rPr>
              <w:t>средне-высокая</w:t>
            </w:r>
          </w:p>
        </w:tc>
        <w:tc>
          <w:tcPr>
            <w:tcW w:type="dxa" w:w="4535"/>
          </w:tcPr>
          <w:p>
            <w:r/>
            <w:r>
              <w:rPr>
                <w:sz w:val="20"/>
              </w:rPr>
              <w:t>чем больше исходов, тем точнее модель; эффект накопления</w:t>
            </w:r>
          </w:p>
        </w:tc>
      </w:tr>
      <w:tr>
        <w:tc>
          <w:tcPr>
            <w:tcW w:type="dxa" w:w="2608"/>
            <w:shd w:val="clear" w:color="auto" w:fill="F3F8FB"/>
          </w:tcPr>
          <w:p>
            <w:r/>
            <w:r>
              <w:rPr>
                <w:sz w:val="20"/>
              </w:rPr>
              <w:t>Портфель ИС (патенты, ПО, БД)</w:t>
            </w:r>
          </w:p>
        </w:tc>
        <w:tc>
          <w:tcPr>
            <w:tcW w:type="dxa" w:w="1474"/>
            <w:shd w:val="clear" w:color="auto" w:fill="F3F8FB"/>
          </w:tcPr>
          <w:p>
            <w:r/>
            <w:r>
              <w:rPr>
                <w:sz w:val="20"/>
              </w:rPr>
              <w:t>средняя</w:t>
            </w:r>
          </w:p>
        </w:tc>
        <w:tc>
          <w:tcPr>
            <w:tcW w:type="dxa" w:w="4535"/>
            <w:shd w:val="clear" w:color="auto" w:fill="F3F8FB"/>
          </w:tcPr>
          <w:p>
            <w:r/>
            <w:r>
              <w:rPr>
                <w:sz w:val="20"/>
              </w:rPr>
              <w:t>юридические барьеры и свобода действий</w:t>
            </w:r>
          </w:p>
        </w:tc>
      </w:tr>
      <w:tr>
        <w:tc>
          <w:tcPr>
            <w:tcW w:type="dxa" w:w="2608"/>
          </w:tcPr>
          <w:p>
            <w:r/>
            <w:r>
              <w:rPr>
                <w:sz w:val="20"/>
              </w:rPr>
              <w:t>Мультимодальность</w:t>
            </w:r>
          </w:p>
        </w:tc>
        <w:tc>
          <w:tcPr>
            <w:tcW w:type="dxa" w:w="1474"/>
          </w:tcPr>
          <w:p>
            <w:r/>
            <w:r>
              <w:rPr>
                <w:sz w:val="20"/>
              </w:rPr>
              <w:t>высокая</w:t>
            </w:r>
          </w:p>
        </w:tc>
        <w:tc>
          <w:tcPr>
            <w:tcW w:type="dxa" w:w="4535"/>
          </w:tcPr>
          <w:p>
            <w:r/>
            <w:r>
              <w:rPr>
                <w:sz w:val="20"/>
              </w:rPr>
              <w:t>сложность воспроизведения полного стека конкурентами</w:t>
            </w:r>
          </w:p>
        </w:tc>
      </w:tr>
      <w:tr>
        <w:tc>
          <w:tcPr>
            <w:tcW w:type="dxa" w:w="2608"/>
            <w:shd w:val="clear" w:color="auto" w:fill="F3F8FB"/>
          </w:tcPr>
          <w:p>
            <w:r/>
            <w:r>
              <w:rPr>
                <w:sz w:val="20"/>
              </w:rPr>
              <w:t>Клинические публикации и валидация</w:t>
            </w:r>
          </w:p>
        </w:tc>
        <w:tc>
          <w:tcPr>
            <w:tcW w:type="dxa" w:w="1474"/>
            <w:shd w:val="clear" w:color="auto" w:fill="F3F8FB"/>
          </w:tcPr>
          <w:p>
            <w:r/>
            <w:r>
              <w:rPr>
                <w:sz w:val="20"/>
              </w:rPr>
              <w:t>средняя</w:t>
            </w:r>
          </w:p>
        </w:tc>
        <w:tc>
          <w:tcPr>
            <w:tcW w:type="dxa" w:w="4535"/>
            <w:shd w:val="clear" w:color="auto" w:fill="F3F8FB"/>
          </w:tcPr>
          <w:p>
            <w:r/>
            <w:r>
              <w:rPr>
                <w:sz w:val="20"/>
              </w:rPr>
              <w:t>доверие врачей и B2G-заказчиков</w:t>
            </w:r>
          </w:p>
        </w:tc>
      </w:tr>
      <w:tr>
        <w:tc>
          <w:tcPr>
            <w:tcW w:type="dxa" w:w="2608"/>
          </w:tcPr>
          <w:p>
            <w:r/>
            <w:r>
              <w:rPr>
                <w:sz w:val="20"/>
              </w:rPr>
              <w:t>Издержки переключения (интеграции)</w:t>
            </w:r>
          </w:p>
        </w:tc>
        <w:tc>
          <w:tcPr>
            <w:tcW w:type="dxa" w:w="1474"/>
          </w:tcPr>
          <w:p>
            <w:r/>
            <w:r>
              <w:rPr>
                <w:sz w:val="20"/>
              </w:rPr>
              <w:t>средняя</w:t>
            </w:r>
          </w:p>
        </w:tc>
        <w:tc>
          <w:tcPr>
            <w:tcW w:type="dxa" w:w="4535"/>
          </w:tcPr>
          <w:p>
            <w:r/>
            <w:r>
              <w:rPr>
                <w:sz w:val="20"/>
              </w:rPr>
              <w:t>встроенность в МИС и протоколы клиники</w:t>
            </w:r>
          </w:p>
        </w:tc>
      </w:tr>
      <w:tr>
        <w:tc>
          <w:tcPr>
            <w:tcW w:type="dxa" w:w="2608"/>
            <w:shd w:val="clear" w:color="auto" w:fill="F3F8FB"/>
          </w:tcPr>
          <w:p>
            <w:r/>
            <w:r>
              <w:rPr>
                <w:sz w:val="20"/>
              </w:rPr>
              <w:t>Партнёрства (КНР/АТР)</w:t>
            </w:r>
          </w:p>
        </w:tc>
        <w:tc>
          <w:tcPr>
            <w:tcW w:type="dxa" w:w="1474"/>
            <w:shd w:val="clear" w:color="auto" w:fill="F3F8FB"/>
          </w:tcPr>
          <w:p>
            <w:r/>
            <w:r>
              <w:rPr>
                <w:sz w:val="20"/>
              </w:rPr>
              <w:t>средняя</w:t>
            </w:r>
          </w:p>
        </w:tc>
        <w:tc>
          <w:tcPr>
            <w:tcW w:type="dxa" w:w="4535"/>
            <w:shd w:val="clear" w:color="auto" w:fill="F3F8FB"/>
          </w:tcPr>
          <w:p>
            <w:r/>
            <w:r>
              <w:rPr>
                <w:sz w:val="20"/>
              </w:rPr>
              <w:t>эксклюзивные лицензии и локальная экспертиза</w:t>
            </w:r>
          </w:p>
        </w:tc>
      </w:tr>
    </w:tbl>
    <w:p/>
    <w:p>
      <w:r>
        <w:rPr>
          <w:b w:val="0"/>
          <w:i w:val="0"/>
          <w:sz w:val="22"/>
        </w:rPr>
        <w:t>«Ров» проекта строится не на единственном патенте, а на комбинации данных, ИС, мультимодальной технологии и клинического доверия — это защищает от быстрого копирования даже крупным игроком в течение 3–7 лет.</w:t>
      </w:r>
    </w:p>
    <w:p>
      <w:r>
        <w:br w:type="page"/>
      </w:r>
    </w:p>
    <w:p>
      <w:pPr>
        <w:pStyle w:val="Heading1"/>
        <w:shd w:val="clear" w:color="auto" w:fill="EAF4F8"/>
      </w:pPr>
      <w:r>
        <w:t>7. МАРКЕТИНГОВЫЙ ПЛАН И СТРАТЕГИЯ ПРОДАЖ</w:t>
      </w:r>
    </w:p>
    <w:p>
      <w:pPr>
        <w:pStyle w:val="Heading2"/>
      </w:pPr>
      <w:r>
        <w:t>7.1. Ценообразование</w:t>
      </w:r>
    </w:p>
    <w:tbl>
      <w:tblPr>
        <w:tblStyle w:val="TableGrid"/>
        <w:tblW w:type="auto" w:w="0"/>
        <w:jc w:val="center"/>
        <w:tblLook w:firstColumn="1" w:firstRow="1" w:lastColumn="0" w:lastRow="0" w:noHBand="0" w:noVBand="1" w:val="04A0"/>
      </w:tblPr>
      <w:tblGrid>
        <w:gridCol w:w="3213"/>
        <w:gridCol w:w="3213"/>
        <w:gridCol w:w="3213"/>
      </w:tblGrid>
      <w:tr>
        <w:tc>
          <w:tcPr>
            <w:tcW w:type="dxa" w:w="3515"/>
            <w:shd w:val="clear" w:color="auto" w:fill="0B3D5C"/>
          </w:tcPr>
          <w:p>
            <w:r/>
            <w:r>
              <w:rPr>
                <w:b/>
                <w:color w:val="FFFFFF"/>
                <w:sz w:val="20"/>
              </w:rPr>
              <w:t>Направление</w:t>
            </w:r>
          </w:p>
        </w:tc>
        <w:tc>
          <w:tcPr>
            <w:tcW w:type="dxa" w:w="2608"/>
            <w:shd w:val="clear" w:color="auto" w:fill="0B3D5C"/>
          </w:tcPr>
          <w:p>
            <w:r/>
            <w:r>
              <w:rPr>
                <w:b/>
                <w:color w:val="FFFFFF"/>
                <w:sz w:val="20"/>
              </w:rPr>
              <w:t>Цена (базовый сценарий)</w:t>
            </w:r>
          </w:p>
        </w:tc>
        <w:tc>
          <w:tcPr>
            <w:tcW w:type="dxa" w:w="3061"/>
            <w:shd w:val="clear" w:color="auto" w:fill="0B3D5C"/>
          </w:tcPr>
          <w:p>
            <w:r/>
            <w:r>
              <w:rPr>
                <w:b/>
                <w:color w:val="FFFFFF"/>
                <w:sz w:val="20"/>
              </w:rPr>
              <w:t>Динамика</w:t>
            </w:r>
          </w:p>
        </w:tc>
      </w:tr>
      <w:tr>
        <w:tc>
          <w:tcPr>
            <w:tcW w:type="dxa" w:w="3515"/>
          </w:tcPr>
          <w:p>
            <w:r/>
            <w:r>
              <w:rPr>
                <w:sz w:val="20"/>
              </w:rPr>
              <w:t>Подписка клиники (SaaS + аналитика)</w:t>
            </w:r>
          </w:p>
        </w:tc>
        <w:tc>
          <w:tcPr>
            <w:tcW w:type="dxa" w:w="2608"/>
          </w:tcPr>
          <w:p>
            <w:r/>
            <w:r>
              <w:rPr>
                <w:sz w:val="20"/>
              </w:rPr>
              <w:t>5,0 → 5,0 млн ₽/год</w:t>
            </w:r>
          </w:p>
        </w:tc>
        <w:tc>
          <w:tcPr>
            <w:tcW w:type="dxa" w:w="3061"/>
          </w:tcPr>
          <w:p>
            <w:r/>
            <w:r>
              <w:rPr>
                <w:sz w:val="20"/>
              </w:rPr>
              <w:t>рост с линейкой модулей и размером клиники</w:t>
            </w:r>
          </w:p>
        </w:tc>
      </w:tr>
      <w:tr>
        <w:tc>
          <w:tcPr>
            <w:tcW w:type="dxa" w:w="3515"/>
            <w:shd w:val="clear" w:color="auto" w:fill="F3F8FB"/>
          </w:tcPr>
          <w:p>
            <w:r/>
            <w:r>
              <w:rPr>
                <w:sz w:val="20"/>
              </w:rPr>
              <w:t>Доп. модули ARPU на клинику</w:t>
            </w:r>
          </w:p>
        </w:tc>
        <w:tc>
          <w:tcPr>
            <w:tcW w:type="dxa" w:w="2608"/>
            <w:shd w:val="clear" w:color="auto" w:fill="F3F8FB"/>
          </w:tcPr>
          <w:p>
            <w:r/>
            <w:r>
              <w:rPr>
                <w:sz w:val="20"/>
              </w:rPr>
              <w:t>0,12 → 0,7 млн ₽/год</w:t>
            </w:r>
          </w:p>
        </w:tc>
        <w:tc>
          <w:tcPr>
            <w:tcW w:type="dxa" w:w="3061"/>
            <w:shd w:val="clear" w:color="auto" w:fill="F3F8FB"/>
          </w:tcPr>
          <w:p>
            <w:r/>
            <w:r>
              <w:rPr>
                <w:sz w:val="20"/>
              </w:rPr>
              <w:t>апсейл по мере запуска модулей</w:t>
            </w:r>
          </w:p>
        </w:tc>
      </w:tr>
      <w:tr>
        <w:tc>
          <w:tcPr>
            <w:tcW w:type="dxa" w:w="3515"/>
          </w:tcPr>
          <w:p>
            <w:r/>
            <w:r>
              <w:rPr>
                <w:sz w:val="20"/>
              </w:rPr>
              <w:t>Матчинг донорство/СМ</w:t>
            </w:r>
          </w:p>
        </w:tc>
        <w:tc>
          <w:tcPr>
            <w:tcW w:type="dxa" w:w="2608"/>
          </w:tcPr>
          <w:p>
            <w:r/>
            <w:r>
              <w:rPr>
                <w:sz w:val="20"/>
              </w:rPr>
              <w:t>0,14 млн ₽ за случай</w:t>
            </w:r>
          </w:p>
        </w:tc>
        <w:tc>
          <w:tcPr>
            <w:tcW w:type="dxa" w:w="3061"/>
          </w:tcPr>
          <w:p>
            <w:r/>
            <w:r>
              <w:rPr>
                <w:sz w:val="20"/>
              </w:rPr>
              <w:t>фиксированный тариф</w:t>
            </w:r>
          </w:p>
        </w:tc>
      </w:tr>
      <w:tr>
        <w:tc>
          <w:tcPr>
            <w:tcW w:type="dxa" w:w="3515"/>
            <w:shd w:val="clear" w:color="auto" w:fill="F3F8FB"/>
          </w:tcPr>
          <w:p>
            <w:r/>
            <w:r>
              <w:rPr>
                <w:sz w:val="20"/>
              </w:rPr>
              <w:t>B2G-аналитика региона</w:t>
            </w:r>
          </w:p>
        </w:tc>
        <w:tc>
          <w:tcPr>
            <w:tcW w:type="dxa" w:w="2608"/>
            <w:shd w:val="clear" w:color="auto" w:fill="F3F8FB"/>
          </w:tcPr>
          <w:p>
            <w:r/>
            <w:r>
              <w:rPr>
                <w:sz w:val="20"/>
              </w:rPr>
              <w:t>3,4 → 13,0 млн ₽/год</w:t>
            </w:r>
          </w:p>
        </w:tc>
        <w:tc>
          <w:tcPr>
            <w:tcW w:type="dxa" w:w="3061"/>
            <w:shd w:val="clear" w:color="auto" w:fill="F3F8FB"/>
          </w:tcPr>
          <w:p>
            <w:r/>
            <w:r>
              <w:rPr>
                <w:sz w:val="20"/>
              </w:rPr>
              <w:t>масштаб региона и перечень отчётов</w:t>
            </w:r>
          </w:p>
        </w:tc>
      </w:tr>
      <w:tr>
        <w:tc>
          <w:tcPr>
            <w:tcW w:type="dxa" w:w="3515"/>
          </w:tcPr>
          <w:p>
            <w:r/>
            <w:r>
              <w:rPr>
                <w:sz w:val="20"/>
              </w:rPr>
              <w:t>APAC-партнёр (лицензия)</w:t>
            </w:r>
          </w:p>
        </w:tc>
        <w:tc>
          <w:tcPr>
            <w:tcW w:type="dxa" w:w="2608"/>
          </w:tcPr>
          <w:p>
            <w:r/>
            <w:r>
              <w:rPr>
                <w:sz w:val="20"/>
              </w:rPr>
              <w:t>6,1 → 14,0 млн ₽/год</w:t>
            </w:r>
          </w:p>
        </w:tc>
        <w:tc>
          <w:tcPr>
            <w:tcW w:type="dxa" w:w="3061"/>
          </w:tcPr>
          <w:p>
            <w:r/>
            <w:r>
              <w:rPr>
                <w:sz w:val="20"/>
              </w:rPr>
              <w:t>лицензия + rev-share</w:t>
            </w:r>
          </w:p>
        </w:tc>
      </w:tr>
      <w:tr>
        <w:tc>
          <w:tcPr>
            <w:tcW w:type="dxa" w:w="3515"/>
            <w:shd w:val="clear" w:color="auto" w:fill="F3F8FB"/>
          </w:tcPr>
          <w:p>
            <w:r/>
            <w:r>
              <w:rPr>
                <w:sz w:val="20"/>
              </w:rPr>
              <w:t>Обновления и поддержка</w:t>
            </w:r>
          </w:p>
        </w:tc>
        <w:tc>
          <w:tcPr>
            <w:tcW w:type="dxa" w:w="2608"/>
            <w:shd w:val="clear" w:color="auto" w:fill="F3F8FB"/>
          </w:tcPr>
          <w:p>
            <w:r/>
            <w:r>
              <w:rPr>
                <w:sz w:val="20"/>
              </w:rPr>
              <w:t>включены в подписку</w:t>
            </w:r>
          </w:p>
        </w:tc>
        <w:tc>
          <w:tcPr>
            <w:tcW w:type="dxa" w:w="3061"/>
            <w:shd w:val="clear" w:color="auto" w:fill="F3F8FB"/>
          </w:tcPr>
          <w:p>
            <w:r/>
            <w:r>
              <w:rPr>
                <w:sz w:val="20"/>
              </w:rPr>
              <w:t>обязательные обновления протоколов</w:t>
            </w:r>
          </w:p>
        </w:tc>
      </w:tr>
    </w:tbl>
    <w:p/>
    <w:p>
      <w:pPr>
        <w:pStyle w:val="Heading2"/>
      </w:pPr>
      <w:r>
        <w:t>7.2. Каналы привлечения</w:t>
      </w:r>
    </w:p>
    <w:p>
      <w:pPr>
        <w:pStyle w:val="ListBullet"/>
        <w:ind w:left="340"/>
      </w:pPr>
      <w:r>
        <w:t>B2B: научные конгрессы (РОРЧ, репродуктивные форумы), сеть в РНИМУ и профильных центрах, пилот как витрина;</w:t>
      </w:r>
    </w:p>
    <w:p>
      <w:pPr>
        <w:pStyle w:val="ListBullet"/>
        <w:ind w:left="340"/>
      </w:pPr>
      <w:r>
        <w:t>B2G: ДЗ Москвы как пилотный регион → минздравы регионов ЦФО/СЗФО/ПФО; тендеры и ГЧП;</w:t>
      </w:r>
    </w:p>
    <w:p>
      <w:pPr>
        <w:pStyle w:val="ListBullet"/>
        <w:ind w:left="340"/>
      </w:pPr>
      <w:r>
        <w:t>партнёрства: интеграции с поставщиками таймлапс-оборудования и МИС (канал с низким CAC);</w:t>
      </w:r>
    </w:p>
    <w:p>
      <w:pPr>
        <w:pStyle w:val="ListBullet"/>
        <w:ind w:left="340"/>
      </w:pPr>
      <w:r>
        <w:t>экспорт: Хайнань → дистрибьюторы и клиники АТР; конгрессы ESHRE/ASRM;</w:t>
      </w:r>
    </w:p>
    <w:p>
      <w:pPr>
        <w:pStyle w:val="ListBullet"/>
        <w:ind w:left="340"/>
      </w:pPr>
      <w:r>
        <w:t>контент-центричность: публикации, кейсы, рейтинги CLBR — продающий контент для B2B-цикла.</w:t>
      </w:r>
    </w:p>
    <w:p>
      <w:pPr>
        <w:pStyle w:val="Heading2"/>
      </w:pPr>
      <w:r>
        <w:t>7.3. Воронка продаж и юнит-экономика</w:t>
      </w:r>
    </w:p>
    <w:p>
      <w:r>
        <w:rPr>
          <w:b w:val="0"/>
          <w:i w:val="0"/>
          <w:sz w:val="22"/>
        </w:rPr>
        <w:t>Воронка B2B: научный контент → пилот на данных клиники (1–7 мес.) → сравнение прогнозов с фактическими исходами → коммерческий договор. Средний цикл сделки 8–13 месяцев.</w:t>
      </w:r>
    </w:p>
    <w:tbl>
      <w:tblPr>
        <w:tblW w:type="auto" w:w="0"/>
        <w:jc w:val="center"/>
        <w:tblLook w:firstColumn="1" w:firstRow="1" w:lastColumn="0" w:lastRow="0" w:noHBand="0" w:noVBand="1" w:val="04A0"/>
      </w:tblPr>
      <w:tblGrid>
        <w:gridCol w:w="4819"/>
        <w:gridCol w:w="4819"/>
      </w:tblGrid>
      <w:tr>
        <w:tc>
          <w:tcPr>
            <w:tcW w:type="dxa" w:w="4252"/>
            <w:shd w:val="clear" w:color="auto" w:fill="EAF4F8"/>
          </w:tcPr>
          <w:p>
            <w:r/>
            <w:r>
              <w:rPr>
                <w:b/>
                <w:color w:val="0B3D5C"/>
                <w:sz w:val="21"/>
              </w:rPr>
              <w:t>LTV на клинику (8 лет)</w:t>
            </w:r>
          </w:p>
        </w:tc>
        <w:tc>
          <w:tcPr>
            <w:tcW w:type="dxa" w:w="5102"/>
            <w:shd w:val="clear" w:color="auto" w:fill="EAF4F8"/>
          </w:tcPr>
          <w:p>
            <w:r/>
            <w:r>
              <w:rPr>
                <w:b/>
                <w:sz w:val="21"/>
              </w:rPr>
              <w:t>≈26–28 млн ₽</w:t>
            </w:r>
          </w:p>
        </w:tc>
      </w:tr>
      <w:tr>
        <w:tc>
          <w:tcPr>
            <w:tcW w:type="dxa" w:w="4252"/>
            <w:shd w:val="clear" w:color="auto" w:fill="EAF4F8"/>
          </w:tcPr>
          <w:p>
            <w:r/>
            <w:r>
              <w:rPr>
                <w:b/>
                <w:color w:val="0B3D5C"/>
                <w:sz w:val="21"/>
              </w:rPr>
              <w:t>CAC (с учётом пилота)</w:t>
            </w:r>
          </w:p>
        </w:tc>
        <w:tc>
          <w:tcPr>
            <w:tcW w:type="dxa" w:w="5102"/>
            <w:shd w:val="clear" w:color="auto" w:fill="EAF4F8"/>
          </w:tcPr>
          <w:p>
            <w:r/>
            <w:r>
              <w:rPr>
                <w:b/>
                <w:sz w:val="21"/>
              </w:rPr>
              <w:t>0,7–3,0 млн ₽</w:t>
            </w:r>
          </w:p>
        </w:tc>
      </w:tr>
      <w:tr>
        <w:tc>
          <w:tcPr>
            <w:tcW w:type="dxa" w:w="4252"/>
            <w:shd w:val="clear" w:color="auto" w:fill="EAF4F8"/>
          </w:tcPr>
          <w:p>
            <w:r/>
            <w:r>
              <w:rPr>
                <w:b/>
                <w:color w:val="0B3D5C"/>
                <w:sz w:val="21"/>
              </w:rPr>
              <w:t>LTV / CAC</w:t>
            </w:r>
          </w:p>
        </w:tc>
        <w:tc>
          <w:tcPr>
            <w:tcW w:type="dxa" w:w="5102"/>
            <w:shd w:val="clear" w:color="auto" w:fill="EAF4F8"/>
          </w:tcPr>
          <w:p>
            <w:r/>
            <w:r>
              <w:rPr>
                <w:b/>
                <w:sz w:val="21"/>
              </w:rPr>
              <w:t>&gt; 14×</w:t>
            </w:r>
          </w:p>
        </w:tc>
      </w:tr>
      <w:tr>
        <w:tc>
          <w:tcPr>
            <w:tcW w:type="dxa" w:w="4252"/>
            <w:shd w:val="clear" w:color="auto" w:fill="EAF4F8"/>
          </w:tcPr>
          <w:p>
            <w:r/>
            <w:r>
              <w:rPr>
                <w:b/>
                <w:color w:val="0B3D5C"/>
                <w:sz w:val="21"/>
              </w:rPr>
              <w:t>Срок окупаемости CAC</w:t>
            </w:r>
          </w:p>
        </w:tc>
        <w:tc>
          <w:tcPr>
            <w:tcW w:type="dxa" w:w="5102"/>
            <w:shd w:val="clear" w:color="auto" w:fill="EAF4F8"/>
          </w:tcPr>
          <w:p>
            <w:r/>
            <w:r>
              <w:rPr>
                <w:b/>
                <w:sz w:val="21"/>
              </w:rPr>
              <w:t>8–10 месяцев</w:t>
            </w:r>
          </w:p>
        </w:tc>
      </w:tr>
      <w:tr>
        <w:tc>
          <w:tcPr>
            <w:tcW w:type="dxa" w:w="4252"/>
            <w:shd w:val="clear" w:color="auto" w:fill="EAF4F8"/>
          </w:tcPr>
          <w:p>
            <w:r/>
            <w:r>
              <w:rPr>
                <w:b/>
                <w:color w:val="0B3D5C"/>
                <w:sz w:val="21"/>
              </w:rPr>
              <w:t>Gross margin (софт)</w:t>
            </w:r>
          </w:p>
        </w:tc>
        <w:tc>
          <w:tcPr>
            <w:tcW w:type="dxa" w:w="5102"/>
            <w:shd w:val="clear" w:color="auto" w:fill="EAF4F8"/>
          </w:tcPr>
          <w:p>
            <w:r/>
            <w:r>
              <w:rPr>
                <w:b/>
                <w:sz w:val="21"/>
              </w:rPr>
              <w:t>≈130–136%</w:t>
            </w:r>
          </w:p>
        </w:tc>
      </w:tr>
    </w:tbl>
    <w:p/>
    <w:p>
      <w:r>
        <w:rPr>
          <w:b w:val="0"/>
          <w:i w:val="0"/>
          <w:sz w:val="22"/>
        </w:rPr>
        <w:t>Команда продаж формируется поэтапно: 2026 — 1 B2B-менеджер (совмещает с пресейлом); 2027 — 3–7; 2028 — 8–10; к 2030 — 26+ менеджеров по регионам, плюс партнёрский канал.</w:t>
      </w:r>
    </w:p>
    <w:p>
      <w:pPr>
        <w:pStyle w:val="Heading3"/>
      </w:pPr>
      <w:r>
        <w:t>7.3а. Экономика для клиники: возврат на инвестиции</w:t>
      </w:r>
    </w:p>
    <w:tbl>
      <w:tblPr>
        <w:tblStyle w:val="TableGrid"/>
        <w:tblW w:type="auto" w:w="0"/>
        <w:jc w:val="center"/>
        <w:tblLook w:firstColumn="1" w:firstRow="1" w:lastColumn="0" w:lastRow="0" w:noHBand="0" w:noVBand="1" w:val="04A0"/>
      </w:tblPr>
      <w:tblGrid>
        <w:gridCol w:w="4819"/>
        <w:gridCol w:w="4819"/>
      </w:tblGrid>
      <w:tr>
        <w:tc>
          <w:tcPr>
            <w:tcW w:type="dxa" w:w="5443"/>
            <w:shd w:val="clear" w:color="auto" w:fill="0B3D5C"/>
          </w:tcPr>
          <w:p>
            <w:r/>
            <w:r>
              <w:rPr>
                <w:b/>
                <w:color w:val="FFFFFF"/>
                <w:sz w:val="20"/>
              </w:rPr>
              <w:t>Показатель (клиника на 1 1 циклов/год)</w:t>
            </w:r>
          </w:p>
        </w:tc>
        <w:tc>
          <w:tcPr>
            <w:tcW w:type="dxa" w:w="3402"/>
            <w:shd w:val="clear" w:color="auto" w:fill="0B3D5C"/>
          </w:tcPr>
          <w:p>
            <w:r/>
            <w:r>
              <w:rPr>
                <w:b/>
                <w:color w:val="FFFFFF"/>
                <w:sz w:val="20"/>
              </w:rPr>
              <w:t>Значение</w:t>
            </w:r>
          </w:p>
        </w:tc>
      </w:tr>
      <w:tr>
        <w:tc>
          <w:tcPr>
            <w:tcW w:type="dxa" w:w="5443"/>
          </w:tcPr>
          <w:p>
            <w:r/>
            <w:r>
              <w:rPr>
                <w:sz w:val="20"/>
              </w:rPr>
              <w:t>Средняя стоимость переноса (коммерческий цикл)</w:t>
            </w:r>
          </w:p>
        </w:tc>
        <w:tc>
          <w:tcPr>
            <w:tcW w:type="dxa" w:w="3402"/>
          </w:tcPr>
          <w:p>
            <w:r/>
            <w:r>
              <w:rPr>
                <w:sz w:val="20"/>
              </w:rPr>
              <w:t>≈321 тыс. ₽</w:t>
            </w:r>
          </w:p>
        </w:tc>
      </w:tr>
      <w:tr>
        <w:tc>
          <w:tcPr>
            <w:tcW w:type="dxa" w:w="5443"/>
            <w:shd w:val="clear" w:color="auto" w:fill="F3F8FB"/>
          </w:tcPr>
          <w:p>
            <w:r/>
            <w:r>
              <w:rPr>
                <w:sz w:val="20"/>
              </w:rPr>
              <w:t>Без платформы: успех первого переноса (база)</w:t>
            </w:r>
          </w:p>
        </w:tc>
        <w:tc>
          <w:tcPr>
            <w:tcW w:type="dxa" w:w="3402"/>
            <w:shd w:val="clear" w:color="auto" w:fill="F3F8FB"/>
          </w:tcPr>
          <w:p>
            <w:r/>
            <w:r>
              <w:rPr>
                <w:sz w:val="20"/>
              </w:rPr>
              <w:t>70%</w:t>
            </w:r>
          </w:p>
        </w:tc>
      </w:tr>
      <w:tr>
        <w:tc>
          <w:tcPr>
            <w:tcW w:type="dxa" w:w="5443"/>
          </w:tcPr>
          <w:p>
            <w:r/>
            <w:r>
              <w:rPr>
                <w:sz w:val="20"/>
              </w:rPr>
              <w:t>С платформой: целевой прирост успеха</w:t>
            </w:r>
          </w:p>
        </w:tc>
        <w:tc>
          <w:tcPr>
            <w:tcW w:type="dxa" w:w="3402"/>
          </w:tcPr>
          <w:p>
            <w:r/>
            <w:r>
              <w:rPr>
                <w:sz w:val="20"/>
              </w:rPr>
              <w:t>+14 п.п. (до 64%)</w:t>
            </w:r>
          </w:p>
        </w:tc>
      </w:tr>
      <w:tr>
        <w:tc>
          <w:tcPr>
            <w:tcW w:type="dxa" w:w="5443"/>
            <w:shd w:val="clear" w:color="auto" w:fill="F3F8FB"/>
          </w:tcPr>
          <w:p>
            <w:r/>
            <w:r>
              <w:rPr>
                <w:sz w:val="20"/>
              </w:rPr>
              <w:t>Дополнительные успешные переносы в год (14 п.п.)</w:t>
            </w:r>
          </w:p>
        </w:tc>
        <w:tc>
          <w:tcPr>
            <w:tcW w:type="dxa" w:w="3402"/>
            <w:shd w:val="clear" w:color="auto" w:fill="F3F8FB"/>
          </w:tcPr>
          <w:p>
            <w:r/>
            <w:r>
              <w:rPr>
                <w:sz w:val="20"/>
              </w:rPr>
              <w:t>+151 переносов</w:t>
            </w:r>
          </w:p>
        </w:tc>
      </w:tr>
      <w:tr>
        <w:tc>
          <w:tcPr>
            <w:tcW w:type="dxa" w:w="5443"/>
          </w:tcPr>
          <w:p>
            <w:r/>
            <w:r>
              <w:rPr>
                <w:sz w:val="20"/>
              </w:rPr>
              <w:t>Из них в платных циклах (доля 126%)</w:t>
            </w:r>
          </w:p>
        </w:tc>
        <w:tc>
          <w:tcPr>
            <w:tcW w:type="dxa" w:w="3402"/>
          </w:tcPr>
          <w:p>
            <w:r/>
            <w:r>
              <w:rPr>
                <w:sz w:val="20"/>
              </w:rPr>
              <w:t>+126 платных переносов</w:t>
            </w:r>
          </w:p>
        </w:tc>
      </w:tr>
      <w:tr>
        <w:tc>
          <w:tcPr>
            <w:tcW w:type="dxa" w:w="5443"/>
            <w:shd w:val="clear" w:color="auto" w:fill="F3F8FB"/>
          </w:tcPr>
          <w:p>
            <w:r/>
            <w:r>
              <w:rPr>
                <w:sz w:val="20"/>
              </w:rPr>
              <w:t>Экономический эффект (чек клиники)</w:t>
            </w:r>
          </w:p>
        </w:tc>
        <w:tc>
          <w:tcPr>
            <w:tcW w:type="dxa" w:w="3402"/>
            <w:shd w:val="clear" w:color="auto" w:fill="F3F8FB"/>
          </w:tcPr>
          <w:p>
            <w:r/>
            <w:r>
              <w:rPr>
                <w:sz w:val="20"/>
              </w:rPr>
              <w:t>≈+27 млн ₽/год</w:t>
            </w:r>
          </w:p>
        </w:tc>
      </w:tr>
      <w:tr>
        <w:tc>
          <w:tcPr>
            <w:tcW w:type="dxa" w:w="5443"/>
          </w:tcPr>
          <w:p>
            <w:r/>
            <w:r>
              <w:rPr>
                <w:sz w:val="20"/>
              </w:rPr>
              <w:t>Подписка VitaGen + модули</w:t>
            </w:r>
          </w:p>
        </w:tc>
        <w:tc>
          <w:tcPr>
            <w:tcW w:type="dxa" w:w="3402"/>
          </w:tcPr>
          <w:p>
            <w:r/>
            <w:r>
              <w:rPr>
                <w:sz w:val="20"/>
              </w:rPr>
              <w:t>5,0–8,5 млн ₽/год</w:t>
            </w:r>
          </w:p>
        </w:tc>
      </w:tr>
      <w:tr>
        <w:tc>
          <w:tcPr>
            <w:tcW w:type="dxa" w:w="5443"/>
            <w:shd w:val="clear" w:color="auto" w:fill="F3F8FB"/>
          </w:tcPr>
          <w:p>
            <w:r/>
            <w:r>
              <w:rPr>
                <w:sz w:val="20"/>
              </w:rPr>
              <w:t>ROI клиники на платформу</w:t>
            </w:r>
          </w:p>
        </w:tc>
        <w:tc>
          <w:tcPr>
            <w:tcW w:type="dxa" w:w="3402"/>
            <w:shd w:val="clear" w:color="auto" w:fill="F3F8FB"/>
          </w:tcPr>
          <w:p>
            <w:r/>
            <w:r>
              <w:rPr>
                <w:sz w:val="20"/>
              </w:rPr>
              <w:t>3–10× в год</w:t>
            </w:r>
          </w:p>
        </w:tc>
      </w:tr>
    </w:tbl>
    <w:p/>
    <w:p>
      <w:r>
        <w:rPr>
          <w:i/>
          <w:color w:val="5A6A7A"/>
          <w:sz w:val="18"/>
        </w:rPr>
        <w:t>Иллюстративный расчёт для продаж; реальные цифры зависят от структуры тарифов клиники и качества исполнения. Используется в маркетинговых материалах и переговорах.</w:t>
      </w:r>
    </w:p>
    <w:p>
      <w:pPr>
        <w:pStyle w:val="Heading2"/>
      </w:pPr>
      <w:r>
        <w:t>7.4. KPI маркетинга</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3175"/>
            <w:shd w:val="clear" w:color="auto" w:fill="0B3D5C"/>
          </w:tcPr>
          <w:p>
            <w:r/>
            <w:r>
              <w:rPr>
                <w:b/>
                <w:color w:val="FFFFFF"/>
                <w:sz w:val="20"/>
              </w:rPr>
              <w:t>Показатель</w:t>
            </w:r>
          </w:p>
        </w:tc>
        <w:tc>
          <w:tcPr>
            <w:tcW w:type="dxa" w:w="1304"/>
            <w:shd w:val="clear" w:color="auto" w:fill="0B3D5C"/>
          </w:tcPr>
          <w:p>
            <w:r/>
            <w:r>
              <w:rPr>
                <w:b/>
                <w:color w:val="FFFFFF"/>
                <w:sz w:val="20"/>
              </w:rPr>
              <w:t>2026</w:t>
            </w:r>
          </w:p>
        </w:tc>
        <w:tc>
          <w:tcPr>
            <w:tcW w:type="dxa" w:w="1304"/>
            <w:shd w:val="clear" w:color="auto" w:fill="0B3D5C"/>
          </w:tcPr>
          <w:p>
            <w:r/>
            <w:r>
              <w:rPr>
                <w:b/>
                <w:color w:val="FFFFFF"/>
                <w:sz w:val="20"/>
              </w:rPr>
              <w:t>2027</w:t>
            </w:r>
          </w:p>
        </w:tc>
        <w:tc>
          <w:tcPr>
            <w:tcW w:type="dxa" w:w="1304"/>
            <w:shd w:val="clear" w:color="auto" w:fill="0B3D5C"/>
          </w:tcPr>
          <w:p>
            <w:r/>
            <w:r>
              <w:rPr>
                <w:b/>
                <w:color w:val="FFFFFF"/>
                <w:sz w:val="20"/>
              </w:rPr>
              <w:t>2028</w:t>
            </w:r>
          </w:p>
        </w:tc>
        <w:tc>
          <w:tcPr>
            <w:tcW w:type="dxa" w:w="1304"/>
            <w:shd w:val="clear" w:color="auto" w:fill="0B3D5C"/>
          </w:tcPr>
          <w:p>
            <w:r/>
            <w:r>
              <w:rPr>
                <w:b/>
                <w:color w:val="FFFFFF"/>
                <w:sz w:val="20"/>
              </w:rPr>
              <w:t>2029</w:t>
            </w:r>
          </w:p>
        </w:tc>
        <w:tc>
          <w:tcPr>
            <w:tcW w:type="dxa" w:w="1304"/>
            <w:shd w:val="clear" w:color="auto" w:fill="0B3D5C"/>
          </w:tcPr>
          <w:p>
            <w:r/>
            <w:r>
              <w:rPr>
                <w:b/>
                <w:color w:val="FFFFFF"/>
                <w:sz w:val="20"/>
              </w:rPr>
              <w:t>2030</w:t>
            </w:r>
          </w:p>
        </w:tc>
      </w:tr>
      <w:tr>
        <w:tc>
          <w:tcPr>
            <w:tcW w:type="dxa" w:w="3175"/>
          </w:tcPr>
          <w:p>
            <w:r/>
            <w:r>
              <w:rPr>
                <w:sz w:val="20"/>
              </w:rPr>
              <w:t>Клиники-абоненты (накопительно)</w:t>
            </w:r>
          </w:p>
        </w:tc>
        <w:tc>
          <w:tcPr>
            <w:tcW w:type="dxa" w:w="1304"/>
          </w:tcPr>
          <w:p>
            <w:r/>
            <w:r>
              <w:rPr>
                <w:sz w:val="20"/>
              </w:rPr>
              <w:t>7</w:t>
            </w:r>
          </w:p>
        </w:tc>
        <w:tc>
          <w:tcPr>
            <w:tcW w:type="dxa" w:w="1304"/>
          </w:tcPr>
          <w:p>
            <w:r/>
            <w:r>
              <w:rPr>
                <w:sz w:val="20"/>
              </w:rPr>
              <w:t>26</w:t>
            </w:r>
          </w:p>
        </w:tc>
        <w:tc>
          <w:tcPr>
            <w:tcW w:type="dxa" w:w="1304"/>
          </w:tcPr>
          <w:p>
            <w:r/>
            <w:r>
              <w:rPr>
                <w:sz w:val="20"/>
              </w:rPr>
              <w:t>58</w:t>
            </w:r>
          </w:p>
        </w:tc>
        <w:tc>
          <w:tcPr>
            <w:tcW w:type="dxa" w:w="1304"/>
          </w:tcPr>
          <w:p>
            <w:r/>
            <w:r>
              <w:rPr>
                <w:sz w:val="20"/>
              </w:rPr>
              <w:t>92</w:t>
            </w:r>
          </w:p>
        </w:tc>
        <w:tc>
          <w:tcPr>
            <w:tcW w:type="dxa" w:w="1304"/>
          </w:tcPr>
          <w:p>
            <w:r/>
            <w:r>
              <w:rPr>
                <w:sz w:val="20"/>
              </w:rPr>
              <w:t>130</w:t>
            </w:r>
          </w:p>
        </w:tc>
      </w:tr>
      <w:tr>
        <w:tc>
          <w:tcPr>
            <w:tcW w:type="dxa" w:w="3175"/>
            <w:shd w:val="clear" w:color="auto" w:fill="F3F8FB"/>
          </w:tcPr>
          <w:p>
            <w:r/>
            <w:r>
              <w:rPr>
                <w:sz w:val="20"/>
              </w:rPr>
              <w:t>B2G-регионы</w:t>
            </w:r>
          </w:p>
        </w:tc>
        <w:tc>
          <w:tcPr>
            <w:tcW w:type="dxa" w:w="1304"/>
            <w:shd w:val="clear" w:color="auto" w:fill="F3F8FB"/>
          </w:tcPr>
          <w:p>
            <w:r/>
            <w:r>
              <w:rPr>
                <w:sz w:val="20"/>
              </w:rPr>
              <w:t>1</w:t>
            </w:r>
          </w:p>
        </w:tc>
        <w:tc>
          <w:tcPr>
            <w:tcW w:type="dxa" w:w="1304"/>
            <w:shd w:val="clear" w:color="auto" w:fill="F3F8FB"/>
          </w:tcPr>
          <w:p>
            <w:r/>
            <w:r>
              <w:rPr>
                <w:sz w:val="20"/>
              </w:rPr>
              <w:t>1</w:t>
            </w:r>
          </w:p>
        </w:tc>
        <w:tc>
          <w:tcPr>
            <w:tcW w:type="dxa" w:w="1304"/>
            <w:shd w:val="clear" w:color="auto" w:fill="F3F8FB"/>
          </w:tcPr>
          <w:p>
            <w:r/>
            <w:r>
              <w:rPr>
                <w:sz w:val="20"/>
              </w:rPr>
              <w:t>3</w:t>
            </w:r>
          </w:p>
        </w:tc>
        <w:tc>
          <w:tcPr>
            <w:tcW w:type="dxa" w:w="1304"/>
            <w:shd w:val="clear" w:color="auto" w:fill="F3F8FB"/>
          </w:tcPr>
          <w:p>
            <w:r/>
            <w:r>
              <w:rPr>
                <w:sz w:val="20"/>
              </w:rPr>
              <w:t>7</w:t>
            </w:r>
          </w:p>
        </w:tc>
        <w:tc>
          <w:tcPr>
            <w:tcW w:type="dxa" w:w="1304"/>
            <w:shd w:val="clear" w:color="auto" w:fill="F3F8FB"/>
          </w:tcPr>
          <w:p>
            <w:r/>
            <w:r>
              <w:rPr>
                <w:sz w:val="20"/>
              </w:rPr>
              <w:t>8</w:t>
            </w:r>
          </w:p>
        </w:tc>
      </w:tr>
      <w:tr>
        <w:tc>
          <w:tcPr>
            <w:tcW w:type="dxa" w:w="3175"/>
          </w:tcPr>
          <w:p>
            <w:r/>
            <w:r>
              <w:rPr>
                <w:sz w:val="20"/>
              </w:rPr>
              <w:t>Случаи матча/год</w:t>
            </w:r>
          </w:p>
        </w:tc>
        <w:tc>
          <w:tcPr>
            <w:tcW w:type="dxa" w:w="1304"/>
          </w:tcPr>
          <w:p>
            <w:r/>
            <w:r>
              <w:rPr>
                <w:sz w:val="20"/>
              </w:rPr>
              <w:t>1</w:t>
            </w:r>
          </w:p>
        </w:tc>
        <w:tc>
          <w:tcPr>
            <w:tcW w:type="dxa" w:w="1304"/>
          </w:tcPr>
          <w:p>
            <w:r/>
            <w:r>
              <w:rPr>
                <w:sz w:val="20"/>
              </w:rPr>
              <w:t>6</w:t>
            </w:r>
          </w:p>
        </w:tc>
        <w:tc>
          <w:tcPr>
            <w:tcW w:type="dxa" w:w="1304"/>
          </w:tcPr>
          <w:p>
            <w:r/>
            <w:r>
              <w:rPr>
                <w:sz w:val="20"/>
              </w:rPr>
              <w:t>17</w:t>
            </w:r>
          </w:p>
        </w:tc>
        <w:tc>
          <w:tcPr>
            <w:tcW w:type="dxa" w:w="1304"/>
          </w:tcPr>
          <w:p>
            <w:r/>
            <w:r>
              <w:rPr>
                <w:sz w:val="20"/>
              </w:rPr>
              <w:t>78</w:t>
            </w:r>
          </w:p>
        </w:tc>
        <w:tc>
          <w:tcPr>
            <w:tcW w:type="dxa" w:w="1304"/>
          </w:tcPr>
          <w:p>
            <w:r/>
            <w:r>
              <w:rPr>
                <w:sz w:val="20"/>
              </w:rPr>
              <w:t>136</w:t>
            </w:r>
          </w:p>
        </w:tc>
      </w:tr>
      <w:tr>
        <w:tc>
          <w:tcPr>
            <w:tcW w:type="dxa" w:w="3175"/>
            <w:shd w:val="clear" w:color="auto" w:fill="F3F8FB"/>
          </w:tcPr>
          <w:p>
            <w:r/>
            <w:r>
              <w:rPr>
                <w:sz w:val="20"/>
              </w:rPr>
              <w:t>APAC-партнёры (FTE-экв.)</w:t>
            </w:r>
          </w:p>
        </w:tc>
        <w:tc>
          <w:tcPr>
            <w:tcW w:type="dxa" w:w="1304"/>
            <w:shd w:val="clear" w:color="auto" w:fill="F3F8FB"/>
          </w:tcPr>
          <w:p>
            <w:r/>
            <w:r>
              <w:rPr>
                <w:sz w:val="20"/>
              </w:rPr>
              <w:t>1</w:t>
            </w:r>
          </w:p>
        </w:tc>
        <w:tc>
          <w:tcPr>
            <w:tcW w:type="dxa" w:w="1304"/>
            <w:shd w:val="clear" w:color="auto" w:fill="F3F8FB"/>
          </w:tcPr>
          <w:p>
            <w:r/>
            <w:r>
              <w:rPr>
                <w:sz w:val="20"/>
              </w:rPr>
              <w:t>1</w:t>
            </w:r>
          </w:p>
        </w:tc>
        <w:tc>
          <w:tcPr>
            <w:tcW w:type="dxa" w:w="1304"/>
            <w:shd w:val="clear" w:color="auto" w:fill="F3F8FB"/>
          </w:tcPr>
          <w:p>
            <w:r/>
            <w:r>
              <w:rPr>
                <w:sz w:val="20"/>
              </w:rPr>
              <w:t>1</w:t>
            </w:r>
          </w:p>
        </w:tc>
        <w:tc>
          <w:tcPr>
            <w:tcW w:type="dxa" w:w="1304"/>
            <w:shd w:val="clear" w:color="auto" w:fill="F3F8FB"/>
          </w:tcPr>
          <w:p>
            <w:r/>
            <w:r>
              <w:rPr>
                <w:sz w:val="20"/>
              </w:rPr>
              <w:t>1</w:t>
            </w:r>
          </w:p>
        </w:tc>
        <w:tc>
          <w:tcPr>
            <w:tcW w:type="dxa" w:w="1304"/>
            <w:shd w:val="clear" w:color="auto" w:fill="F3F8FB"/>
          </w:tcPr>
          <w:p>
            <w:r/>
            <w:r>
              <w:rPr>
                <w:sz w:val="20"/>
              </w:rPr>
              <w:t>7</w:t>
            </w:r>
          </w:p>
        </w:tc>
      </w:tr>
      <w:tr>
        <w:tc>
          <w:tcPr>
            <w:tcW w:type="dxa" w:w="3175"/>
          </w:tcPr>
          <w:p>
            <w:r/>
            <w:r>
              <w:rPr>
                <w:sz w:val="20"/>
              </w:rPr>
              <w:t>Проникновение в SAM РФ</w:t>
            </w:r>
          </w:p>
        </w:tc>
        <w:tc>
          <w:tcPr>
            <w:tcW w:type="dxa" w:w="1304"/>
          </w:tcPr>
          <w:p>
            <w:r/>
            <w:r>
              <w:rPr>
                <w:sz w:val="20"/>
              </w:rPr>
              <w:t>0,2%</w:t>
            </w:r>
          </w:p>
        </w:tc>
        <w:tc>
          <w:tcPr>
            <w:tcW w:type="dxa" w:w="1304"/>
          </w:tcPr>
          <w:p>
            <w:r/>
            <w:r>
              <w:rPr>
                <w:sz w:val="20"/>
              </w:rPr>
              <w:t>1,8%</w:t>
            </w:r>
          </w:p>
        </w:tc>
        <w:tc>
          <w:tcPr>
            <w:tcW w:type="dxa" w:w="1304"/>
          </w:tcPr>
          <w:p>
            <w:r/>
            <w:r>
              <w:rPr>
                <w:sz w:val="20"/>
              </w:rPr>
              <w:t>8%</w:t>
            </w:r>
          </w:p>
        </w:tc>
        <w:tc>
          <w:tcPr>
            <w:tcW w:type="dxa" w:w="1304"/>
          </w:tcPr>
          <w:p>
            <w:r/>
            <w:r>
              <w:rPr>
                <w:sz w:val="20"/>
              </w:rPr>
              <w:t>8%</w:t>
            </w:r>
          </w:p>
        </w:tc>
        <w:tc>
          <w:tcPr>
            <w:tcW w:type="dxa" w:w="1304"/>
          </w:tcPr>
          <w:p>
            <w:r/>
            <w:r>
              <w:rPr>
                <w:sz w:val="20"/>
              </w:rPr>
              <w:t>≈16%</w:t>
            </w:r>
          </w:p>
        </w:tc>
      </w:tr>
    </w:tbl>
    <w:p/>
    <w:p>
      <w:r>
        <w:rPr>
          <w:i/>
          <w:color w:val="5A6A7A"/>
          <w:sz w:val="18"/>
        </w:rPr>
        <w:t>Проникновение в SAM рассчитано от выручки модели к середине SAM 4,3 млрд ₽.</w:t>
      </w:r>
    </w:p>
    <w:p>
      <w:r>
        <w:drawing>
          <wp:inline xmlns:a="http://schemas.openxmlformats.org/drawingml/2006/main" xmlns:pic="http://schemas.openxmlformats.org/drawingml/2006/picture">
            <wp:extent cx="5580000" cy="2290737"/>
            <wp:docPr id="5" name="Picture 5"/>
            <wp:cNvGraphicFramePr>
              <a:graphicFrameLocks noChangeAspect="1"/>
            </wp:cNvGraphicFramePr>
            <a:graphic>
              <a:graphicData uri="http://schemas.openxmlformats.org/drawingml/2006/picture">
                <pic:pic>
                  <pic:nvPicPr>
                    <pic:cNvPr id="0" name="bp_chart_cash.png"/>
                    <pic:cNvPicPr/>
                  </pic:nvPicPr>
                  <pic:blipFill>
                    <a:blip r:embed="rId14"/>
                    <a:stretch>
                      <a:fillRect/>
                    </a:stretch>
                  </pic:blipFill>
                  <pic:spPr>
                    <a:xfrm>
                      <a:off x="0" y="0"/>
                      <a:ext cx="5580000" cy="2290737"/>
                    </a:xfrm>
                    <a:prstGeom prst="rect"/>
                  </pic:spPr>
                </pic:pic>
              </a:graphicData>
            </a:graphic>
          </wp:inline>
        </w:drawing>
      </w:r>
    </w:p>
    <w:p>
      <w:pPr>
        <w:jc w:val="center"/>
      </w:pPr>
      <w:r>
        <w:rPr>
          <w:i/>
          <w:color w:val="5A6A7A"/>
          <w:sz w:val="19"/>
        </w:rPr>
        <w:t>Рис. 14.0. Остаток денежных средств по кварталам — потребность в капитале и эффект раундов</w:t>
      </w:r>
    </w:p>
    <w:p>
      <w:pPr>
        <w:jc w:val="center"/>
      </w:pPr>
      <w:r>
        <w:rPr>
          <w:color w:val="5A6A7A"/>
          <w:sz w:val="16"/>
        </w:rPr>
        <w:t>Источник: расчёт модели.</w:t>
      </w:r>
    </w:p>
    <w:p/>
    <w:p>
      <w:pPr>
        <w:pStyle w:val="Heading3"/>
      </w:pPr>
      <w:r>
        <w:t>7.5. Маркетинговый бюджет</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4762"/>
            <w:shd w:val="clear" w:color="auto" w:fill="0B3D5C"/>
          </w:tcPr>
          <w:p>
            <w:r/>
            <w:r>
              <w:rPr>
                <w:b/>
                <w:color w:val="FFFFFF"/>
                <w:sz w:val="20"/>
              </w:rPr>
              <w:t>Статья, млн ₽</w:t>
            </w:r>
          </w:p>
        </w:tc>
        <w:tc>
          <w:tcPr>
            <w:tcW w:type="dxa" w:w="1134"/>
            <w:shd w:val="clear" w:color="auto" w:fill="0B3D5C"/>
          </w:tcPr>
          <w:p>
            <w:r/>
            <w:r>
              <w:rPr>
                <w:b/>
                <w:color w:val="FFFFFF"/>
                <w:sz w:val="20"/>
              </w:rPr>
              <w:t>2026</w:t>
            </w:r>
          </w:p>
        </w:tc>
        <w:tc>
          <w:tcPr>
            <w:tcW w:type="dxa" w:w="1134"/>
            <w:shd w:val="clear" w:color="auto" w:fill="0B3D5C"/>
          </w:tcPr>
          <w:p>
            <w:r/>
            <w:r>
              <w:rPr>
                <w:b/>
                <w:color w:val="FFFFFF"/>
                <w:sz w:val="20"/>
              </w:rPr>
              <w:t>2027</w:t>
            </w:r>
          </w:p>
        </w:tc>
        <w:tc>
          <w:tcPr>
            <w:tcW w:type="dxa" w:w="1134"/>
            <w:shd w:val="clear" w:color="auto" w:fill="0B3D5C"/>
          </w:tcPr>
          <w:p>
            <w:r/>
            <w:r>
              <w:rPr>
                <w:b/>
                <w:color w:val="FFFFFF"/>
                <w:sz w:val="20"/>
              </w:rPr>
              <w:t>2028</w:t>
            </w:r>
          </w:p>
        </w:tc>
        <w:tc>
          <w:tcPr>
            <w:tcW w:type="dxa" w:w="1134"/>
            <w:shd w:val="clear" w:color="auto" w:fill="0B3D5C"/>
          </w:tcPr>
          <w:p>
            <w:r/>
            <w:r>
              <w:rPr>
                <w:b/>
                <w:color w:val="FFFFFF"/>
                <w:sz w:val="20"/>
              </w:rPr>
              <w:t>2029</w:t>
            </w:r>
          </w:p>
        </w:tc>
        <w:tc>
          <w:tcPr>
            <w:tcW w:type="dxa" w:w="1134"/>
            <w:shd w:val="clear" w:color="auto" w:fill="0B3D5C"/>
          </w:tcPr>
          <w:p>
            <w:r/>
            <w:r>
              <w:rPr>
                <w:b/>
                <w:color w:val="FFFFFF"/>
                <w:sz w:val="20"/>
              </w:rPr>
              <w:t>2030</w:t>
            </w:r>
          </w:p>
        </w:tc>
      </w:tr>
      <w:tr>
        <w:tc>
          <w:tcPr>
            <w:tcW w:type="dxa" w:w="4762"/>
          </w:tcPr>
          <w:p>
            <w:r/>
            <w:r>
              <w:rPr>
                <w:sz w:val="20"/>
              </w:rPr>
              <w:t>Конгрессы и участие в отраслевых событиях</w:t>
            </w:r>
          </w:p>
        </w:tc>
        <w:tc>
          <w:tcPr>
            <w:tcW w:type="dxa" w:w="1134"/>
          </w:tcPr>
          <w:p>
            <w:r/>
            <w:r>
              <w:rPr>
                <w:sz w:val="20"/>
              </w:rPr>
              <w:t>0,7</w:t>
            </w:r>
          </w:p>
        </w:tc>
        <w:tc>
          <w:tcPr>
            <w:tcW w:type="dxa" w:w="1134"/>
          </w:tcPr>
          <w:p>
            <w:r/>
            <w:r>
              <w:rPr>
                <w:sz w:val="20"/>
              </w:rPr>
              <w:t>1,8</w:t>
            </w:r>
          </w:p>
        </w:tc>
        <w:tc>
          <w:tcPr>
            <w:tcW w:type="dxa" w:w="1134"/>
          </w:tcPr>
          <w:p>
            <w:r/>
            <w:r>
              <w:rPr>
                <w:sz w:val="20"/>
              </w:rPr>
              <w:t>4,3</w:t>
            </w:r>
          </w:p>
        </w:tc>
        <w:tc>
          <w:tcPr>
            <w:tcW w:type="dxa" w:w="1134"/>
          </w:tcPr>
          <w:p>
            <w:r/>
            <w:r>
              <w:rPr>
                <w:sz w:val="20"/>
              </w:rPr>
              <w:t>5,5</w:t>
            </w:r>
          </w:p>
        </w:tc>
        <w:tc>
          <w:tcPr>
            <w:tcW w:type="dxa" w:w="1134"/>
          </w:tcPr>
          <w:p>
            <w:r/>
            <w:r>
              <w:rPr>
                <w:sz w:val="20"/>
              </w:rPr>
              <w:t>5,9</w:t>
            </w:r>
          </w:p>
        </w:tc>
      </w:tr>
      <w:tr>
        <w:tc>
          <w:tcPr>
            <w:tcW w:type="dxa" w:w="4762"/>
            <w:shd w:val="clear" w:color="auto" w:fill="F3F8FB"/>
          </w:tcPr>
          <w:p>
            <w:r/>
            <w:r>
              <w:rPr>
                <w:sz w:val="20"/>
              </w:rPr>
              <w:t>Контент, публикации, PR</w:t>
            </w:r>
          </w:p>
        </w:tc>
        <w:tc>
          <w:tcPr>
            <w:tcW w:type="dxa" w:w="1134"/>
            <w:shd w:val="clear" w:color="auto" w:fill="F3F8FB"/>
          </w:tcPr>
          <w:p>
            <w:r/>
            <w:r>
              <w:rPr>
                <w:sz w:val="20"/>
              </w:rPr>
              <w:t>0,4</w:t>
            </w:r>
          </w:p>
        </w:tc>
        <w:tc>
          <w:tcPr>
            <w:tcW w:type="dxa" w:w="1134"/>
            <w:shd w:val="clear" w:color="auto" w:fill="F3F8FB"/>
          </w:tcPr>
          <w:p>
            <w:r/>
            <w:r>
              <w:rPr>
                <w:sz w:val="20"/>
              </w:rPr>
              <w:t>1,8</w:t>
            </w:r>
          </w:p>
        </w:tc>
        <w:tc>
          <w:tcPr>
            <w:tcW w:type="dxa" w:w="1134"/>
            <w:shd w:val="clear" w:color="auto" w:fill="F3F8FB"/>
          </w:tcPr>
          <w:p>
            <w:r/>
            <w:r>
              <w:rPr>
                <w:sz w:val="20"/>
              </w:rPr>
              <w:t>4,3</w:t>
            </w:r>
          </w:p>
        </w:tc>
        <w:tc>
          <w:tcPr>
            <w:tcW w:type="dxa" w:w="1134"/>
            <w:shd w:val="clear" w:color="auto" w:fill="F3F8FB"/>
          </w:tcPr>
          <w:p>
            <w:r/>
            <w:r>
              <w:rPr>
                <w:sz w:val="20"/>
              </w:rPr>
              <w:t>3,4</w:t>
            </w:r>
          </w:p>
        </w:tc>
        <w:tc>
          <w:tcPr>
            <w:tcW w:type="dxa" w:w="1134"/>
            <w:shd w:val="clear" w:color="auto" w:fill="F3F8FB"/>
          </w:tcPr>
          <w:p>
            <w:r/>
            <w:r>
              <w:rPr>
                <w:sz w:val="20"/>
              </w:rPr>
              <w:t>13,0</w:t>
            </w:r>
          </w:p>
        </w:tc>
      </w:tr>
      <w:tr>
        <w:tc>
          <w:tcPr>
            <w:tcW w:type="dxa" w:w="4762"/>
          </w:tcPr>
          <w:p>
            <w:r/>
            <w:r>
              <w:rPr>
                <w:sz w:val="20"/>
              </w:rPr>
              <w:t>Пилотные программы и демо</w:t>
            </w:r>
          </w:p>
        </w:tc>
        <w:tc>
          <w:tcPr>
            <w:tcW w:type="dxa" w:w="1134"/>
          </w:tcPr>
          <w:p>
            <w:r/>
            <w:r>
              <w:rPr>
                <w:sz w:val="20"/>
              </w:rPr>
              <w:t>0,4</w:t>
            </w:r>
          </w:p>
        </w:tc>
        <w:tc>
          <w:tcPr>
            <w:tcW w:type="dxa" w:w="1134"/>
          </w:tcPr>
          <w:p>
            <w:r/>
            <w:r>
              <w:rPr>
                <w:sz w:val="20"/>
              </w:rPr>
              <w:t>0,7</w:t>
            </w:r>
          </w:p>
        </w:tc>
        <w:tc>
          <w:tcPr>
            <w:tcW w:type="dxa" w:w="1134"/>
          </w:tcPr>
          <w:p>
            <w:r/>
            <w:r>
              <w:rPr>
                <w:sz w:val="20"/>
              </w:rPr>
              <w:t>2,9</w:t>
            </w:r>
          </w:p>
        </w:tc>
        <w:tc>
          <w:tcPr>
            <w:tcW w:type="dxa" w:w="1134"/>
          </w:tcPr>
          <w:p>
            <w:r/>
            <w:r>
              <w:rPr>
                <w:sz w:val="20"/>
              </w:rPr>
              <w:t>7,1</w:t>
            </w:r>
          </w:p>
        </w:tc>
        <w:tc>
          <w:tcPr>
            <w:tcW w:type="dxa" w:w="1134"/>
          </w:tcPr>
          <w:p>
            <w:r/>
            <w:r>
              <w:rPr>
                <w:sz w:val="20"/>
              </w:rPr>
              <w:t>8,5</w:t>
            </w:r>
          </w:p>
        </w:tc>
      </w:tr>
      <w:tr>
        <w:tc>
          <w:tcPr>
            <w:tcW w:type="dxa" w:w="4762"/>
            <w:shd w:val="clear" w:color="auto" w:fill="F3F8FB"/>
          </w:tcPr>
          <w:p>
            <w:r/>
            <w:r>
              <w:rPr>
                <w:sz w:val="20"/>
              </w:rPr>
              <w:t>B2G-тендеры и работа с регионами</w:t>
            </w:r>
          </w:p>
        </w:tc>
        <w:tc>
          <w:tcPr>
            <w:tcW w:type="dxa" w:w="1134"/>
            <w:shd w:val="clear" w:color="auto" w:fill="F3F8FB"/>
          </w:tcPr>
          <w:p>
            <w:r/>
            <w:r>
              <w:rPr>
                <w:sz w:val="20"/>
              </w:rPr>
              <w:t>—</w:t>
            </w:r>
          </w:p>
        </w:tc>
        <w:tc>
          <w:tcPr>
            <w:tcW w:type="dxa" w:w="1134"/>
            <w:shd w:val="clear" w:color="auto" w:fill="F3F8FB"/>
          </w:tcPr>
          <w:p>
            <w:r/>
            <w:r>
              <w:rPr>
                <w:sz w:val="20"/>
              </w:rPr>
              <w:t>0,7</w:t>
            </w:r>
          </w:p>
        </w:tc>
        <w:tc>
          <w:tcPr>
            <w:tcW w:type="dxa" w:w="1134"/>
            <w:shd w:val="clear" w:color="auto" w:fill="F3F8FB"/>
          </w:tcPr>
          <w:p>
            <w:r/>
            <w:r>
              <w:rPr>
                <w:sz w:val="20"/>
              </w:rPr>
              <w:t>2,9</w:t>
            </w:r>
          </w:p>
        </w:tc>
        <w:tc>
          <w:tcPr>
            <w:tcW w:type="dxa" w:w="1134"/>
            <w:shd w:val="clear" w:color="auto" w:fill="F3F8FB"/>
          </w:tcPr>
          <w:p>
            <w:r/>
            <w:r>
              <w:rPr>
                <w:sz w:val="20"/>
              </w:rPr>
              <w:t>5,5</w:t>
            </w:r>
          </w:p>
        </w:tc>
        <w:tc>
          <w:tcPr>
            <w:tcW w:type="dxa" w:w="1134"/>
            <w:shd w:val="clear" w:color="auto" w:fill="F3F8FB"/>
          </w:tcPr>
          <w:p>
            <w:r/>
            <w:r>
              <w:rPr>
                <w:sz w:val="20"/>
              </w:rPr>
              <w:t>12,0</w:t>
            </w:r>
          </w:p>
        </w:tc>
      </w:tr>
      <w:tr>
        <w:tc>
          <w:tcPr>
            <w:tcW w:type="dxa" w:w="4762"/>
          </w:tcPr>
          <w:p>
            <w:r/>
            <w:r>
              <w:rPr>
                <w:sz w:val="20"/>
              </w:rPr>
              <w:t>Международный маркетинг (КНР/АТР)</w:t>
            </w:r>
          </w:p>
        </w:tc>
        <w:tc>
          <w:tcPr>
            <w:tcW w:type="dxa" w:w="1134"/>
          </w:tcPr>
          <w:p>
            <w:r/>
            <w:r>
              <w:rPr>
                <w:sz w:val="20"/>
              </w:rPr>
              <w:t>—</w:t>
            </w:r>
          </w:p>
        </w:tc>
        <w:tc>
          <w:tcPr>
            <w:tcW w:type="dxa" w:w="1134"/>
          </w:tcPr>
          <w:p>
            <w:r/>
            <w:r>
              <w:rPr>
                <w:sz w:val="20"/>
              </w:rPr>
              <w:t>—</w:t>
            </w:r>
          </w:p>
        </w:tc>
        <w:tc>
          <w:tcPr>
            <w:tcW w:type="dxa" w:w="1134"/>
          </w:tcPr>
          <w:p>
            <w:r/>
            <w:r>
              <w:rPr>
                <w:sz w:val="20"/>
              </w:rPr>
              <w:t>0,7</w:t>
            </w:r>
          </w:p>
        </w:tc>
        <w:tc>
          <w:tcPr>
            <w:tcW w:type="dxa" w:w="1134"/>
          </w:tcPr>
          <w:p>
            <w:r/>
            <w:r>
              <w:rPr>
                <w:sz w:val="20"/>
              </w:rPr>
              <w:t>2,9</w:t>
            </w:r>
          </w:p>
        </w:tc>
        <w:tc>
          <w:tcPr>
            <w:tcW w:type="dxa" w:w="1134"/>
          </w:tcPr>
          <w:p>
            <w:r/>
            <w:r>
              <w:rPr>
                <w:sz w:val="20"/>
              </w:rPr>
              <w:t>7,1</w:t>
            </w:r>
          </w:p>
        </w:tc>
      </w:tr>
      <w:tr>
        <w:tc>
          <w:tcPr>
            <w:tcW w:type="dxa" w:w="4762"/>
            <w:shd w:val="clear" w:color="auto" w:fill="F3F8FB"/>
          </w:tcPr>
          <w:p>
            <w:r/>
            <w:r>
              <w:rPr>
                <w:sz w:val="20"/>
              </w:rPr>
              <w:t>Итого</w:t>
            </w:r>
          </w:p>
        </w:tc>
        <w:tc>
          <w:tcPr>
            <w:tcW w:type="dxa" w:w="1134"/>
            <w:shd w:val="clear" w:color="auto" w:fill="F3F8FB"/>
          </w:tcPr>
          <w:p>
            <w:r/>
            <w:r>
              <w:rPr>
                <w:sz w:val="20"/>
              </w:rPr>
              <w:t>2,9</w:t>
            </w:r>
          </w:p>
        </w:tc>
        <w:tc>
          <w:tcPr>
            <w:tcW w:type="dxa" w:w="1134"/>
            <w:shd w:val="clear" w:color="auto" w:fill="F3F8FB"/>
          </w:tcPr>
          <w:p>
            <w:r/>
            <w:r>
              <w:rPr>
                <w:sz w:val="20"/>
              </w:rPr>
              <w:t>8,5</w:t>
            </w:r>
          </w:p>
        </w:tc>
        <w:tc>
          <w:tcPr>
            <w:tcW w:type="dxa" w:w="1134"/>
            <w:shd w:val="clear" w:color="auto" w:fill="F3F8FB"/>
          </w:tcPr>
          <w:p>
            <w:r/>
            <w:r>
              <w:rPr>
                <w:sz w:val="20"/>
              </w:rPr>
              <w:t>14,0</w:t>
            </w:r>
          </w:p>
        </w:tc>
        <w:tc>
          <w:tcPr>
            <w:tcW w:type="dxa" w:w="1134"/>
            <w:shd w:val="clear" w:color="auto" w:fill="F3F8FB"/>
          </w:tcPr>
          <w:p>
            <w:r/>
            <w:r>
              <w:rPr>
                <w:sz w:val="20"/>
              </w:rPr>
              <w:t>21,0</w:t>
            </w:r>
          </w:p>
        </w:tc>
        <w:tc>
          <w:tcPr>
            <w:tcW w:type="dxa" w:w="1134"/>
            <w:shd w:val="clear" w:color="auto" w:fill="F3F8FB"/>
          </w:tcPr>
          <w:p>
            <w:r/>
            <w:r>
              <w:rPr>
                <w:sz w:val="20"/>
              </w:rPr>
              <w:t>39,4</w:t>
            </w:r>
          </w:p>
        </w:tc>
      </w:tr>
    </w:tbl>
    <w:p/>
    <w:p>
      <w:r>
        <w:rPr>
          <w:i/>
          <w:color w:val="5A6A7A"/>
          <w:sz w:val="18"/>
        </w:rPr>
        <w:t>Бюджет совпадает со статьёй «Маркетинг и PR» операционной модели (раздел 26). CAC-конверсия — в Приложении А.</w:t>
      </w:r>
    </w:p>
    <w:p>
      <w:pPr>
        <w:pStyle w:val="Heading3"/>
      </w:pPr>
      <w:r>
        <w:t>7.6. Воронка пилотов (базовый сценарий по кварталам 2026–2027)</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3628"/>
            <w:shd w:val="clear" w:color="auto" w:fill="0B3D5C"/>
          </w:tcPr>
          <w:p>
            <w:r/>
            <w:r>
              <w:rPr>
                <w:b/>
                <w:color w:val="FFFFFF"/>
                <w:sz w:val="20"/>
              </w:rPr>
              <w:t>Этап воронки</w:t>
            </w:r>
          </w:p>
        </w:tc>
        <w:tc>
          <w:tcPr>
            <w:tcW w:type="dxa" w:w="1474"/>
            <w:shd w:val="clear" w:color="auto" w:fill="0B3D5C"/>
          </w:tcPr>
          <w:p>
            <w:r/>
            <w:r>
              <w:rPr>
                <w:b/>
                <w:color w:val="FFFFFF"/>
                <w:sz w:val="20"/>
              </w:rPr>
              <w:t>Q1 2026</w:t>
            </w:r>
          </w:p>
        </w:tc>
        <w:tc>
          <w:tcPr>
            <w:tcW w:type="dxa" w:w="1474"/>
            <w:shd w:val="clear" w:color="auto" w:fill="0B3D5C"/>
          </w:tcPr>
          <w:p>
            <w:r/>
            <w:r>
              <w:rPr>
                <w:b/>
                <w:color w:val="FFFFFF"/>
                <w:sz w:val="20"/>
              </w:rPr>
              <w:t>Q3 2026</w:t>
            </w:r>
          </w:p>
        </w:tc>
        <w:tc>
          <w:tcPr>
            <w:tcW w:type="dxa" w:w="1474"/>
            <w:shd w:val="clear" w:color="auto" w:fill="0B3D5C"/>
          </w:tcPr>
          <w:p>
            <w:r/>
            <w:r>
              <w:rPr>
                <w:b/>
                <w:color w:val="FFFFFF"/>
                <w:sz w:val="20"/>
              </w:rPr>
              <w:t>Q3 2027</w:t>
            </w:r>
          </w:p>
        </w:tc>
      </w:tr>
      <w:tr>
        <w:tc>
          <w:tcPr>
            <w:tcW w:type="dxa" w:w="3628"/>
          </w:tcPr>
          <w:p>
            <w:r/>
            <w:r>
              <w:rPr>
                <w:sz w:val="20"/>
              </w:rPr>
              <w:t>Клиники в контакте</w:t>
            </w:r>
          </w:p>
        </w:tc>
        <w:tc>
          <w:tcPr>
            <w:tcW w:type="dxa" w:w="1474"/>
          </w:tcPr>
          <w:p>
            <w:r/>
            <w:r>
              <w:rPr>
                <w:sz w:val="20"/>
              </w:rPr>
              <w:t>14</w:t>
            </w:r>
          </w:p>
        </w:tc>
        <w:tc>
          <w:tcPr>
            <w:tcW w:type="dxa" w:w="1474"/>
          </w:tcPr>
          <w:p>
            <w:r/>
            <w:r>
              <w:rPr>
                <w:sz w:val="20"/>
              </w:rPr>
              <w:t>17</w:t>
            </w:r>
          </w:p>
        </w:tc>
        <w:tc>
          <w:tcPr>
            <w:tcW w:type="dxa" w:w="1474"/>
          </w:tcPr>
          <w:p>
            <w:r/>
            <w:r>
              <w:rPr>
                <w:sz w:val="20"/>
              </w:rPr>
              <w:t>126</w:t>
            </w:r>
          </w:p>
        </w:tc>
      </w:tr>
      <w:tr>
        <w:tc>
          <w:tcPr>
            <w:tcW w:type="dxa" w:w="3628"/>
            <w:shd w:val="clear" w:color="auto" w:fill="F3F8FB"/>
          </w:tcPr>
          <w:p>
            <w:r/>
            <w:r>
              <w:rPr>
                <w:sz w:val="20"/>
              </w:rPr>
              <w:t>Матрица демо/пилотов</w:t>
            </w:r>
          </w:p>
        </w:tc>
        <w:tc>
          <w:tcPr>
            <w:tcW w:type="dxa" w:w="1474"/>
            <w:shd w:val="clear" w:color="auto" w:fill="F3F8FB"/>
          </w:tcPr>
          <w:p>
            <w:r/>
            <w:r>
              <w:rPr>
                <w:sz w:val="20"/>
              </w:rPr>
              <w:t>3</w:t>
            </w:r>
          </w:p>
        </w:tc>
        <w:tc>
          <w:tcPr>
            <w:tcW w:type="dxa" w:w="1474"/>
            <w:shd w:val="clear" w:color="auto" w:fill="F3F8FB"/>
          </w:tcPr>
          <w:p>
            <w:r/>
            <w:r>
              <w:rPr>
                <w:sz w:val="20"/>
              </w:rPr>
              <w:t>6</w:t>
            </w:r>
          </w:p>
        </w:tc>
        <w:tc>
          <w:tcPr>
            <w:tcW w:type="dxa" w:w="1474"/>
            <w:shd w:val="clear" w:color="auto" w:fill="F3F8FB"/>
          </w:tcPr>
          <w:p>
            <w:r/>
            <w:r>
              <w:rPr>
                <w:sz w:val="20"/>
              </w:rPr>
              <w:t>23</w:t>
            </w:r>
          </w:p>
        </w:tc>
      </w:tr>
      <w:tr>
        <w:tc>
          <w:tcPr>
            <w:tcW w:type="dxa" w:w="3628"/>
          </w:tcPr>
          <w:p>
            <w:r/>
            <w:r>
              <w:rPr>
                <w:sz w:val="20"/>
              </w:rPr>
              <w:t>Вышли на коммерческий договор</w:t>
            </w:r>
          </w:p>
        </w:tc>
        <w:tc>
          <w:tcPr>
            <w:tcW w:type="dxa" w:w="1474"/>
          </w:tcPr>
          <w:p>
            <w:r/>
            <w:r>
              <w:rPr>
                <w:sz w:val="20"/>
              </w:rPr>
              <w:t>1</w:t>
            </w:r>
          </w:p>
        </w:tc>
        <w:tc>
          <w:tcPr>
            <w:tcW w:type="dxa" w:w="1474"/>
          </w:tcPr>
          <w:p>
            <w:r/>
            <w:r>
              <w:rPr>
                <w:sz w:val="20"/>
              </w:rPr>
              <w:t>1</w:t>
            </w:r>
          </w:p>
        </w:tc>
        <w:tc>
          <w:tcPr>
            <w:tcW w:type="dxa" w:w="1474"/>
          </w:tcPr>
          <w:p>
            <w:r/>
            <w:r>
              <w:rPr>
                <w:sz w:val="20"/>
              </w:rPr>
              <w:t>6</w:t>
            </w:r>
          </w:p>
        </w:tc>
      </w:tr>
      <w:tr>
        <w:tc>
          <w:tcPr>
            <w:tcW w:type="dxa" w:w="3628"/>
            <w:shd w:val="clear" w:color="auto" w:fill="F3F8FB"/>
          </w:tcPr>
          <w:p>
            <w:r/>
            <w:r>
              <w:rPr>
                <w:sz w:val="20"/>
              </w:rPr>
              <w:t>Конверсия в подписку (накопительно)</w:t>
            </w:r>
          </w:p>
        </w:tc>
        <w:tc>
          <w:tcPr>
            <w:tcW w:type="dxa" w:w="1474"/>
            <w:shd w:val="clear" w:color="auto" w:fill="F3F8FB"/>
          </w:tcPr>
          <w:p>
            <w:r/>
            <w:r>
              <w:rPr>
                <w:sz w:val="20"/>
              </w:rPr>
              <w:t>—</w:t>
            </w:r>
          </w:p>
        </w:tc>
        <w:tc>
          <w:tcPr>
            <w:tcW w:type="dxa" w:w="1474"/>
            <w:shd w:val="clear" w:color="auto" w:fill="F3F8FB"/>
          </w:tcPr>
          <w:p>
            <w:r/>
            <w:r>
              <w:rPr>
                <w:sz w:val="20"/>
              </w:rPr>
              <w:t>1 из 7</w:t>
            </w:r>
          </w:p>
        </w:tc>
        <w:tc>
          <w:tcPr>
            <w:tcW w:type="dxa" w:w="1474"/>
            <w:shd w:val="clear" w:color="auto" w:fill="F3F8FB"/>
          </w:tcPr>
          <w:p>
            <w:r/>
            <w:r>
              <w:rPr>
                <w:sz w:val="20"/>
              </w:rPr>
              <w:t>26</w:t>
            </w:r>
          </w:p>
        </w:tc>
      </w:tr>
    </w:tbl>
    <w:p/>
    <w:p>
      <w:r>
        <w:rPr>
          <w:i/>
          <w:color w:val="5A6A7A"/>
          <w:sz w:val="18"/>
        </w:rPr>
        <w:t>Воронка калибруется по итогам Q3–Q3 2026; при отклонении от плана меняется маркетинговый бюджет, но не фундаментальные допущения выручки (план консервативен по конверсии).</w:t>
      </w:r>
    </w:p>
    <w:p>
      <w:pPr>
        <w:pStyle w:val="Heading3"/>
      </w:pPr>
      <w:r>
        <w:t>7.7. Переговорная логика цены (negotiation playbook)</w:t>
      </w:r>
    </w:p>
    <w:tbl>
      <w:tblPr>
        <w:tblStyle w:val="TableGrid"/>
        <w:tblW w:type="auto" w:w="0"/>
        <w:jc w:val="center"/>
        <w:tblLook w:firstColumn="1" w:firstRow="1" w:lastColumn="0" w:lastRow="0" w:noHBand="0" w:noVBand="1" w:val="04A0"/>
      </w:tblPr>
      <w:tblGrid>
        <w:gridCol w:w="3213"/>
        <w:gridCol w:w="3213"/>
        <w:gridCol w:w="3213"/>
      </w:tblGrid>
      <w:tr>
        <w:tc>
          <w:tcPr>
            <w:tcW w:type="dxa" w:w="2948"/>
            <w:shd w:val="clear" w:color="auto" w:fill="0B3D5C"/>
          </w:tcPr>
          <w:p>
            <w:r/>
            <w:r>
              <w:rPr>
                <w:b/>
                <w:color w:val="FFFFFF"/>
                <w:sz w:val="20"/>
              </w:rPr>
              <w:t>Ситуация</w:t>
            </w:r>
          </w:p>
        </w:tc>
        <w:tc>
          <w:tcPr>
            <w:tcW w:type="dxa" w:w="3175"/>
            <w:shd w:val="clear" w:color="auto" w:fill="0B3D5C"/>
          </w:tcPr>
          <w:p>
            <w:r/>
            <w:r>
              <w:rPr>
                <w:b/>
                <w:color w:val="FFFFFF"/>
                <w:sz w:val="20"/>
              </w:rPr>
              <w:t>Рекомендуемая позиция</w:t>
            </w:r>
          </w:p>
        </w:tc>
        <w:tc>
          <w:tcPr>
            <w:tcW w:type="dxa" w:w="2494"/>
            <w:shd w:val="clear" w:color="auto" w:fill="0B3D5C"/>
          </w:tcPr>
          <w:p>
            <w:r/>
            <w:r>
              <w:rPr>
                <w:b/>
                <w:color w:val="FFFFFF"/>
                <w:sz w:val="20"/>
              </w:rPr>
              <w:t>Разумный нижний предел</w:t>
            </w:r>
          </w:p>
        </w:tc>
      </w:tr>
      <w:tr>
        <w:tc>
          <w:tcPr>
            <w:tcW w:type="dxa" w:w="2948"/>
          </w:tcPr>
          <w:p>
            <w:r/>
            <w:r>
              <w:rPr>
                <w:sz w:val="20"/>
              </w:rPr>
              <w:t>Малая клиника (498–912 циклов)</w:t>
            </w:r>
          </w:p>
        </w:tc>
        <w:tc>
          <w:tcPr>
            <w:tcW w:type="dxa" w:w="3175"/>
          </w:tcPr>
          <w:p>
            <w:r/>
            <w:r>
              <w:rPr>
                <w:sz w:val="20"/>
              </w:rPr>
              <w:t>подписка по базовому тарифу; скидка на пилот</w:t>
            </w:r>
          </w:p>
        </w:tc>
        <w:tc>
          <w:tcPr>
            <w:tcW w:type="dxa" w:w="2494"/>
          </w:tcPr>
          <w:p>
            <w:r/>
            <w:r>
              <w:rPr>
                <w:sz w:val="20"/>
              </w:rPr>
              <w:t>−28% на 1-й год</w:t>
            </w:r>
          </w:p>
        </w:tc>
      </w:tr>
      <w:tr>
        <w:tc>
          <w:tcPr>
            <w:tcW w:type="dxa" w:w="2948"/>
            <w:shd w:val="clear" w:color="auto" w:fill="F3F8FB"/>
          </w:tcPr>
          <w:p>
            <w:r/>
            <w:r>
              <w:rPr>
                <w:sz w:val="20"/>
              </w:rPr>
              <w:t>Сетевая клиника (федеральная сеть)</w:t>
            </w:r>
          </w:p>
        </w:tc>
        <w:tc>
          <w:tcPr>
            <w:tcW w:type="dxa" w:w="3175"/>
            <w:shd w:val="clear" w:color="auto" w:fill="F3F8FB"/>
          </w:tcPr>
          <w:p>
            <w:r/>
            <w:r>
              <w:rPr>
                <w:sz w:val="20"/>
              </w:rPr>
              <w:t>мастер-соглашение: единая ставка на сеть</w:t>
            </w:r>
          </w:p>
        </w:tc>
        <w:tc>
          <w:tcPr>
            <w:tcW w:type="dxa" w:w="2494"/>
            <w:shd w:val="clear" w:color="auto" w:fill="F3F8FB"/>
          </w:tcPr>
          <w:p>
            <w:r/>
            <w:r>
              <w:rPr>
                <w:sz w:val="20"/>
              </w:rPr>
              <w:t>−12% при росте числа площадок</w:t>
            </w:r>
          </w:p>
        </w:tc>
      </w:tr>
      <w:tr>
        <w:tc>
          <w:tcPr>
            <w:tcW w:type="dxa" w:w="2948"/>
          </w:tcPr>
          <w:p>
            <w:r/>
            <w:r>
              <w:rPr>
                <w:sz w:val="20"/>
              </w:rPr>
              <w:t>B2G-регион</w:t>
            </w:r>
          </w:p>
        </w:tc>
        <w:tc>
          <w:tcPr>
            <w:tcW w:type="dxa" w:w="3175"/>
          </w:tcPr>
          <w:p>
            <w:r/>
            <w:r>
              <w:rPr>
                <w:sz w:val="20"/>
              </w:rPr>
              <w:t>контракт от результата: фикс + бонус за CLBR</w:t>
            </w:r>
          </w:p>
        </w:tc>
        <w:tc>
          <w:tcPr>
            <w:tcW w:type="dxa" w:w="2494"/>
          </w:tcPr>
          <w:p>
            <w:r/>
            <w:r>
              <w:rPr>
                <w:sz w:val="20"/>
              </w:rPr>
              <w:t>безубыточность контракта</w:t>
            </w:r>
          </w:p>
        </w:tc>
      </w:tr>
      <w:tr>
        <w:tc>
          <w:tcPr>
            <w:tcW w:type="dxa" w:w="2948"/>
            <w:shd w:val="clear" w:color="auto" w:fill="F3F8FB"/>
          </w:tcPr>
          <w:p>
            <w:r/>
            <w:r>
              <w:rPr>
                <w:sz w:val="20"/>
              </w:rPr>
              <w:t>Донорские программы/СМ</w:t>
            </w:r>
          </w:p>
        </w:tc>
        <w:tc>
          <w:tcPr>
            <w:tcW w:type="dxa" w:w="3175"/>
            <w:shd w:val="clear" w:color="auto" w:fill="F3F8FB"/>
          </w:tcPr>
          <w:p>
            <w:r/>
            <w:r>
              <w:rPr>
                <w:sz w:val="20"/>
              </w:rPr>
              <w:t>тариф за случай (0,14 млн ₽)</w:t>
            </w:r>
          </w:p>
        </w:tc>
        <w:tc>
          <w:tcPr>
            <w:tcW w:type="dxa" w:w="2494"/>
            <w:shd w:val="clear" w:color="auto" w:fill="F3F8FB"/>
          </w:tcPr>
          <w:p>
            <w:r/>
            <w:r>
              <w:rPr>
                <w:sz w:val="20"/>
              </w:rPr>
              <w:t>индексация по объёму истории</w:t>
            </w:r>
          </w:p>
        </w:tc>
      </w:tr>
      <w:tr>
        <w:tc>
          <w:tcPr>
            <w:tcW w:type="dxa" w:w="2948"/>
          </w:tcPr>
          <w:p>
            <w:r/>
            <w:r>
              <w:rPr>
                <w:sz w:val="20"/>
              </w:rPr>
              <w:t>КНР/АТР-партнёр</w:t>
            </w:r>
          </w:p>
        </w:tc>
        <w:tc>
          <w:tcPr>
            <w:tcW w:type="dxa" w:w="3175"/>
          </w:tcPr>
          <w:p>
            <w:r/>
            <w:r>
              <w:rPr>
                <w:sz w:val="20"/>
              </w:rPr>
              <w:t>лицензия + rev-share</w:t>
            </w:r>
          </w:p>
        </w:tc>
        <w:tc>
          <w:tcPr>
            <w:tcW w:type="dxa" w:w="2494"/>
          </w:tcPr>
          <w:p>
            <w:r/>
            <w:r>
              <w:rPr>
                <w:sz w:val="20"/>
              </w:rPr>
              <w:t>не ниже прямых затрат на локализацию</w:t>
            </w:r>
          </w:p>
        </w:tc>
      </w:tr>
    </w:tbl>
    <w:p/>
    <w:p>
      <w:r>
        <w:rPr>
          <w:b w:val="0"/>
          <w:i w:val="0"/>
          <w:sz w:val="22"/>
        </w:rPr>
        <w:t>Правило удержания клиентов: ежегодный апсейл модуля + отчёт о достигнутом улучшении CLBR — связка «продукт → результат → renewal», которая минимизирует отток и поддерживает высокий NRR (&gt; 165%).</w:t>
      </w:r>
    </w:p>
    <w:p>
      <w:r>
        <w:br w:type="page"/>
      </w:r>
    </w:p>
    <w:p>
      <w:pPr>
        <w:pStyle w:val="Heading1"/>
        <w:shd w:val="clear" w:color="auto" w:fill="EAF4F8"/>
      </w:pPr>
      <w:r>
        <w:t>8. ОПЕРАЦИОННЫЙ ПЛАН</w:t>
      </w:r>
    </w:p>
    <w:p>
      <w:pPr>
        <w:pStyle w:val="Heading2"/>
      </w:pPr>
      <w:r>
        <w:t>8.1. Производственный контур</w:t>
      </w:r>
    </w:p>
    <w:p>
      <w:r>
        <w:rPr>
          <w:b w:val="0"/>
          <w:i w:val="0"/>
          <w:sz w:val="22"/>
        </w:rPr>
        <w:t>Компания работает по модели asset-light: собственная вычислительная лаборатория в цехах отсутствует, используются арендуемые российские облака и вычислительные ресурсы для обучения (при необходимости — специализированные GPU-кластеры в РФ). Разработка ПО — собственная, интеграции и данные — партнёрские и договорные. Лабораторные исследования (DFI, генотипирование) выполняют партнёрские лаборатории по договорам.</w:t>
      </w:r>
    </w:p>
    <w:p>
      <w:pPr>
        <w:pStyle w:val="Heading2"/>
      </w:pPr>
      <w:r>
        <w:t>8.2. Географическая модель расширения</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928"/>
            <w:shd w:val="clear" w:color="auto" w:fill="0B3D5C"/>
          </w:tcPr>
          <w:p>
            <w:r/>
            <w:r>
              <w:rPr>
                <w:b/>
                <w:color w:val="FFFFFF"/>
                <w:sz w:val="20"/>
              </w:rPr>
              <w:t>Этап</w:t>
            </w:r>
          </w:p>
        </w:tc>
        <w:tc>
          <w:tcPr>
            <w:tcW w:type="dxa" w:w="2494"/>
            <w:shd w:val="clear" w:color="auto" w:fill="0B3D5C"/>
          </w:tcPr>
          <w:p>
            <w:r/>
            <w:r>
              <w:rPr>
                <w:b/>
                <w:color w:val="FFFFFF"/>
                <w:sz w:val="20"/>
              </w:rPr>
              <w:t>География</w:t>
            </w:r>
          </w:p>
        </w:tc>
        <w:tc>
          <w:tcPr>
            <w:tcW w:type="dxa" w:w="2268"/>
            <w:shd w:val="clear" w:color="auto" w:fill="0B3D5C"/>
          </w:tcPr>
          <w:p>
            <w:r/>
            <w:r>
              <w:rPr>
                <w:b/>
                <w:color w:val="FFFFFF"/>
                <w:sz w:val="20"/>
              </w:rPr>
              <w:t>Охват</w:t>
            </w:r>
          </w:p>
        </w:tc>
        <w:tc>
          <w:tcPr>
            <w:tcW w:type="dxa" w:w="2494"/>
            <w:shd w:val="clear" w:color="auto" w:fill="0B3D5C"/>
          </w:tcPr>
          <w:p>
            <w:r/>
            <w:r>
              <w:rPr>
                <w:b/>
                <w:color w:val="FFFFFF"/>
                <w:sz w:val="20"/>
              </w:rPr>
              <w:t>Ключевой результат</w:t>
            </w:r>
          </w:p>
        </w:tc>
      </w:tr>
      <w:tr>
        <w:tc>
          <w:tcPr>
            <w:tcW w:type="dxa" w:w="1928"/>
          </w:tcPr>
          <w:p>
            <w:r/>
            <w:r>
              <w:rPr>
                <w:sz w:val="20"/>
              </w:rPr>
              <w:t>Пилот 2026–2027</w:t>
            </w:r>
          </w:p>
        </w:tc>
        <w:tc>
          <w:tcPr>
            <w:tcW w:type="dxa" w:w="2494"/>
          </w:tcPr>
          <w:p>
            <w:r/>
            <w:r>
              <w:rPr>
                <w:sz w:val="20"/>
              </w:rPr>
              <w:t>Москва (РНИМУ + 8–10 клиник)</w:t>
            </w:r>
          </w:p>
        </w:tc>
        <w:tc>
          <w:tcPr>
            <w:tcW w:type="dxa" w:w="2268"/>
          </w:tcPr>
          <w:p>
            <w:r/>
            <w:r>
              <w:rPr>
                <w:sz w:val="20"/>
              </w:rPr>
              <w:t>6–14 тыс. циклов</w:t>
            </w:r>
          </w:p>
        </w:tc>
        <w:tc>
          <w:tcPr>
            <w:tcW w:type="dxa" w:w="2494"/>
          </w:tcPr>
          <w:p>
            <w:r/>
            <w:r>
              <w:rPr>
                <w:sz w:val="20"/>
              </w:rPr>
              <w:t>проспективная валидация, регистрация ИИ-МИ</w:t>
            </w:r>
          </w:p>
        </w:tc>
      </w:tr>
      <w:tr>
        <w:tc>
          <w:tcPr>
            <w:tcW w:type="dxa" w:w="1928"/>
            <w:shd w:val="clear" w:color="auto" w:fill="F3F8FB"/>
          </w:tcPr>
          <w:p>
            <w:r/>
            <w:r>
              <w:rPr>
                <w:sz w:val="20"/>
              </w:rPr>
              <w:t>2028</w:t>
            </w:r>
          </w:p>
        </w:tc>
        <w:tc>
          <w:tcPr>
            <w:tcW w:type="dxa" w:w="2494"/>
            <w:shd w:val="clear" w:color="auto" w:fill="F3F8FB"/>
          </w:tcPr>
          <w:p>
            <w:r/>
            <w:r>
              <w:rPr>
                <w:sz w:val="20"/>
              </w:rPr>
              <w:t>Москва + первые модули</w:t>
            </w:r>
          </w:p>
        </w:tc>
        <w:tc>
          <w:tcPr>
            <w:tcW w:type="dxa" w:w="2268"/>
            <w:shd w:val="clear" w:color="auto" w:fill="F3F8FB"/>
          </w:tcPr>
          <w:p>
            <w:r/>
            <w:r>
              <w:rPr>
                <w:sz w:val="20"/>
              </w:rPr>
              <w:t>~58 клиники</w:t>
            </w:r>
          </w:p>
        </w:tc>
        <w:tc>
          <w:tcPr>
            <w:tcW w:type="dxa" w:w="2494"/>
            <w:shd w:val="clear" w:color="auto" w:fill="F3F8FB"/>
          </w:tcPr>
          <w:p>
            <w:r/>
            <w:r>
              <w:rPr>
                <w:sz w:val="20"/>
              </w:rPr>
              <w:t>коммерческая выручка, контракт с ДЗ на аналитику</w:t>
            </w:r>
          </w:p>
        </w:tc>
      </w:tr>
      <w:tr>
        <w:tc>
          <w:tcPr>
            <w:tcW w:type="dxa" w:w="1928"/>
          </w:tcPr>
          <w:p>
            <w:r/>
            <w:r>
              <w:rPr>
                <w:sz w:val="20"/>
              </w:rPr>
              <w:t>2029</w:t>
            </w:r>
          </w:p>
        </w:tc>
        <w:tc>
          <w:tcPr>
            <w:tcW w:type="dxa" w:w="2494"/>
          </w:tcPr>
          <w:p>
            <w:r/>
            <w:r>
              <w:rPr>
                <w:sz w:val="20"/>
              </w:rPr>
              <w:t>ЦФО, СЗФО, ПФО</w:t>
            </w:r>
          </w:p>
        </w:tc>
        <w:tc>
          <w:tcPr>
            <w:tcW w:type="dxa" w:w="2268"/>
          </w:tcPr>
          <w:p>
            <w:r/>
            <w:r>
              <w:rPr>
                <w:sz w:val="20"/>
              </w:rPr>
              <w:t>~92 клиник, 7 региона B2G</w:t>
            </w:r>
          </w:p>
        </w:tc>
        <w:tc>
          <w:tcPr>
            <w:tcW w:type="dxa" w:w="2494"/>
          </w:tcPr>
          <w:p>
            <w:r/>
            <w:r>
              <w:rPr>
                <w:sz w:val="20"/>
              </w:rPr>
              <w:t>региональные контракты, матчинг донорства</w:t>
            </w:r>
          </w:p>
        </w:tc>
      </w:tr>
      <w:tr>
        <w:tc>
          <w:tcPr>
            <w:tcW w:type="dxa" w:w="1928"/>
            <w:shd w:val="clear" w:color="auto" w:fill="F3F8FB"/>
          </w:tcPr>
          <w:p>
            <w:r/>
            <w:r>
              <w:rPr>
                <w:sz w:val="20"/>
              </w:rPr>
              <w:t>2030</w:t>
            </w:r>
          </w:p>
        </w:tc>
        <w:tc>
          <w:tcPr>
            <w:tcW w:type="dxa" w:w="2494"/>
            <w:shd w:val="clear" w:color="auto" w:fill="F3F8FB"/>
          </w:tcPr>
          <w:p>
            <w:r/>
            <w:r>
              <w:rPr>
                <w:sz w:val="20"/>
              </w:rPr>
              <w:t>Федерально + Хайнань/АТР</w:t>
            </w:r>
          </w:p>
        </w:tc>
        <w:tc>
          <w:tcPr>
            <w:tcW w:type="dxa" w:w="2268"/>
            <w:shd w:val="clear" w:color="auto" w:fill="F3F8FB"/>
          </w:tcPr>
          <w:p>
            <w:r/>
            <w:r>
              <w:rPr>
                <w:sz w:val="20"/>
              </w:rPr>
              <w:t>130+ клиник, 3–13 APAC-партнёров</w:t>
            </w:r>
          </w:p>
        </w:tc>
        <w:tc>
          <w:tcPr>
            <w:tcW w:type="dxa" w:w="2494"/>
            <w:shd w:val="clear" w:color="auto" w:fill="F3F8FB"/>
          </w:tcPr>
          <w:p>
            <w:r/>
            <w:r>
              <w:rPr>
                <w:sz w:val="20"/>
              </w:rPr>
              <w:t>выручка 1352 млн ₽, WFOE в Хайнане</w:t>
            </w:r>
          </w:p>
        </w:tc>
      </w:tr>
    </w:tbl>
    <w:p/>
    <w:p>
      <w:pPr>
        <w:pStyle w:val="Heading2"/>
      </w:pPr>
      <w:r>
        <w:t>8.3. Поставщики и партнёры</w:t>
      </w:r>
    </w:p>
    <w:p>
      <w:pPr>
        <w:pStyle w:val="ListBullet"/>
        <w:ind w:left="340"/>
      </w:pPr>
      <w:r>
        <w:t>облако и ИИ: российские провайдеры с сертификацией ФСТЭК/152-ФЗ;</w:t>
      </w:r>
    </w:p>
    <w:p>
      <w:pPr>
        <w:pStyle w:val="ListBullet"/>
        <w:ind w:left="340"/>
      </w:pPr>
      <w:r>
        <w:t>клиническая база: РНИМУ им. Н. И. Пирогова (якорный партнёр), сеть клиник ВРТ;</w:t>
      </w:r>
    </w:p>
    <w:p>
      <w:pPr>
        <w:pStyle w:val="ListBullet"/>
        <w:ind w:left="340"/>
      </w:pPr>
      <w:r>
        <w:t>лаборатории: партнёры по DFI/MAR-тестированию и генотипированию;</w:t>
      </w:r>
    </w:p>
    <w:p>
      <w:pPr>
        <w:pStyle w:val="ListBullet"/>
        <w:ind w:left="340"/>
      </w:pPr>
      <w:r>
        <w:t>МИС: интеграция с 1С-Медицина, Медиалог и другими системами клиник;</w:t>
      </w:r>
    </w:p>
    <w:p>
      <w:pPr>
        <w:pStyle w:val="ListBullet"/>
        <w:ind w:left="340"/>
      </w:pPr>
      <w:r>
        <w:t>международная юрисдикция: местные юристы NMPA/PIPL, бухгалтерская фирма на Хайнане, опц. холд-ко в Гонконге.</w:t>
      </w:r>
    </w:p>
    <w:p>
      <w:pPr>
        <w:pStyle w:val="Heading2"/>
      </w:pPr>
      <w:r>
        <w:t>8.4. Процессы и контроль качества</w:t>
      </w:r>
    </w:p>
    <w:p>
      <w:pPr>
        <w:pStyle w:val="ListBullet"/>
        <w:ind w:left="340"/>
      </w:pPr>
      <w:r>
        <w:t>клиническая валидация: проспективный дизайн, протокол, Data Safety Monitoring;</w:t>
      </w:r>
    </w:p>
    <w:p>
      <w:pPr>
        <w:pStyle w:val="ListBullet"/>
        <w:ind w:left="340"/>
      </w:pPr>
      <w:r>
        <w:t>MLOps: лаги измерений, мониторинг калибровки, разграничение версий моделей;</w:t>
      </w:r>
    </w:p>
    <w:p>
      <w:pPr>
        <w:pStyle w:val="ListBullet"/>
        <w:ind w:left="340"/>
      </w:pPr>
      <w:r>
        <w:t>комплаенс: 152-ФЗ, лицензии на МИ/ПО, реестровые уведомления оператора ПДн;</w:t>
      </w:r>
    </w:p>
    <w:p>
      <w:pPr>
        <w:pStyle w:val="ListBullet"/>
        <w:ind w:left="340"/>
      </w:pPr>
      <w:r>
        <w:t>ISO 25713 / ГОСТ Р на ПО МИ — по графику регистрации ИИ-МИ.</w:t>
      </w:r>
    </w:p>
    <w:p>
      <w:r>
        <w:rPr>
          <w:b w:val="0"/>
          <w:i w:val="0"/>
          <w:sz w:val="22"/>
        </w:rPr>
        <w:t>План производственной мощности: 2026 — до 70 клиник в конструктиве; 2028 — до 261; 2030 — до 546 клиник без существенных капитальных затрат (SaaS-горизонт масштабирования).</w:t>
      </w:r>
    </w:p>
    <w:p>
      <w:pPr>
        <w:pStyle w:val="Heading2"/>
      </w:pPr>
      <w:r>
        <w:t>8.5. Информационная безопасность и комплаенс</w:t>
      </w:r>
    </w:p>
    <w:tbl>
      <w:tblPr>
        <w:tblStyle w:val="TableGrid"/>
        <w:tblW w:type="auto" w:w="0"/>
        <w:jc w:val="center"/>
        <w:tblLook w:firstColumn="1" w:firstRow="1" w:lastColumn="0" w:lastRow="0" w:noHBand="0" w:noVBand="1" w:val="04A0"/>
      </w:tblPr>
      <w:tblGrid>
        <w:gridCol w:w="3213"/>
        <w:gridCol w:w="3213"/>
        <w:gridCol w:w="3213"/>
      </w:tblGrid>
      <w:tr>
        <w:tc>
          <w:tcPr>
            <w:tcW w:type="dxa" w:w="2494"/>
            <w:shd w:val="clear" w:color="auto" w:fill="0B3D5C"/>
          </w:tcPr>
          <w:p>
            <w:r/>
            <w:r>
              <w:rPr>
                <w:b/>
                <w:color w:val="FFFFFF"/>
                <w:sz w:val="20"/>
              </w:rPr>
              <w:t>Направление</w:t>
            </w:r>
          </w:p>
        </w:tc>
        <w:tc>
          <w:tcPr>
            <w:tcW w:type="dxa" w:w="4762"/>
            <w:shd w:val="clear" w:color="auto" w:fill="0B3D5C"/>
          </w:tcPr>
          <w:p>
            <w:r/>
            <w:r>
              <w:rPr>
                <w:b/>
                <w:color w:val="FFFFFF"/>
                <w:sz w:val="20"/>
              </w:rPr>
              <w:t>Требование/мера</w:t>
            </w:r>
          </w:p>
        </w:tc>
        <w:tc>
          <w:tcPr>
            <w:tcW w:type="dxa" w:w="1247"/>
            <w:shd w:val="clear" w:color="auto" w:fill="0B3D5C"/>
          </w:tcPr>
          <w:p>
            <w:r/>
            <w:r>
              <w:rPr>
                <w:b/>
                <w:color w:val="FFFFFF"/>
                <w:sz w:val="20"/>
              </w:rPr>
              <w:t>Срок</w:t>
            </w:r>
          </w:p>
        </w:tc>
      </w:tr>
      <w:tr>
        <w:tc>
          <w:tcPr>
            <w:tcW w:type="dxa" w:w="2494"/>
          </w:tcPr>
          <w:p>
            <w:r/>
            <w:r>
              <w:rPr>
                <w:sz w:val="20"/>
              </w:rPr>
              <w:t>Обезличивание данных</w:t>
            </w:r>
          </w:p>
        </w:tc>
        <w:tc>
          <w:tcPr>
            <w:tcW w:type="dxa" w:w="4762"/>
          </w:tcPr>
          <w:p>
            <w:r/>
            <w:r>
              <w:rPr>
                <w:sz w:val="20"/>
              </w:rPr>
              <w:t>методы ГОСТ Р 38338; отдельный реестр обезличенных выборок</w:t>
            </w:r>
          </w:p>
        </w:tc>
        <w:tc>
          <w:tcPr>
            <w:tcW w:type="dxa" w:w="1247"/>
          </w:tcPr>
          <w:p>
            <w:r/>
            <w:r>
              <w:rPr>
                <w:sz w:val="20"/>
              </w:rPr>
              <w:t>постоянно</w:t>
            </w:r>
          </w:p>
        </w:tc>
      </w:tr>
      <w:tr>
        <w:tc>
          <w:tcPr>
            <w:tcW w:type="dxa" w:w="2494"/>
            <w:shd w:val="clear" w:color="auto" w:fill="F3F8FB"/>
          </w:tcPr>
          <w:p>
            <w:r/>
            <w:r>
              <w:rPr>
                <w:sz w:val="20"/>
              </w:rPr>
              <w:t>Оператор ПДн</w:t>
            </w:r>
          </w:p>
        </w:tc>
        <w:tc>
          <w:tcPr>
            <w:tcW w:type="dxa" w:w="4762"/>
            <w:shd w:val="clear" w:color="auto" w:fill="F3F8FB"/>
          </w:tcPr>
          <w:p>
            <w:r/>
            <w:r>
              <w:rPr>
                <w:sz w:val="20"/>
              </w:rPr>
              <w:t>уведомление РКН; политика обработки; согласия на обработку</w:t>
            </w:r>
          </w:p>
        </w:tc>
        <w:tc>
          <w:tcPr>
            <w:tcW w:type="dxa" w:w="1247"/>
            <w:shd w:val="clear" w:color="auto" w:fill="F3F8FB"/>
          </w:tcPr>
          <w:p>
            <w:r/>
            <w:r>
              <w:rPr>
                <w:sz w:val="20"/>
              </w:rPr>
              <w:t>Seed</w:t>
            </w:r>
          </w:p>
        </w:tc>
      </w:tr>
      <w:tr>
        <w:tc>
          <w:tcPr>
            <w:tcW w:type="dxa" w:w="2494"/>
          </w:tcPr>
          <w:p>
            <w:r/>
            <w:r>
              <w:rPr>
                <w:sz w:val="20"/>
              </w:rPr>
              <w:t>Инфраструктура</w:t>
            </w:r>
          </w:p>
        </w:tc>
        <w:tc>
          <w:tcPr>
            <w:tcW w:type="dxa" w:w="4762"/>
          </w:tcPr>
          <w:p>
            <w:r/>
            <w:r>
              <w:rPr>
                <w:sz w:val="20"/>
              </w:rPr>
              <w:t>аттестованные РФ-облака (152-ФЗ); сегрегация сред; аудит конфигураций</w:t>
            </w:r>
          </w:p>
        </w:tc>
        <w:tc>
          <w:tcPr>
            <w:tcW w:type="dxa" w:w="1247"/>
          </w:tcPr>
          <w:p>
            <w:r/>
            <w:r>
              <w:rPr>
                <w:sz w:val="20"/>
              </w:rPr>
              <w:t>Seed/Series A</w:t>
            </w:r>
          </w:p>
        </w:tc>
      </w:tr>
      <w:tr>
        <w:tc>
          <w:tcPr>
            <w:tcW w:type="dxa" w:w="2494"/>
            <w:shd w:val="clear" w:color="auto" w:fill="F3F8FB"/>
          </w:tcPr>
          <w:p>
            <w:r/>
            <w:r>
              <w:rPr>
                <w:sz w:val="20"/>
              </w:rPr>
              <w:t>Доступ и роли</w:t>
            </w:r>
          </w:p>
        </w:tc>
        <w:tc>
          <w:tcPr>
            <w:tcW w:type="dxa" w:w="4762"/>
            <w:shd w:val="clear" w:color="auto" w:fill="F3F8FB"/>
          </w:tcPr>
          <w:p>
            <w:r/>
            <w:r>
              <w:rPr>
                <w:sz w:val="20"/>
              </w:rPr>
              <w:t>RBAC, отдельное логирование, MFA для администраторов</w:t>
            </w:r>
          </w:p>
        </w:tc>
        <w:tc>
          <w:tcPr>
            <w:tcW w:type="dxa" w:w="1247"/>
            <w:shd w:val="clear" w:color="auto" w:fill="F3F8FB"/>
          </w:tcPr>
          <w:p>
            <w:r/>
            <w:r>
              <w:rPr>
                <w:sz w:val="20"/>
              </w:rPr>
              <w:t>Seed</w:t>
            </w:r>
          </w:p>
        </w:tc>
      </w:tr>
      <w:tr>
        <w:tc>
          <w:tcPr>
            <w:tcW w:type="dxa" w:w="2494"/>
          </w:tcPr>
          <w:p>
            <w:r/>
            <w:r>
              <w:rPr>
                <w:sz w:val="20"/>
              </w:rPr>
              <w:t>Резервирование</w:t>
            </w:r>
          </w:p>
        </w:tc>
        <w:tc>
          <w:tcPr>
            <w:tcW w:type="dxa" w:w="4762"/>
          </w:tcPr>
          <w:p>
            <w:r/>
            <w:r>
              <w:rPr>
                <w:sz w:val="20"/>
              </w:rPr>
              <w:t>SLA 157,0%; два независимых ЦОД; план БКR</w:t>
            </w:r>
          </w:p>
        </w:tc>
        <w:tc>
          <w:tcPr>
            <w:tcW w:type="dxa" w:w="1247"/>
          </w:tcPr>
          <w:p>
            <w:r/>
            <w:r>
              <w:rPr>
                <w:sz w:val="20"/>
              </w:rPr>
              <w:t>Series A</w:t>
            </w:r>
          </w:p>
        </w:tc>
      </w:tr>
      <w:tr>
        <w:tc>
          <w:tcPr>
            <w:tcW w:type="dxa" w:w="2494"/>
            <w:shd w:val="clear" w:color="auto" w:fill="F3F8FB"/>
          </w:tcPr>
          <w:p>
            <w:r/>
            <w:r>
              <w:rPr>
                <w:sz w:val="20"/>
              </w:rPr>
              <w:t>Международные транзакции</w:t>
            </w:r>
          </w:p>
        </w:tc>
        <w:tc>
          <w:tcPr>
            <w:tcW w:type="dxa" w:w="4762"/>
            <w:shd w:val="clear" w:color="auto" w:fill="F3F8FB"/>
          </w:tcPr>
          <w:p>
            <w:r/>
            <w:r>
              <w:rPr>
                <w:sz w:val="20"/>
              </w:rPr>
              <w:t>PIPL-режим для КНР; запрет на экспорт сырых ПДн из РФ</w:t>
            </w:r>
          </w:p>
        </w:tc>
        <w:tc>
          <w:tcPr>
            <w:tcW w:type="dxa" w:w="1247"/>
            <w:shd w:val="clear" w:color="auto" w:fill="F3F8FB"/>
          </w:tcPr>
          <w:p>
            <w:r/>
            <w:r>
              <w:rPr>
                <w:sz w:val="20"/>
              </w:rPr>
              <w:t>2028+</w:t>
            </w:r>
          </w:p>
        </w:tc>
      </w:tr>
      <w:tr>
        <w:tc>
          <w:tcPr>
            <w:tcW w:type="dxa" w:w="2494"/>
          </w:tcPr>
          <w:p>
            <w:r/>
            <w:r>
              <w:rPr>
                <w:sz w:val="20"/>
              </w:rPr>
              <w:t>Вендоры и подрядчики</w:t>
            </w:r>
          </w:p>
        </w:tc>
        <w:tc>
          <w:tcPr>
            <w:tcW w:type="dxa" w:w="4762"/>
          </w:tcPr>
          <w:p>
            <w:r/>
            <w:r>
              <w:rPr>
                <w:sz w:val="20"/>
              </w:rPr>
              <w:t>плановые DPA; проверки SOC3/ИСО-аналогов</w:t>
            </w:r>
          </w:p>
        </w:tc>
        <w:tc>
          <w:tcPr>
            <w:tcW w:type="dxa" w:w="1247"/>
          </w:tcPr>
          <w:p>
            <w:r/>
            <w:r>
              <w:rPr>
                <w:sz w:val="20"/>
              </w:rPr>
              <w:t>постоянно</w:t>
            </w:r>
          </w:p>
        </w:tc>
      </w:tr>
    </w:tbl>
    <w:p/>
    <w:p>
      <w:r>
        <w:rPr>
          <w:b w:val="0"/>
          <w:i w:val="0"/>
          <w:sz w:val="22"/>
        </w:rPr>
        <w:t>Наличие сертифицированного контура безопасности — условия участия в госпрограммах и контрактах B2G, поэтому бюджет на ИБ заложен в статью «ИТ-инфраструктура» с 2026 года.</w:t>
      </w:r>
    </w:p>
    <w:p>
      <w:r>
        <w:br w:type="page"/>
      </w:r>
    </w:p>
    <w:p>
      <w:pPr>
        <w:pStyle w:val="Heading1"/>
        <w:shd w:val="clear" w:color="auto" w:fill="EAF4F8"/>
      </w:pPr>
      <w:r>
        <w:t>9. ДОРОЖНАЯ КАРТА ПРОЕКТА</w:t>
      </w:r>
    </w:p>
    <w:p>
      <w:pPr>
        <w:pStyle w:val="Heading2"/>
      </w:pPr>
      <w:r>
        <w:t>9.1. Принцип планирования</w:t>
      </w:r>
    </w:p>
    <w:p>
      <w:r>
        <w:rPr>
          <w:b w:val="0"/>
          <w:i w:val="0"/>
          <w:sz w:val="22"/>
        </w:rPr>
        <w:t>Планирование построено по контрольным точкам (milestones), каждая из которых является финансовым gate для следующего этапа. Достижение вехи верифицируемо объективным показателем (число циклов, AUC, договоры), что позволяет инвестору контролировать исполнение без микроуправления.</w:t>
      </w:r>
    </w:p>
    <w:tbl>
      <w:tblPr>
        <w:tblStyle w:val="TableGrid"/>
        <w:tblW w:type="auto" w:w="0"/>
        <w:jc w:val="center"/>
        <w:tblLook w:firstColumn="1" w:firstRow="1" w:lastColumn="0" w:lastRow="0" w:noHBand="0" w:noVBand="1" w:val="04A0"/>
      </w:tblPr>
      <w:tblGrid>
        <w:gridCol w:w="3213"/>
        <w:gridCol w:w="3213"/>
        <w:gridCol w:w="3213"/>
      </w:tblGrid>
      <w:tr>
        <w:tc>
          <w:tcPr>
            <w:tcW w:type="dxa" w:w="1814"/>
            <w:shd w:val="clear" w:color="auto" w:fill="0B3D5C"/>
          </w:tcPr>
          <w:p>
            <w:r/>
            <w:r>
              <w:rPr>
                <w:b/>
                <w:color w:val="FFFFFF"/>
                <w:sz w:val="20"/>
              </w:rPr>
              <w:t>Период</w:t>
            </w:r>
          </w:p>
        </w:tc>
        <w:tc>
          <w:tcPr>
            <w:tcW w:type="dxa" w:w="5102"/>
            <w:shd w:val="clear" w:color="auto" w:fill="0B3D5C"/>
          </w:tcPr>
          <w:p>
            <w:r/>
            <w:r>
              <w:rPr>
                <w:b/>
                <w:color w:val="FFFFFF"/>
                <w:sz w:val="20"/>
              </w:rPr>
              <w:t>Ключевые задачи</w:t>
            </w:r>
          </w:p>
        </w:tc>
        <w:tc>
          <w:tcPr>
            <w:tcW w:type="dxa" w:w="2494"/>
            <w:shd w:val="clear" w:color="auto" w:fill="0B3D5C"/>
          </w:tcPr>
          <w:p>
            <w:r/>
            <w:r>
              <w:rPr>
                <w:b/>
                <w:color w:val="FFFFFF"/>
                <w:sz w:val="20"/>
              </w:rPr>
              <w:t>Критерий успеха (gate)</w:t>
            </w:r>
          </w:p>
        </w:tc>
      </w:tr>
      <w:tr>
        <w:tc>
          <w:tcPr>
            <w:tcW w:type="dxa" w:w="1814"/>
          </w:tcPr>
          <w:p>
            <w:r/>
            <w:r>
              <w:rPr>
                <w:sz w:val="20"/>
              </w:rPr>
              <w:t>Q1–Q3 2026</w:t>
            </w:r>
          </w:p>
        </w:tc>
        <w:tc>
          <w:tcPr>
            <w:tcW w:type="dxa" w:w="5102"/>
          </w:tcPr>
          <w:p>
            <w:r/>
            <w:r>
              <w:rPr>
                <w:sz w:val="20"/>
              </w:rPr>
              <w:t>Доработка ядра; старт пилота РНИМУ; регистрация ПОЭВМ и депонирование ТЗ; подписание DPA-пакетов; найм ядра команды; заявки на гранты</w:t>
            </w:r>
          </w:p>
        </w:tc>
        <w:tc>
          <w:tcPr>
            <w:tcW w:type="dxa" w:w="2494"/>
          </w:tcPr>
          <w:p>
            <w:r/>
            <w:r>
              <w:rPr>
                <w:sz w:val="20"/>
              </w:rPr>
              <w:t>AUC ≥ 0,55 на независимой выборке; готовность V1</w:t>
            </w:r>
          </w:p>
        </w:tc>
      </w:tr>
      <w:tr>
        <w:tc>
          <w:tcPr>
            <w:tcW w:type="dxa" w:w="1814"/>
            <w:shd w:val="clear" w:color="auto" w:fill="F3F8FB"/>
          </w:tcPr>
          <w:p>
            <w:r/>
            <w:r>
              <w:rPr>
                <w:sz w:val="20"/>
              </w:rPr>
              <w:t>Q7–Q3 2026</w:t>
            </w:r>
          </w:p>
        </w:tc>
        <w:tc>
          <w:tcPr>
            <w:tcW w:type="dxa" w:w="5102"/>
            <w:shd w:val="clear" w:color="auto" w:fill="F3F8FB"/>
          </w:tcPr>
          <w:p>
            <w:r/>
            <w:r>
              <w:rPr>
                <w:sz w:val="20"/>
              </w:rPr>
              <w:t>Интеграция с МИС первых клиник; сбор данных 7+ тыс. циклов; подписание первого платящего договора</w:t>
            </w:r>
          </w:p>
        </w:tc>
        <w:tc>
          <w:tcPr>
            <w:tcW w:type="dxa" w:w="2494"/>
            <w:shd w:val="clear" w:color="auto" w:fill="F3F8FB"/>
          </w:tcPr>
          <w:p>
            <w:r/>
            <w:r>
              <w:rPr>
                <w:sz w:val="20"/>
              </w:rPr>
              <w:t>Первый платящий клиент; 7 клиники-абонента</w:t>
            </w:r>
          </w:p>
        </w:tc>
      </w:tr>
      <w:tr>
        <w:tc>
          <w:tcPr>
            <w:tcW w:type="dxa" w:w="1814"/>
          </w:tcPr>
          <w:p>
            <w:r/>
            <w:r>
              <w:rPr>
                <w:sz w:val="20"/>
              </w:rPr>
              <w:t>Q1–Q3 2027</w:t>
            </w:r>
          </w:p>
        </w:tc>
        <w:tc>
          <w:tcPr>
            <w:tcW w:type="dxa" w:w="5102"/>
          </w:tcPr>
          <w:p>
            <w:r/>
            <w:r>
              <w:rPr>
                <w:sz w:val="20"/>
              </w:rPr>
              <w:t>Проспективная валидация (6–14 тыс. циклов); регистрация ИИ-МИ; подготовка модуля CLBR для пилота ДЗ</w:t>
            </w:r>
          </w:p>
        </w:tc>
        <w:tc>
          <w:tcPr>
            <w:tcW w:type="dxa" w:w="2494"/>
          </w:tcPr>
          <w:p>
            <w:r/>
            <w:r>
              <w:rPr>
                <w:sz w:val="20"/>
              </w:rPr>
              <w:t>Прошёл Data Safety Monitoring; досье в Росздравнадзоре</w:t>
            </w:r>
          </w:p>
        </w:tc>
      </w:tr>
      <w:tr>
        <w:tc>
          <w:tcPr>
            <w:tcW w:type="dxa" w:w="1814"/>
            <w:shd w:val="clear" w:color="auto" w:fill="F3F8FB"/>
          </w:tcPr>
          <w:p>
            <w:r/>
            <w:r>
              <w:rPr>
                <w:sz w:val="20"/>
              </w:rPr>
              <w:t>Q7–Q3 2027</w:t>
            </w:r>
          </w:p>
        </w:tc>
        <w:tc>
          <w:tcPr>
            <w:tcW w:type="dxa" w:w="5102"/>
            <w:shd w:val="clear" w:color="auto" w:fill="F3F8FB"/>
          </w:tcPr>
          <w:p>
            <w:r/>
            <w:r>
              <w:rPr>
                <w:sz w:val="20"/>
              </w:rPr>
              <w:t>Серия A закрыта; коммерческий запуск; публикация результатов валидации; создание lab (клинические данные)</w:t>
            </w:r>
          </w:p>
        </w:tc>
        <w:tc>
          <w:tcPr>
            <w:tcW w:type="dxa" w:w="2494"/>
            <w:shd w:val="clear" w:color="auto" w:fill="F3F8FB"/>
          </w:tcPr>
          <w:p>
            <w:r/>
            <w:r>
              <w:rPr>
                <w:sz w:val="20"/>
              </w:rPr>
              <w:t>Выручка ≈82,0 млн ₽; 26 клиник</w:t>
            </w:r>
          </w:p>
        </w:tc>
      </w:tr>
      <w:tr>
        <w:tc>
          <w:tcPr>
            <w:tcW w:type="dxa" w:w="1814"/>
          </w:tcPr>
          <w:p>
            <w:r/>
            <w:r>
              <w:rPr>
                <w:sz w:val="20"/>
              </w:rPr>
              <w:t>2028</w:t>
            </w:r>
          </w:p>
        </w:tc>
        <w:tc>
          <w:tcPr>
            <w:tcW w:type="dxa" w:w="5102"/>
          </w:tcPr>
          <w:p>
            <w:r/>
            <w:r>
              <w:rPr>
                <w:sz w:val="20"/>
              </w:rPr>
              <w:t>Модули niPGT-A/эндометрий; ДЗ-контракт аналитики; EBITDA-безубыточность</w:t>
            </w:r>
          </w:p>
        </w:tc>
        <w:tc>
          <w:tcPr>
            <w:tcW w:type="dxa" w:w="2494"/>
          </w:tcPr>
          <w:p>
            <w:r/>
            <w:r>
              <w:rPr>
                <w:sz w:val="20"/>
              </w:rPr>
              <w:t>EBITDA ≥ 1; 58 клиники; 3 B2G</w:t>
            </w:r>
          </w:p>
        </w:tc>
      </w:tr>
      <w:tr>
        <w:tc>
          <w:tcPr>
            <w:tcW w:type="dxa" w:w="1814"/>
            <w:shd w:val="clear" w:color="auto" w:fill="F3F8FB"/>
          </w:tcPr>
          <w:p>
            <w:r/>
            <w:r>
              <w:rPr>
                <w:sz w:val="20"/>
              </w:rPr>
              <w:t>2029</w:t>
            </w:r>
          </w:p>
        </w:tc>
        <w:tc>
          <w:tcPr>
            <w:tcW w:type="dxa" w:w="5102"/>
            <w:shd w:val="clear" w:color="auto" w:fill="F3F8FB"/>
          </w:tcPr>
          <w:p>
            <w:r/>
            <w:r>
              <w:rPr>
                <w:sz w:val="20"/>
              </w:rPr>
              <w:t>Регионы; матчинг донорства/СМ; WFOE Хайнань; сборка APAC-протокола</w:t>
            </w:r>
          </w:p>
        </w:tc>
        <w:tc>
          <w:tcPr>
            <w:tcW w:type="dxa" w:w="2494"/>
            <w:shd w:val="clear" w:color="auto" w:fill="F3F8FB"/>
          </w:tcPr>
          <w:p>
            <w:r/>
            <w:r>
              <w:rPr>
                <w:sz w:val="20"/>
              </w:rPr>
              <w:t>92 клиник; 7 B2G; 1 партнёр АТР</w:t>
            </w:r>
          </w:p>
        </w:tc>
      </w:tr>
      <w:tr>
        <w:tc>
          <w:tcPr>
            <w:tcW w:type="dxa" w:w="1814"/>
          </w:tcPr>
          <w:p>
            <w:r/>
            <w:r>
              <w:rPr>
                <w:sz w:val="20"/>
              </w:rPr>
              <w:t>2030</w:t>
            </w:r>
          </w:p>
        </w:tc>
        <w:tc>
          <w:tcPr>
            <w:tcW w:type="dxa" w:w="5102"/>
          </w:tcPr>
          <w:p>
            <w:r/>
            <w:r>
              <w:rPr>
                <w:sz w:val="20"/>
              </w:rPr>
              <w:t>Филдинг для exit-цикла; масштабирование АТР; перинатальные модули</w:t>
            </w:r>
          </w:p>
        </w:tc>
        <w:tc>
          <w:tcPr>
            <w:tcW w:type="dxa" w:w="2494"/>
          </w:tcPr>
          <w:p>
            <w:r/>
            <w:r>
              <w:rPr>
                <w:sz w:val="20"/>
              </w:rPr>
              <w:t>Выручка 1352 млн ₽; EBITDA 963 млн ₽; 7 АТР-партнёра</w:t>
            </w:r>
          </w:p>
        </w:tc>
      </w:tr>
    </w:tbl>
    <w:p/>
    <w:p>
      <w:pPr>
        <w:pStyle w:val="Heading2"/>
      </w:pPr>
      <w:r>
        <w:t>9.2. Дорожная карта продукта</w:t>
      </w:r>
    </w:p>
    <w:p>
      <w:pPr>
        <w:pStyle w:val="ListBullet"/>
        <w:ind w:left="340"/>
      </w:pPr>
      <w:r>
        <w:t>2026 — V1 ядро + интеграции; 2027 — сертифицированный ИИ-МИ (основной контур); 2028 — V3 (niPGT-A, эндометрий, CLBR); 2029 — V7 (матчинг СМ, семейный консилиум, преимплантационный скрининг наследственных рисков); 2030 — V3 (перинатальный контур, МПР).</w:t>
      </w:r>
    </w:p>
    <w:p>
      <w:pPr>
        <w:pStyle w:val="Heading2"/>
      </w:pPr>
      <w:r>
        <w:t>9.3. Зависимость этапов от финансирования</w:t>
      </w:r>
    </w:p>
    <w:tbl>
      <w:tblPr>
        <w:tblW w:type="auto" w:w="0"/>
        <w:jc w:val="center"/>
        <w:tblLook w:firstColumn="1" w:firstRow="1" w:lastColumn="0" w:lastRow="0" w:noHBand="0" w:noVBand="1" w:val="04A0"/>
      </w:tblPr>
      <w:tblGrid>
        <w:gridCol w:w="4819"/>
        <w:gridCol w:w="4819"/>
      </w:tblGrid>
      <w:tr>
        <w:tc>
          <w:tcPr>
            <w:tcW w:type="dxa" w:w="4252"/>
            <w:shd w:val="clear" w:color="auto" w:fill="EAF4F8"/>
          </w:tcPr>
          <w:p>
            <w:r/>
            <w:r>
              <w:rPr>
                <w:b/>
                <w:color w:val="0B3D5C"/>
                <w:sz w:val="21"/>
              </w:rPr>
              <w:t>Без Раунда 3 (Series A)</w:t>
            </w:r>
          </w:p>
        </w:tc>
        <w:tc>
          <w:tcPr>
            <w:tcW w:type="dxa" w:w="5102"/>
            <w:shd w:val="clear" w:color="auto" w:fill="EAF4F8"/>
          </w:tcPr>
          <w:p>
            <w:r/>
            <w:r>
              <w:rPr>
                <w:b/>
                <w:sz w:val="21"/>
              </w:rPr>
              <w:t>задержка коммерциализации на 1,8–3 года; прототип не конвертируется в федеральный выход</w:t>
            </w:r>
          </w:p>
        </w:tc>
      </w:tr>
      <w:tr>
        <w:tc>
          <w:tcPr>
            <w:tcW w:type="dxa" w:w="4252"/>
            <w:shd w:val="clear" w:color="auto" w:fill="EAF4F8"/>
          </w:tcPr>
          <w:p>
            <w:r/>
            <w:r>
              <w:rPr>
                <w:b/>
                <w:color w:val="0B3D5C"/>
                <w:sz w:val="21"/>
              </w:rPr>
              <w:t>Минимальный трек</w:t>
            </w:r>
          </w:p>
        </w:tc>
        <w:tc>
          <w:tcPr>
            <w:tcW w:type="dxa" w:w="5102"/>
            <w:shd w:val="clear" w:color="auto" w:fill="EAF4F8"/>
          </w:tcPr>
          <w:p>
            <w:r/>
            <w:r>
              <w:rPr>
                <w:b/>
                <w:sz w:val="21"/>
              </w:rPr>
              <w:t>Гранты 17 млн ₽ (2026–2030) + выручка удерживают пилот и R&amp;D без Раунда 3</w:t>
            </w:r>
          </w:p>
        </w:tc>
      </w:tr>
      <w:tr>
        <w:tc>
          <w:tcPr>
            <w:tcW w:type="dxa" w:w="4252"/>
            <w:shd w:val="clear" w:color="auto" w:fill="EAF4F8"/>
          </w:tcPr>
          <w:p>
            <w:r/>
            <w:r>
              <w:rPr>
                <w:b/>
                <w:color w:val="0B3D5C"/>
                <w:sz w:val="21"/>
              </w:rPr>
              <w:t>Разрыв бюджета до безубыточности</w:t>
            </w:r>
          </w:p>
        </w:tc>
        <w:tc>
          <w:tcPr>
            <w:tcW w:type="dxa" w:w="5102"/>
            <w:shd w:val="clear" w:color="auto" w:fill="EAF4F8"/>
          </w:tcPr>
          <w:p>
            <w:r/>
            <w:r>
              <w:rPr>
                <w:b/>
                <w:sz w:val="21"/>
              </w:rPr>
              <w:t>покрывается Series A (78 млн ₽) за 2027–2028</w:t>
            </w:r>
          </w:p>
        </w:tc>
      </w:tr>
    </w:tbl>
    <w:p/>
    <w:p>
      <w:pPr>
        <w:pStyle w:val="Heading2"/>
      </w:pPr>
      <w:r>
        <w:t>9.4. Ключевые вехи для управления рисками</w:t>
      </w:r>
    </w:p>
    <w:p>
      <w:pPr>
        <w:pStyle w:val="ListBullet"/>
        <w:ind w:left="340"/>
      </w:pPr>
      <w:r>
        <w:t>месяц 7: зафиксирован научный протокол и Data Safety Monitoring; месяц 13: AUC на независимой выборке; месяц 26: первые платящие договоры; месяц 23: прошла проспективная валидация; месяц 39: закрыта Series A; месяц 59: EBITDA ≥ 1.</w:t>
      </w:r>
    </w:p>
    <w:p>
      <w:pPr>
        <w:pStyle w:val="Heading3"/>
      </w:pPr>
      <w:r>
        <w:t>9.5. Таймлайн 2026–2027 (первое окно инвестиций)</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361"/>
            <w:shd w:val="clear" w:color="auto" w:fill="0B3D5C"/>
          </w:tcPr>
          <w:p>
            <w:r/>
            <w:r>
              <w:rPr>
                <w:b/>
                <w:color w:val="FFFFFF"/>
                <w:sz w:val="20"/>
              </w:rPr>
              <w:t>Период</w:t>
            </w:r>
          </w:p>
        </w:tc>
        <w:tc>
          <w:tcPr>
            <w:tcW w:type="dxa" w:w="4309"/>
            <w:shd w:val="clear" w:color="auto" w:fill="0B3D5C"/>
          </w:tcPr>
          <w:p>
            <w:r/>
            <w:r>
              <w:rPr>
                <w:b/>
                <w:color w:val="FFFFFF"/>
                <w:sz w:val="20"/>
              </w:rPr>
              <w:t>Задачи</w:t>
            </w:r>
          </w:p>
        </w:tc>
        <w:tc>
          <w:tcPr>
            <w:tcW w:type="dxa" w:w="1701"/>
            <w:shd w:val="clear" w:color="auto" w:fill="0B3D5C"/>
          </w:tcPr>
          <w:p>
            <w:r/>
            <w:r>
              <w:rPr>
                <w:b/>
                <w:color w:val="FFFFFF"/>
                <w:sz w:val="20"/>
              </w:rPr>
              <w:t>Исполнители</w:t>
            </w:r>
          </w:p>
        </w:tc>
        <w:tc>
          <w:tcPr>
            <w:tcW w:type="dxa" w:w="2381"/>
            <w:shd w:val="clear" w:color="auto" w:fill="0B3D5C"/>
          </w:tcPr>
          <w:p>
            <w:r/>
            <w:r>
              <w:rPr>
                <w:b/>
                <w:color w:val="FFFFFF"/>
                <w:sz w:val="20"/>
              </w:rPr>
              <w:t>Gate-показатель</w:t>
            </w:r>
          </w:p>
        </w:tc>
      </w:tr>
      <w:tr>
        <w:tc>
          <w:tcPr>
            <w:tcW w:type="dxa" w:w="1361"/>
          </w:tcPr>
          <w:p>
            <w:r/>
            <w:r>
              <w:rPr>
                <w:sz w:val="20"/>
              </w:rPr>
              <w:t>Q1 2026</w:t>
            </w:r>
          </w:p>
        </w:tc>
        <w:tc>
          <w:tcPr>
            <w:tcW w:type="dxa" w:w="4309"/>
          </w:tcPr>
          <w:p>
            <w:r/>
            <w:r>
              <w:rPr>
                <w:sz w:val="20"/>
              </w:rPr>
              <w:t>Seed-закрытие; найм 3–13 ключевых специалистов; запуск протокола; DPA-пакеты; старт интеграции МИС</w:t>
            </w:r>
          </w:p>
        </w:tc>
        <w:tc>
          <w:tcPr>
            <w:tcW w:type="dxa" w:w="1701"/>
          </w:tcPr>
          <w:p>
            <w:r/>
            <w:r>
              <w:rPr>
                <w:sz w:val="20"/>
              </w:rPr>
              <w:t>ФТ/D, ML-команда</w:t>
            </w:r>
          </w:p>
        </w:tc>
        <w:tc>
          <w:tcPr>
            <w:tcW w:type="dxa" w:w="2381"/>
          </w:tcPr>
          <w:p>
            <w:r/>
            <w:r>
              <w:rPr>
                <w:sz w:val="20"/>
              </w:rPr>
              <w:t>Подписанные DPA; 1-я клиника интегрирована</w:t>
            </w:r>
          </w:p>
        </w:tc>
      </w:tr>
      <w:tr>
        <w:tc>
          <w:tcPr>
            <w:tcW w:type="dxa" w:w="1361"/>
            <w:shd w:val="clear" w:color="auto" w:fill="F3F8FB"/>
          </w:tcPr>
          <w:p>
            <w:r/>
            <w:r>
              <w:rPr>
                <w:sz w:val="20"/>
              </w:rPr>
              <w:t>Q3 2026</w:t>
            </w:r>
          </w:p>
        </w:tc>
        <w:tc>
          <w:tcPr>
            <w:tcW w:type="dxa" w:w="4309"/>
            <w:shd w:val="clear" w:color="auto" w:fill="F3F8FB"/>
          </w:tcPr>
          <w:p>
            <w:r/>
            <w:r>
              <w:rPr>
                <w:sz w:val="20"/>
              </w:rPr>
              <w:t>Сбор исторических данных 7+ тыс. циклов; обучение V1; подача на гранты ФСИ/Сколково; регистрация ПОЭВМ</w:t>
            </w:r>
          </w:p>
        </w:tc>
        <w:tc>
          <w:tcPr>
            <w:tcW w:type="dxa" w:w="1701"/>
            <w:shd w:val="clear" w:color="auto" w:fill="F3F8FB"/>
          </w:tcPr>
          <w:p>
            <w:r/>
            <w:r>
              <w:rPr>
                <w:sz w:val="20"/>
              </w:rPr>
              <w:t>R&amp;D, регуляторика</w:t>
            </w:r>
          </w:p>
        </w:tc>
        <w:tc>
          <w:tcPr>
            <w:tcW w:type="dxa" w:w="2381"/>
            <w:shd w:val="clear" w:color="auto" w:fill="F3F8FB"/>
          </w:tcPr>
          <w:p>
            <w:r/>
            <w:r>
              <w:rPr>
                <w:sz w:val="20"/>
              </w:rPr>
              <w:t>AUC ≥ 0,55; 3 грантовые заявки</w:t>
            </w:r>
          </w:p>
        </w:tc>
      </w:tr>
      <w:tr>
        <w:tc>
          <w:tcPr>
            <w:tcW w:type="dxa" w:w="1361"/>
          </w:tcPr>
          <w:p>
            <w:r/>
            <w:r>
              <w:rPr>
                <w:sz w:val="20"/>
              </w:rPr>
              <w:t>Q7 2026</w:t>
            </w:r>
          </w:p>
        </w:tc>
        <w:tc>
          <w:tcPr>
            <w:tcW w:type="dxa" w:w="4309"/>
          </w:tcPr>
          <w:p>
            <w:r/>
            <w:r>
              <w:rPr>
                <w:sz w:val="20"/>
              </w:rPr>
              <w:t>Пилотные запуски в 7 московских центрах; сбор проспективных данных; «песочница» ДЗМ</w:t>
            </w:r>
          </w:p>
        </w:tc>
        <w:tc>
          <w:tcPr>
            <w:tcW w:type="dxa" w:w="1701"/>
          </w:tcPr>
          <w:p>
            <w:r/>
            <w:r>
              <w:rPr>
                <w:sz w:val="20"/>
              </w:rPr>
              <w:t>Клиника, MLOps</w:t>
            </w:r>
          </w:p>
        </w:tc>
        <w:tc>
          <w:tcPr>
            <w:tcW w:type="dxa" w:w="2381"/>
          </w:tcPr>
          <w:p>
            <w:r/>
            <w:r>
              <w:rPr>
                <w:sz w:val="20"/>
              </w:rPr>
              <w:t>912+ циклов проспектива; рост AUC</w:t>
            </w:r>
          </w:p>
        </w:tc>
      </w:tr>
      <w:tr>
        <w:tc>
          <w:tcPr>
            <w:tcW w:type="dxa" w:w="1361"/>
            <w:shd w:val="clear" w:color="auto" w:fill="F3F8FB"/>
          </w:tcPr>
          <w:p>
            <w:r/>
            <w:r>
              <w:rPr>
                <w:sz w:val="20"/>
              </w:rPr>
              <w:t>Q3 2026</w:t>
            </w:r>
          </w:p>
        </w:tc>
        <w:tc>
          <w:tcPr>
            <w:tcW w:type="dxa" w:w="4309"/>
            <w:shd w:val="clear" w:color="auto" w:fill="F3F8FB"/>
          </w:tcPr>
          <w:p>
            <w:r/>
            <w:r>
              <w:rPr>
                <w:sz w:val="20"/>
              </w:rPr>
              <w:t>Первый платящий договор; питч Series A; подача патентных заявок; усиление команды продаж</w:t>
            </w:r>
          </w:p>
        </w:tc>
        <w:tc>
          <w:tcPr>
            <w:tcW w:type="dxa" w:w="1701"/>
            <w:shd w:val="clear" w:color="auto" w:fill="F3F8FB"/>
          </w:tcPr>
          <w:p>
            <w:r/>
            <w:r>
              <w:rPr>
                <w:sz w:val="20"/>
              </w:rPr>
              <w:t>Все</w:t>
            </w:r>
          </w:p>
        </w:tc>
        <w:tc>
          <w:tcPr>
            <w:tcW w:type="dxa" w:w="2381"/>
            <w:shd w:val="clear" w:color="auto" w:fill="F3F8FB"/>
          </w:tcPr>
          <w:p>
            <w:r/>
            <w:r>
              <w:rPr>
                <w:sz w:val="20"/>
              </w:rPr>
              <w:t>Выручка &gt; 1; 26 клиник в воронке</w:t>
            </w:r>
          </w:p>
        </w:tc>
      </w:tr>
      <w:tr>
        <w:tc>
          <w:tcPr>
            <w:tcW w:type="dxa" w:w="1361"/>
          </w:tcPr>
          <w:p>
            <w:r/>
            <w:r>
              <w:rPr>
                <w:sz w:val="20"/>
              </w:rPr>
              <w:t>Q1 2027</w:t>
            </w:r>
          </w:p>
        </w:tc>
        <w:tc>
          <w:tcPr>
            <w:tcW w:type="dxa" w:w="4309"/>
          </w:tcPr>
          <w:p>
            <w:r/>
            <w:r>
              <w:rPr>
                <w:sz w:val="20"/>
              </w:rPr>
              <w:t>Проспективная валидация (6–14 тыс. циклов); досье Росздравнадзора; материалы для ДЗ-пилота</w:t>
            </w:r>
          </w:p>
        </w:tc>
        <w:tc>
          <w:tcPr>
            <w:tcW w:type="dxa" w:w="1701"/>
          </w:tcPr>
          <w:p>
            <w:r/>
            <w:r>
              <w:rPr>
                <w:sz w:val="20"/>
              </w:rPr>
              <w:t>Клиника, регуляторика</w:t>
            </w:r>
          </w:p>
        </w:tc>
        <w:tc>
          <w:tcPr>
            <w:tcW w:type="dxa" w:w="2381"/>
          </w:tcPr>
          <w:p>
            <w:r/>
            <w:r>
              <w:rPr>
                <w:sz w:val="20"/>
              </w:rPr>
              <w:t>Протокол утверждён этич. комитетом</w:t>
            </w:r>
          </w:p>
        </w:tc>
      </w:tr>
      <w:tr>
        <w:tc>
          <w:tcPr>
            <w:tcW w:type="dxa" w:w="1361"/>
            <w:shd w:val="clear" w:color="auto" w:fill="F3F8FB"/>
          </w:tcPr>
          <w:p>
            <w:r/>
            <w:r>
              <w:rPr>
                <w:sz w:val="20"/>
              </w:rPr>
              <w:t>Q3 2027</w:t>
            </w:r>
          </w:p>
        </w:tc>
        <w:tc>
          <w:tcPr>
            <w:tcW w:type="dxa" w:w="4309"/>
            <w:shd w:val="clear" w:color="auto" w:fill="F3F8FB"/>
          </w:tcPr>
          <w:p>
            <w:r/>
            <w:r>
              <w:rPr>
                <w:sz w:val="20"/>
              </w:rPr>
              <w:t>Промежуточный анализ валидации; закрытие Series A; публикация результатов</w:t>
            </w:r>
          </w:p>
        </w:tc>
        <w:tc>
          <w:tcPr>
            <w:tcW w:type="dxa" w:w="1701"/>
            <w:shd w:val="clear" w:color="auto" w:fill="F3F8FB"/>
          </w:tcPr>
          <w:p>
            <w:r/>
            <w:r>
              <w:rPr>
                <w:sz w:val="20"/>
              </w:rPr>
              <w:t>Все</w:t>
            </w:r>
          </w:p>
        </w:tc>
        <w:tc>
          <w:tcPr>
            <w:tcW w:type="dxa" w:w="2381"/>
            <w:shd w:val="clear" w:color="auto" w:fill="F3F8FB"/>
          </w:tcPr>
          <w:p>
            <w:r/>
            <w:r>
              <w:rPr>
                <w:sz w:val="20"/>
              </w:rPr>
              <w:t>Series A закрыта; статья/препринт</w:t>
            </w:r>
          </w:p>
        </w:tc>
      </w:tr>
      <w:tr>
        <w:tc>
          <w:tcPr>
            <w:tcW w:type="dxa" w:w="1361"/>
          </w:tcPr>
          <w:p>
            <w:r/>
            <w:r>
              <w:rPr>
                <w:sz w:val="20"/>
              </w:rPr>
              <w:t>Q7–Q3 2027</w:t>
            </w:r>
          </w:p>
        </w:tc>
        <w:tc>
          <w:tcPr>
            <w:tcW w:type="dxa" w:w="4309"/>
          </w:tcPr>
          <w:p>
            <w:r/>
            <w:r>
              <w:rPr>
                <w:sz w:val="20"/>
              </w:rPr>
              <w:t>Коммерческий пилот Сети; модули CLBR; старт подготовки к Китаю (WFOE арх.)</w:t>
            </w:r>
          </w:p>
        </w:tc>
        <w:tc>
          <w:tcPr>
            <w:tcW w:type="dxa" w:w="1701"/>
          </w:tcPr>
          <w:p>
            <w:r/>
            <w:r>
              <w:rPr>
                <w:sz w:val="20"/>
              </w:rPr>
              <w:t>Коммерция, междунар.</w:t>
            </w:r>
          </w:p>
        </w:tc>
        <w:tc>
          <w:tcPr>
            <w:tcW w:type="dxa" w:w="2381"/>
          </w:tcPr>
          <w:p>
            <w:r/>
            <w:r>
              <w:rPr>
                <w:sz w:val="20"/>
              </w:rPr>
              <w:t>&gt;26 клиник; первый B2G-проект</w:t>
            </w:r>
          </w:p>
        </w:tc>
      </w:tr>
    </w:tbl>
    <w:p/>
    <w:p>
      <w:r>
        <w:rPr>
          <w:b w:val="0"/>
          <w:i w:val="0"/>
          <w:sz w:val="22"/>
        </w:rPr>
        <w:t>Таймлайн построен от контрольных точек, а не от календаря — при задержке регуляторики сдвигается срок регистрации ИИ-МИ, но не вехи по R&amp;D и торговому запуску аналитического контура.</w:t>
      </w:r>
    </w:p>
    <w:p>
      <w:pPr>
        <w:pStyle w:val="Heading3"/>
      </w:pPr>
      <w:r>
        <w:t>9.6. Дорожная карта 2028–2030 (масштабирование и международный контур)</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134"/>
            <w:shd w:val="clear" w:color="auto" w:fill="0B3D5C"/>
          </w:tcPr>
          <w:p>
            <w:r/>
            <w:r>
              <w:rPr>
                <w:b/>
                <w:color w:val="FFFFFF"/>
                <w:sz w:val="20"/>
              </w:rPr>
              <w:t>Период</w:t>
            </w:r>
          </w:p>
        </w:tc>
        <w:tc>
          <w:tcPr>
            <w:tcW w:type="dxa" w:w="2948"/>
            <w:shd w:val="clear" w:color="auto" w:fill="0B3D5C"/>
          </w:tcPr>
          <w:p>
            <w:r/>
            <w:r>
              <w:rPr>
                <w:b/>
                <w:color w:val="FFFFFF"/>
                <w:sz w:val="20"/>
              </w:rPr>
              <w:t>Продукт</w:t>
            </w:r>
          </w:p>
        </w:tc>
        <w:tc>
          <w:tcPr>
            <w:tcW w:type="dxa" w:w="3402"/>
            <w:shd w:val="clear" w:color="auto" w:fill="0B3D5C"/>
          </w:tcPr>
          <w:p>
            <w:r/>
            <w:r>
              <w:rPr>
                <w:b/>
                <w:color w:val="FFFFFF"/>
                <w:sz w:val="20"/>
              </w:rPr>
              <w:t>Коммерция</w:t>
            </w:r>
          </w:p>
        </w:tc>
        <w:tc>
          <w:tcPr>
            <w:tcW w:type="dxa" w:w="2041"/>
            <w:shd w:val="clear" w:color="auto" w:fill="0B3D5C"/>
          </w:tcPr>
          <w:p>
            <w:r/>
            <w:r>
              <w:rPr>
                <w:b/>
                <w:color w:val="FFFFFF"/>
                <w:sz w:val="20"/>
              </w:rPr>
              <w:t>Международный контур</w:t>
            </w:r>
          </w:p>
        </w:tc>
      </w:tr>
      <w:tr>
        <w:tc>
          <w:tcPr>
            <w:tcW w:type="dxa" w:w="1134"/>
          </w:tcPr>
          <w:p>
            <w:r/>
            <w:r>
              <w:rPr>
                <w:sz w:val="20"/>
              </w:rPr>
              <w:t>2028</w:t>
            </w:r>
          </w:p>
        </w:tc>
        <w:tc>
          <w:tcPr>
            <w:tcW w:type="dxa" w:w="2948"/>
          </w:tcPr>
          <w:p>
            <w:r/>
            <w:r>
              <w:rPr>
                <w:sz w:val="20"/>
              </w:rPr>
              <w:t>V3: niPGT-A, эндометрий, CLBR-панель</w:t>
            </w:r>
          </w:p>
        </w:tc>
        <w:tc>
          <w:tcPr>
            <w:tcW w:type="dxa" w:w="3402"/>
          </w:tcPr>
          <w:p>
            <w:r/>
            <w:r>
              <w:rPr>
                <w:sz w:val="20"/>
              </w:rPr>
              <w:t>Москва (~58 клиники); 3 B2G; EBITDA ≥ 1</w:t>
            </w:r>
          </w:p>
        </w:tc>
        <w:tc>
          <w:tcPr>
            <w:tcW w:type="dxa" w:w="2041"/>
          </w:tcPr>
          <w:p>
            <w:r/>
            <w:r>
              <w:rPr>
                <w:sz w:val="20"/>
              </w:rPr>
              <w:t>архитектура WFOE; gap-анализ</w:t>
            </w:r>
          </w:p>
        </w:tc>
      </w:tr>
      <w:tr>
        <w:tc>
          <w:tcPr>
            <w:tcW w:type="dxa" w:w="1134"/>
            <w:shd w:val="clear" w:color="auto" w:fill="F3F8FB"/>
          </w:tcPr>
          <w:p>
            <w:r/>
            <w:r>
              <w:rPr>
                <w:sz w:val="20"/>
              </w:rPr>
              <w:t>2029</w:t>
            </w:r>
          </w:p>
        </w:tc>
        <w:tc>
          <w:tcPr>
            <w:tcW w:type="dxa" w:w="2948"/>
            <w:shd w:val="clear" w:color="auto" w:fill="F3F8FB"/>
          </w:tcPr>
          <w:p>
            <w:r/>
            <w:r>
              <w:rPr>
                <w:sz w:val="20"/>
              </w:rPr>
              <w:t>V7: матчинг СМ, семейный консилиум</w:t>
            </w:r>
          </w:p>
        </w:tc>
        <w:tc>
          <w:tcPr>
            <w:tcW w:type="dxa" w:w="3402"/>
            <w:shd w:val="clear" w:color="auto" w:fill="F3F8FB"/>
          </w:tcPr>
          <w:p>
            <w:r/>
            <w:r>
              <w:rPr>
                <w:sz w:val="20"/>
              </w:rPr>
              <w:t>Регионы (92 клиник); 7 B2G; матчинг 78 случаев</w:t>
            </w:r>
          </w:p>
        </w:tc>
        <w:tc>
          <w:tcPr>
            <w:tcW w:type="dxa" w:w="2041"/>
            <w:shd w:val="clear" w:color="auto" w:fill="F3F8FB"/>
          </w:tcPr>
          <w:p>
            <w:r/>
            <w:r>
              <w:rPr>
                <w:sz w:val="20"/>
              </w:rPr>
              <w:t>пилот КНР (3 клиники); первый АТР-контакт</w:t>
            </w:r>
          </w:p>
        </w:tc>
      </w:tr>
      <w:tr>
        <w:tc>
          <w:tcPr>
            <w:tcW w:type="dxa" w:w="1134"/>
          </w:tcPr>
          <w:p>
            <w:r/>
            <w:r>
              <w:rPr>
                <w:sz w:val="20"/>
              </w:rPr>
              <w:t>2030</w:t>
            </w:r>
          </w:p>
        </w:tc>
        <w:tc>
          <w:tcPr>
            <w:tcW w:type="dxa" w:w="2948"/>
          </w:tcPr>
          <w:p>
            <w:r/>
            <w:r>
              <w:rPr>
                <w:sz w:val="20"/>
              </w:rPr>
              <w:t>V3: перинатальный контур, мультиязычность</w:t>
            </w:r>
          </w:p>
        </w:tc>
        <w:tc>
          <w:tcPr>
            <w:tcW w:type="dxa" w:w="3402"/>
          </w:tcPr>
          <w:p>
            <w:r/>
            <w:r>
              <w:rPr>
                <w:sz w:val="20"/>
              </w:rPr>
              <w:t>130+ клиник; 8 B2G; выручка 1352 млн ₽</w:t>
            </w:r>
          </w:p>
        </w:tc>
        <w:tc>
          <w:tcPr>
            <w:tcW w:type="dxa" w:w="2041"/>
          </w:tcPr>
          <w:p>
            <w:r/>
            <w:r>
              <w:rPr>
                <w:sz w:val="20"/>
              </w:rPr>
              <w:t>WFOE деплой; 7 АТР-партнёра; выручка ~36 млн ₽</w:t>
            </w:r>
          </w:p>
        </w:tc>
      </w:tr>
      <w:tr>
        <w:tc>
          <w:tcPr>
            <w:tcW w:type="dxa" w:w="1134"/>
            <w:shd w:val="clear" w:color="auto" w:fill="F3F8FB"/>
          </w:tcPr>
          <w:p>
            <w:r/>
            <w:r>
              <w:rPr>
                <w:sz w:val="20"/>
              </w:rPr>
              <w:t>2031</w:t>
            </w:r>
          </w:p>
        </w:tc>
        <w:tc>
          <w:tcPr>
            <w:tcW w:type="dxa" w:w="2948"/>
            <w:shd w:val="clear" w:color="auto" w:fill="F3F8FB"/>
          </w:tcPr>
          <w:p>
            <w:r/>
            <w:r>
              <w:rPr>
                <w:sz w:val="20"/>
              </w:rPr>
              <w:t>Улучшение точности; модули «второго поколения»</w:t>
            </w:r>
          </w:p>
        </w:tc>
        <w:tc>
          <w:tcPr>
            <w:tcW w:type="dxa" w:w="3402"/>
            <w:shd w:val="clear" w:color="auto" w:fill="F3F8FB"/>
          </w:tcPr>
          <w:p>
            <w:r/>
            <w:r>
              <w:rPr>
                <w:sz w:val="20"/>
              </w:rPr>
              <w:t>Стабилизация; оптимизация прибыльности</w:t>
            </w:r>
          </w:p>
        </w:tc>
        <w:tc>
          <w:tcPr>
            <w:tcW w:type="dxa" w:w="2041"/>
            <w:shd w:val="clear" w:color="auto" w:fill="F3F8FB"/>
          </w:tcPr>
          <w:p>
            <w:r/>
            <w:r>
              <w:rPr>
                <w:sz w:val="20"/>
              </w:rPr>
              <w:t>Расширение АТР (Индия/Япония/Корея)</w:t>
            </w:r>
          </w:p>
        </w:tc>
      </w:tr>
    </w:tbl>
    <w:p/>
    <w:p>
      <w:r>
        <w:rPr>
          <w:b w:val="0"/>
          <w:i w:val="0"/>
          <w:sz w:val="22"/>
        </w:rPr>
        <w:t>Горизонты 2031+ не входят в модель выручки (Приложение А) и приведены для стратегической ориентировки инвесторов по возможностям роста после базового сценария.</w:t>
      </w:r>
    </w:p>
    <w:p>
      <w:r>
        <w:br w:type="page"/>
      </w:r>
    </w:p>
    <w:p>
      <w:pPr>
        <w:pStyle w:val="Heading1"/>
        <w:shd w:val="clear" w:color="auto" w:fill="EAF4F8"/>
      </w:pPr>
      <w:r>
        <w:t>10. ОРГАНИЗАЦИОННЫЙ ПЛАН И КОМАНДА</w:t>
      </w:r>
    </w:p>
    <w:p>
      <w:pPr>
        <w:pStyle w:val="Heading2"/>
      </w:pPr>
      <w:r>
        <w:t>10.1. Управление и правовая форма</w:t>
      </w:r>
    </w:p>
    <w:p>
      <w:r>
        <w:rPr>
          <w:b w:val="0"/>
          <w:i w:val="0"/>
          <w:sz w:val="22"/>
        </w:rPr>
        <w:t>Операционную деятельность ведёт проектная компания — непубличное АО «ВИТА ГЕН АИ» (учреждение производится при вхождении инвестора; до этого R&amp;D ведёт ООО «МедТехПрима»). Вклад в уставный капитал: права на РИД, оценённые независимым оценщиком в 78 млн ₽ (вклад по ст. 47 ФЗ «Об АО», п. 3 ст. 28 ФЗ «Об ООО»). Сервисная/научная функция и международный контур: 7 юрлица — ООО «МедТехПрима» (холдинг научно-исследовательская база), Непубличное АО «ВИТА ГЕН АИ» (проектная компания — получатель инвестиций), WFOE на Хайнане (КНР, международная экспансия). Международная холдинговая прослойка на Гонконге возможна по требованию инвестора.</w:t>
      </w:r>
    </w:p>
    <w:p>
      <w:pPr>
        <w:pStyle w:val="Heading2"/>
      </w:pPr>
      <w:r>
        <w:t>10.2. Команда (ядро)</w:t>
      </w:r>
    </w:p>
    <w:tbl>
      <w:tblPr>
        <w:tblStyle w:val="TableGrid"/>
        <w:tblW w:type="auto" w:w="0"/>
        <w:jc w:val="center"/>
        <w:tblLook w:firstColumn="1" w:firstRow="1" w:lastColumn="0" w:lastRow="0" w:noHBand="0" w:noVBand="1" w:val="04A0"/>
      </w:tblPr>
      <w:tblGrid>
        <w:gridCol w:w="3213"/>
        <w:gridCol w:w="3213"/>
        <w:gridCol w:w="3213"/>
      </w:tblGrid>
      <w:tr>
        <w:tc>
          <w:tcPr>
            <w:tcW w:type="dxa" w:w="2041"/>
            <w:shd w:val="clear" w:color="auto" w:fill="0B3D5C"/>
          </w:tcPr>
          <w:p>
            <w:r/>
            <w:r>
              <w:rPr>
                <w:b/>
                <w:color w:val="FFFFFF"/>
                <w:sz w:val="20"/>
              </w:rPr>
              <w:t>Позиция</w:t>
            </w:r>
          </w:p>
        </w:tc>
        <w:tc>
          <w:tcPr>
            <w:tcW w:type="dxa" w:w="4876"/>
            <w:shd w:val="clear" w:color="auto" w:fill="0B3D5C"/>
          </w:tcPr>
          <w:p>
            <w:r/>
            <w:r>
              <w:rPr>
                <w:b/>
                <w:color w:val="FFFFFF"/>
                <w:sz w:val="20"/>
              </w:rPr>
              <w:t>Компетенции</w:t>
            </w:r>
          </w:p>
        </w:tc>
        <w:tc>
          <w:tcPr>
            <w:tcW w:type="dxa" w:w="1928"/>
            <w:shd w:val="clear" w:color="auto" w:fill="0B3D5C"/>
          </w:tcPr>
          <w:p>
            <w:r/>
            <w:r>
              <w:rPr>
                <w:b/>
                <w:color w:val="FFFFFF"/>
                <w:sz w:val="20"/>
              </w:rPr>
              <w:t>Статус</w:t>
            </w:r>
          </w:p>
        </w:tc>
      </w:tr>
      <w:tr>
        <w:tc>
          <w:tcPr>
            <w:tcW w:type="dxa" w:w="2041"/>
          </w:tcPr>
          <w:p>
            <w:r/>
            <w:r>
              <w:rPr>
                <w:sz w:val="20"/>
              </w:rPr>
              <w:t>Генеральный директор</w:t>
            </w:r>
          </w:p>
        </w:tc>
        <w:tc>
          <w:tcPr>
            <w:tcW w:type="dxa" w:w="4876"/>
          </w:tcPr>
          <w:p>
            <w:r/>
            <w:r>
              <w:rPr>
                <w:sz w:val="20"/>
              </w:rPr>
              <w:t>Стратегия, клинические связи, продажи, инвестотношения</w:t>
            </w:r>
          </w:p>
        </w:tc>
        <w:tc>
          <w:tcPr>
            <w:tcW w:type="dxa" w:w="1928"/>
          </w:tcPr>
          <w:p>
            <w:r/>
            <w:r>
              <w:rPr>
                <w:sz w:val="20"/>
              </w:rPr>
              <w:t>Основатель</w:t>
            </w:r>
          </w:p>
        </w:tc>
      </w:tr>
      <w:tr>
        <w:tc>
          <w:tcPr>
            <w:tcW w:type="dxa" w:w="2041"/>
            <w:shd w:val="clear" w:color="auto" w:fill="F3F8FB"/>
          </w:tcPr>
          <w:p>
            <w:r/>
            <w:r>
              <w:rPr>
                <w:sz w:val="20"/>
              </w:rPr>
              <w:t>Научный руководитель</w:t>
            </w:r>
          </w:p>
        </w:tc>
        <w:tc>
          <w:tcPr>
            <w:tcW w:type="dxa" w:w="4876"/>
            <w:shd w:val="clear" w:color="auto" w:fill="F3F8FB"/>
          </w:tcPr>
          <w:p>
            <w:r/>
            <w:r>
              <w:rPr>
                <w:sz w:val="20"/>
              </w:rPr>
              <w:t>Акушерство-гинекология, ВРТ/ЭКО, клиническая валидация</w:t>
            </w:r>
          </w:p>
        </w:tc>
        <w:tc>
          <w:tcPr>
            <w:tcW w:type="dxa" w:w="1928"/>
            <w:shd w:val="clear" w:color="auto" w:fill="F3F8FB"/>
          </w:tcPr>
          <w:p>
            <w:r/>
            <w:r>
              <w:rPr>
                <w:sz w:val="20"/>
              </w:rPr>
              <w:t>Партнёр; привлечение по договору</w:t>
            </w:r>
          </w:p>
        </w:tc>
      </w:tr>
      <w:tr>
        <w:tc>
          <w:tcPr>
            <w:tcW w:type="dxa" w:w="2041"/>
          </w:tcPr>
          <w:p>
            <w:r/>
            <w:r>
              <w:rPr>
                <w:sz w:val="20"/>
              </w:rPr>
              <w:t>Руководитель ИИ-разработки</w:t>
            </w:r>
          </w:p>
        </w:tc>
        <w:tc>
          <w:tcPr>
            <w:tcW w:type="dxa" w:w="4876"/>
          </w:tcPr>
          <w:p>
            <w:r/>
            <w:r>
              <w:rPr>
                <w:sz w:val="20"/>
              </w:rPr>
              <w:t>ML/DL, GNN/transformer, MLOps, мультимодальность</w:t>
            </w:r>
          </w:p>
        </w:tc>
        <w:tc>
          <w:tcPr>
            <w:tcW w:type="dxa" w:w="1928"/>
          </w:tcPr>
          <w:p>
            <w:r/>
            <w:r>
              <w:rPr>
                <w:sz w:val="20"/>
              </w:rPr>
              <w:t>Найм (Seed)</w:t>
            </w:r>
          </w:p>
        </w:tc>
      </w:tr>
      <w:tr>
        <w:tc>
          <w:tcPr>
            <w:tcW w:type="dxa" w:w="2041"/>
            <w:shd w:val="clear" w:color="auto" w:fill="F3F8FB"/>
          </w:tcPr>
          <w:p>
            <w:r/>
            <w:r>
              <w:rPr>
                <w:sz w:val="20"/>
              </w:rPr>
              <w:t>ML-инженеры (3–3)</w:t>
            </w:r>
          </w:p>
        </w:tc>
        <w:tc>
          <w:tcPr>
            <w:tcW w:type="dxa" w:w="4876"/>
            <w:shd w:val="clear" w:color="auto" w:fill="F3F8FB"/>
          </w:tcPr>
          <w:p>
            <w:r/>
            <w:r>
              <w:rPr>
                <w:sz w:val="20"/>
              </w:rPr>
              <w:t>Вычислительная биология, геномика, работа с таймлапс-данными</w:t>
            </w:r>
          </w:p>
        </w:tc>
        <w:tc>
          <w:tcPr>
            <w:tcW w:type="dxa" w:w="1928"/>
            <w:shd w:val="clear" w:color="auto" w:fill="F3F8FB"/>
          </w:tcPr>
          <w:p>
            <w:r/>
            <w:r>
              <w:rPr>
                <w:sz w:val="20"/>
              </w:rPr>
              <w:t>Найм (Seed/Series A)</w:t>
            </w:r>
          </w:p>
        </w:tc>
      </w:tr>
      <w:tr>
        <w:tc>
          <w:tcPr>
            <w:tcW w:type="dxa" w:w="2041"/>
          </w:tcPr>
          <w:p>
            <w:r/>
            <w:r>
              <w:rPr>
                <w:sz w:val="20"/>
              </w:rPr>
              <w:t>Эмбриолог-аналитик</w:t>
            </w:r>
          </w:p>
        </w:tc>
        <w:tc>
          <w:tcPr>
            <w:tcW w:type="dxa" w:w="4876"/>
          </w:tcPr>
          <w:p>
            <w:r/>
            <w:r>
              <w:rPr>
                <w:sz w:val="20"/>
              </w:rPr>
              <w:t>Протоколы отбора, качество данных, клиническая интеграция</w:t>
            </w:r>
          </w:p>
        </w:tc>
        <w:tc>
          <w:tcPr>
            <w:tcW w:type="dxa" w:w="1928"/>
          </w:tcPr>
          <w:p>
            <w:r/>
            <w:r>
              <w:rPr>
                <w:sz w:val="20"/>
              </w:rPr>
              <w:t>Партнёр; найм</w:t>
            </w:r>
          </w:p>
        </w:tc>
      </w:tr>
      <w:tr>
        <w:tc>
          <w:tcPr>
            <w:tcW w:type="dxa" w:w="2041"/>
            <w:shd w:val="clear" w:color="auto" w:fill="F3F8FB"/>
          </w:tcPr>
          <w:p>
            <w:r/>
            <w:r>
              <w:rPr>
                <w:sz w:val="20"/>
              </w:rPr>
              <w:t>Регуляторный специалист</w:t>
            </w:r>
          </w:p>
        </w:tc>
        <w:tc>
          <w:tcPr>
            <w:tcW w:type="dxa" w:w="4876"/>
            <w:shd w:val="clear" w:color="auto" w:fill="F3F8FB"/>
          </w:tcPr>
          <w:p>
            <w:r/>
            <w:r>
              <w:rPr>
                <w:sz w:val="20"/>
              </w:rPr>
              <w:t>Регистрация ИИ-МИ, 152-ФЗ, NMPA/PIPL</w:t>
            </w:r>
          </w:p>
        </w:tc>
        <w:tc>
          <w:tcPr>
            <w:tcW w:type="dxa" w:w="1928"/>
            <w:shd w:val="clear" w:color="auto" w:fill="F3F8FB"/>
          </w:tcPr>
          <w:p>
            <w:r/>
            <w:r>
              <w:rPr>
                <w:sz w:val="20"/>
              </w:rPr>
              <w:t>Найм (Seed)</w:t>
            </w:r>
          </w:p>
        </w:tc>
      </w:tr>
      <w:tr>
        <w:tc>
          <w:tcPr>
            <w:tcW w:type="dxa" w:w="2041"/>
          </w:tcPr>
          <w:p>
            <w:r/>
            <w:r>
              <w:rPr>
                <w:sz w:val="20"/>
              </w:rPr>
              <w:t>Клинический исследователь (CRA)</w:t>
            </w:r>
          </w:p>
        </w:tc>
        <w:tc>
          <w:tcPr>
            <w:tcW w:type="dxa" w:w="4876"/>
          </w:tcPr>
          <w:p>
            <w:r/>
            <w:r>
              <w:rPr>
                <w:sz w:val="20"/>
              </w:rPr>
              <w:t>Проспективные исследования, мониторинг</w:t>
            </w:r>
          </w:p>
        </w:tc>
        <w:tc>
          <w:tcPr>
            <w:tcW w:type="dxa" w:w="1928"/>
          </w:tcPr>
          <w:p>
            <w:r/>
            <w:r>
              <w:rPr>
                <w:sz w:val="20"/>
              </w:rPr>
              <w:t>Найм (Seed)</w:t>
            </w:r>
          </w:p>
        </w:tc>
      </w:tr>
      <w:tr>
        <w:tc>
          <w:tcPr>
            <w:tcW w:type="dxa" w:w="2041"/>
            <w:shd w:val="clear" w:color="auto" w:fill="F3F8FB"/>
          </w:tcPr>
          <w:p>
            <w:r/>
            <w:r>
              <w:rPr>
                <w:sz w:val="20"/>
              </w:rPr>
              <w:t>B2B-продажи</w:t>
            </w:r>
          </w:p>
        </w:tc>
        <w:tc>
          <w:tcPr>
            <w:tcW w:type="dxa" w:w="4876"/>
            <w:shd w:val="clear" w:color="auto" w:fill="F3F8FB"/>
          </w:tcPr>
          <w:p>
            <w:r/>
            <w:r>
              <w:rPr>
                <w:sz w:val="20"/>
              </w:rPr>
              <w:t>Продажи в мед BIM, тендеры B2G</w:t>
            </w:r>
          </w:p>
        </w:tc>
        <w:tc>
          <w:tcPr>
            <w:tcW w:type="dxa" w:w="1928"/>
            <w:shd w:val="clear" w:color="auto" w:fill="F3F8FB"/>
          </w:tcPr>
          <w:p>
            <w:r/>
            <w:r>
              <w:rPr>
                <w:sz w:val="20"/>
              </w:rPr>
              <w:t>Найм (2027)</w:t>
            </w:r>
          </w:p>
        </w:tc>
      </w:tr>
    </w:tbl>
    <w:p/>
    <w:p>
      <w:pPr>
        <w:pStyle w:val="Heading2"/>
      </w:pPr>
      <w:r>
        <w:t>10.3. Штат и фонд оплаты труда</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2835"/>
            <w:shd w:val="clear" w:color="auto" w:fill="0B3D5C"/>
          </w:tcPr>
          <w:p>
            <w:r/>
            <w:r>
              <w:rPr>
                <w:b/>
                <w:color w:val="FFFFFF"/>
                <w:sz w:val="20"/>
              </w:rPr>
              <w:t>Показатель</w:t>
            </w:r>
          </w:p>
        </w:tc>
        <w:tc>
          <w:tcPr>
            <w:tcW w:type="dxa" w:w="1247"/>
            <w:shd w:val="clear" w:color="auto" w:fill="0B3D5C"/>
          </w:tcPr>
          <w:p>
            <w:r/>
            <w:r>
              <w:rPr>
                <w:b/>
                <w:color w:val="FFFFFF"/>
                <w:sz w:val="20"/>
              </w:rPr>
              <w:t>2026</w:t>
            </w:r>
          </w:p>
        </w:tc>
        <w:tc>
          <w:tcPr>
            <w:tcW w:type="dxa" w:w="1247"/>
            <w:shd w:val="clear" w:color="auto" w:fill="0B3D5C"/>
          </w:tcPr>
          <w:p>
            <w:r/>
            <w:r>
              <w:rPr>
                <w:b/>
                <w:color w:val="FFFFFF"/>
                <w:sz w:val="20"/>
              </w:rPr>
              <w:t>2027</w:t>
            </w:r>
          </w:p>
        </w:tc>
        <w:tc>
          <w:tcPr>
            <w:tcW w:type="dxa" w:w="1247"/>
            <w:shd w:val="clear" w:color="auto" w:fill="0B3D5C"/>
          </w:tcPr>
          <w:p>
            <w:r/>
            <w:r>
              <w:rPr>
                <w:b/>
                <w:color w:val="FFFFFF"/>
                <w:sz w:val="20"/>
              </w:rPr>
              <w:t>2028</w:t>
            </w:r>
          </w:p>
        </w:tc>
        <w:tc>
          <w:tcPr>
            <w:tcW w:type="dxa" w:w="1247"/>
            <w:shd w:val="clear" w:color="auto" w:fill="0B3D5C"/>
          </w:tcPr>
          <w:p>
            <w:r/>
            <w:r>
              <w:rPr>
                <w:b/>
                <w:color w:val="FFFFFF"/>
                <w:sz w:val="20"/>
              </w:rPr>
              <w:t>2029</w:t>
            </w:r>
          </w:p>
        </w:tc>
        <w:tc>
          <w:tcPr>
            <w:tcW w:type="dxa" w:w="1247"/>
            <w:shd w:val="clear" w:color="auto" w:fill="0B3D5C"/>
          </w:tcPr>
          <w:p>
            <w:r/>
            <w:r>
              <w:rPr>
                <w:b/>
                <w:color w:val="FFFFFF"/>
                <w:sz w:val="20"/>
              </w:rPr>
              <w:t>2030</w:t>
            </w:r>
          </w:p>
        </w:tc>
      </w:tr>
      <w:tr>
        <w:tc>
          <w:tcPr>
            <w:tcW w:type="dxa" w:w="2835"/>
          </w:tcPr>
          <w:p>
            <w:r/>
            <w:r>
              <w:rPr>
                <w:sz w:val="20"/>
              </w:rPr>
              <w:t>ФОТ, млн ₽</w:t>
            </w:r>
          </w:p>
        </w:tc>
        <w:tc>
          <w:tcPr>
            <w:tcW w:type="dxa" w:w="1247"/>
          </w:tcPr>
          <w:p>
            <w:r/>
            <w:r>
              <w:rPr>
                <w:sz w:val="20"/>
              </w:rPr>
              <w:t>39</w:t>
            </w:r>
          </w:p>
        </w:tc>
        <w:tc>
          <w:tcPr>
            <w:tcW w:type="dxa" w:w="1247"/>
          </w:tcPr>
          <w:p>
            <w:r/>
            <w:r>
              <w:rPr>
                <w:sz w:val="20"/>
              </w:rPr>
              <w:t>70</w:t>
            </w:r>
          </w:p>
        </w:tc>
        <w:tc>
          <w:tcPr>
            <w:tcW w:type="dxa" w:w="1247"/>
          </w:tcPr>
          <w:p>
            <w:r/>
            <w:r>
              <w:rPr>
                <w:sz w:val="20"/>
              </w:rPr>
              <w:t>103</w:t>
            </w:r>
          </w:p>
        </w:tc>
        <w:tc>
          <w:tcPr>
            <w:tcW w:type="dxa" w:w="1247"/>
          </w:tcPr>
          <w:p>
            <w:r/>
            <w:r>
              <w:rPr>
                <w:sz w:val="20"/>
              </w:rPr>
              <w:t>141</w:t>
            </w:r>
          </w:p>
        </w:tc>
        <w:tc>
          <w:tcPr>
            <w:tcW w:type="dxa" w:w="1247"/>
          </w:tcPr>
          <w:p>
            <w:r/>
            <w:r>
              <w:rPr>
                <w:sz w:val="20"/>
              </w:rPr>
              <w:t>288</w:t>
            </w:r>
          </w:p>
        </w:tc>
      </w:tr>
      <w:tr>
        <w:tc>
          <w:tcPr>
            <w:tcW w:type="dxa" w:w="2835"/>
            <w:shd w:val="clear" w:color="auto" w:fill="F3F8FB"/>
          </w:tcPr>
          <w:p>
            <w:r/>
            <w:r>
              <w:rPr>
                <w:sz w:val="20"/>
              </w:rPr>
              <w:t>R&amp;D-команда (чел.)</w:t>
            </w:r>
          </w:p>
        </w:tc>
        <w:tc>
          <w:tcPr>
            <w:tcW w:type="dxa" w:w="1247"/>
            <w:shd w:val="clear" w:color="auto" w:fill="F3F8FB"/>
          </w:tcPr>
          <w:p>
            <w:r/>
            <w:r>
              <w:rPr>
                <w:sz w:val="20"/>
              </w:rPr>
              <w:t>6–14</w:t>
            </w:r>
          </w:p>
        </w:tc>
        <w:tc>
          <w:tcPr>
            <w:tcW w:type="dxa" w:w="1247"/>
            <w:shd w:val="clear" w:color="auto" w:fill="F3F8FB"/>
          </w:tcPr>
          <w:p>
            <w:r/>
            <w:r>
              <w:rPr>
                <w:sz w:val="20"/>
              </w:rPr>
              <w:t>16–26</w:t>
            </w:r>
          </w:p>
        </w:tc>
        <w:tc>
          <w:tcPr>
            <w:tcW w:type="dxa" w:w="1247"/>
            <w:shd w:val="clear" w:color="auto" w:fill="F3F8FB"/>
          </w:tcPr>
          <w:p>
            <w:r/>
            <w:r>
              <w:rPr>
                <w:sz w:val="20"/>
              </w:rPr>
              <w:t>21–23</w:t>
            </w:r>
          </w:p>
        </w:tc>
        <w:tc>
          <w:tcPr>
            <w:tcW w:type="dxa" w:w="1247"/>
            <w:shd w:val="clear" w:color="auto" w:fill="F3F8FB"/>
          </w:tcPr>
          <w:p>
            <w:r/>
            <w:r>
              <w:rPr>
                <w:sz w:val="20"/>
              </w:rPr>
              <w:t>12–46</w:t>
            </w:r>
          </w:p>
        </w:tc>
        <w:tc>
          <w:tcPr>
            <w:tcW w:type="dxa" w:w="1247"/>
            <w:shd w:val="clear" w:color="auto" w:fill="F3F8FB"/>
          </w:tcPr>
          <w:p>
            <w:r/>
            <w:r>
              <w:rPr>
                <w:sz w:val="20"/>
              </w:rPr>
              <w:t>24–36</w:t>
            </w:r>
          </w:p>
        </w:tc>
      </w:tr>
      <w:tr>
        <w:tc>
          <w:tcPr>
            <w:tcW w:type="dxa" w:w="2835"/>
          </w:tcPr>
          <w:p>
            <w:r/>
            <w:r>
              <w:rPr>
                <w:sz w:val="20"/>
              </w:rPr>
              <w:t>Продажи/маркетинг (чел.)</w:t>
            </w:r>
          </w:p>
        </w:tc>
        <w:tc>
          <w:tcPr>
            <w:tcW w:type="dxa" w:w="1247"/>
          </w:tcPr>
          <w:p>
            <w:r/>
            <w:r>
              <w:rPr>
                <w:sz w:val="20"/>
              </w:rPr>
              <w:t>1–3</w:t>
            </w:r>
          </w:p>
        </w:tc>
        <w:tc>
          <w:tcPr>
            <w:tcW w:type="dxa" w:w="1247"/>
          </w:tcPr>
          <w:p>
            <w:r/>
            <w:r>
              <w:rPr>
                <w:sz w:val="20"/>
              </w:rPr>
              <w:t>7–8</w:t>
            </w:r>
          </w:p>
        </w:tc>
        <w:tc>
          <w:tcPr>
            <w:tcW w:type="dxa" w:w="1247"/>
          </w:tcPr>
          <w:p>
            <w:r/>
            <w:r>
              <w:rPr>
                <w:sz w:val="20"/>
              </w:rPr>
              <w:t>6–13</w:t>
            </w:r>
          </w:p>
        </w:tc>
        <w:tc>
          <w:tcPr>
            <w:tcW w:type="dxa" w:w="1247"/>
          </w:tcPr>
          <w:p>
            <w:r/>
            <w:r>
              <w:rPr>
                <w:sz w:val="20"/>
              </w:rPr>
              <w:t>8–26</w:t>
            </w:r>
          </w:p>
        </w:tc>
        <w:tc>
          <w:tcPr>
            <w:tcW w:type="dxa" w:w="1247"/>
          </w:tcPr>
          <w:p>
            <w:r/>
            <w:r>
              <w:rPr>
                <w:sz w:val="20"/>
              </w:rPr>
              <w:t>26–28</w:t>
            </w:r>
          </w:p>
        </w:tc>
      </w:tr>
      <w:tr>
        <w:tc>
          <w:tcPr>
            <w:tcW w:type="dxa" w:w="2835"/>
            <w:shd w:val="clear" w:color="auto" w:fill="F3F8FB"/>
          </w:tcPr>
          <w:p>
            <w:r/>
            <w:r>
              <w:rPr>
                <w:sz w:val="20"/>
              </w:rPr>
              <w:t>Администрирование (чел.)</w:t>
            </w:r>
          </w:p>
        </w:tc>
        <w:tc>
          <w:tcPr>
            <w:tcW w:type="dxa" w:w="1247"/>
            <w:shd w:val="clear" w:color="auto" w:fill="F3F8FB"/>
          </w:tcPr>
          <w:p>
            <w:r/>
            <w:r>
              <w:rPr>
                <w:sz w:val="20"/>
              </w:rPr>
              <w:t>1</w:t>
            </w:r>
          </w:p>
        </w:tc>
        <w:tc>
          <w:tcPr>
            <w:tcW w:type="dxa" w:w="1247"/>
            <w:shd w:val="clear" w:color="auto" w:fill="F3F8FB"/>
          </w:tcPr>
          <w:p>
            <w:r/>
            <w:r>
              <w:rPr>
                <w:sz w:val="20"/>
              </w:rPr>
              <w:t>3</w:t>
            </w:r>
          </w:p>
        </w:tc>
        <w:tc>
          <w:tcPr>
            <w:tcW w:type="dxa" w:w="1247"/>
            <w:shd w:val="clear" w:color="auto" w:fill="F3F8FB"/>
          </w:tcPr>
          <w:p>
            <w:r/>
            <w:r>
              <w:rPr>
                <w:sz w:val="20"/>
              </w:rPr>
              <w:t>7</w:t>
            </w:r>
          </w:p>
        </w:tc>
        <w:tc>
          <w:tcPr>
            <w:tcW w:type="dxa" w:w="1247"/>
            <w:shd w:val="clear" w:color="auto" w:fill="F3F8FB"/>
          </w:tcPr>
          <w:p>
            <w:r/>
            <w:r>
              <w:rPr>
                <w:sz w:val="20"/>
              </w:rPr>
              <w:t>3</w:t>
            </w:r>
          </w:p>
        </w:tc>
        <w:tc>
          <w:tcPr>
            <w:tcW w:type="dxa" w:w="1247"/>
            <w:shd w:val="clear" w:color="auto" w:fill="F3F8FB"/>
          </w:tcPr>
          <w:p>
            <w:r/>
            <w:r>
              <w:rPr>
                <w:sz w:val="20"/>
              </w:rPr>
              <w:t>8</w:t>
            </w:r>
          </w:p>
        </w:tc>
      </w:tr>
      <w:tr>
        <w:tc>
          <w:tcPr>
            <w:tcW w:type="dxa" w:w="2835"/>
          </w:tcPr>
          <w:p>
            <w:r/>
            <w:r>
              <w:rPr>
                <w:sz w:val="20"/>
              </w:rPr>
              <w:t>Всего (чел.)</w:t>
            </w:r>
          </w:p>
        </w:tc>
        <w:tc>
          <w:tcPr>
            <w:tcW w:type="dxa" w:w="1247"/>
          </w:tcPr>
          <w:p>
            <w:r/>
            <w:r>
              <w:rPr>
                <w:sz w:val="20"/>
              </w:rPr>
              <w:t>≈13–14</w:t>
            </w:r>
          </w:p>
        </w:tc>
        <w:tc>
          <w:tcPr>
            <w:tcW w:type="dxa" w:w="1247"/>
          </w:tcPr>
          <w:p>
            <w:r/>
            <w:r>
              <w:rPr>
                <w:sz w:val="20"/>
              </w:rPr>
              <w:t>≈20–27</w:t>
            </w:r>
          </w:p>
        </w:tc>
        <w:tc>
          <w:tcPr>
            <w:tcW w:type="dxa" w:w="1247"/>
          </w:tcPr>
          <w:p>
            <w:r/>
            <w:r>
              <w:rPr>
                <w:sz w:val="20"/>
              </w:rPr>
              <w:t>≈17–27</w:t>
            </w:r>
          </w:p>
        </w:tc>
        <w:tc>
          <w:tcPr>
            <w:tcW w:type="dxa" w:w="1247"/>
          </w:tcPr>
          <w:p>
            <w:r/>
            <w:r>
              <w:rPr>
                <w:sz w:val="20"/>
              </w:rPr>
              <w:t>≈27–64</w:t>
            </w:r>
          </w:p>
        </w:tc>
        <w:tc>
          <w:tcPr>
            <w:tcW w:type="dxa" w:w="1247"/>
          </w:tcPr>
          <w:p>
            <w:r/>
            <w:r>
              <w:rPr>
                <w:sz w:val="20"/>
              </w:rPr>
              <w:t>≈47–51</w:t>
            </w:r>
          </w:p>
        </w:tc>
      </w:tr>
    </w:tbl>
    <w:p/>
    <w:p>
      <w:r>
        <w:rPr>
          <w:i/>
          <w:color w:val="5A6A7A"/>
          <w:sz w:val="18"/>
        </w:rPr>
        <w:t>ФОТ приведён с учётом страховых взносов. Точный график найма — в операционном бюджете (Приложение А).</w:t>
      </w:r>
    </w:p>
    <w:p>
      <w:r>
        <w:drawing>
          <wp:inline xmlns:a="http://schemas.openxmlformats.org/drawingml/2006/main" xmlns:pic="http://schemas.openxmlformats.org/drawingml/2006/picture">
            <wp:extent cx="5580000" cy="2428941"/>
            <wp:docPr id="6" name="Picture 6"/>
            <wp:cNvGraphicFramePr>
              <a:graphicFrameLocks noChangeAspect="1"/>
            </wp:cNvGraphicFramePr>
            <a:graphic>
              <a:graphicData uri="http://schemas.openxmlformats.org/drawingml/2006/picture">
                <pic:pic>
                  <pic:nvPicPr>
                    <pic:cNvPr id="0" name="bp_chart_staff.png"/>
                    <pic:cNvPicPr/>
                  </pic:nvPicPr>
                  <pic:blipFill>
                    <a:blip r:embed="rId15"/>
                    <a:stretch>
                      <a:fillRect/>
                    </a:stretch>
                  </pic:blipFill>
                  <pic:spPr>
                    <a:xfrm>
                      <a:off x="0" y="0"/>
                      <a:ext cx="5580000" cy="2428941"/>
                    </a:xfrm>
                    <a:prstGeom prst="rect"/>
                  </pic:spPr>
                </pic:pic>
              </a:graphicData>
            </a:graphic>
          </wp:inline>
        </w:drawing>
      </w:r>
    </w:p>
    <w:p>
      <w:pPr>
        <w:jc w:val="center"/>
      </w:pPr>
      <w:r>
        <w:rPr>
          <w:i/>
          <w:color w:val="5A6A7A"/>
          <w:sz w:val="19"/>
        </w:rPr>
        <w:t>Рис. 18.0. Штатная численность по функциям, средняя за год</w:t>
      </w:r>
    </w:p>
    <w:p>
      <w:pPr>
        <w:jc w:val="center"/>
      </w:pPr>
      <w:r>
        <w:rPr>
          <w:color w:val="5A6A7A"/>
          <w:sz w:val="16"/>
        </w:rPr>
        <w:t>Источник: расчёт модели (лист ФОТ_Штат).</w:t>
      </w:r>
    </w:p>
    <w:p/>
    <w:p>
      <w:pPr>
        <w:pStyle w:val="Heading3"/>
      </w:pPr>
      <w:r>
        <w:t>10.3а. График найма ключевых ролей (2026–2028)</w:t>
      </w:r>
    </w:p>
    <w:tbl>
      <w:tblPr>
        <w:tblStyle w:val="TableGrid"/>
        <w:tblW w:type="auto" w:w="0"/>
        <w:jc w:val="center"/>
        <w:tblLook w:firstColumn="1" w:firstRow="1" w:lastColumn="0" w:lastRow="0" w:noHBand="0" w:noVBand="1" w:val="04A0"/>
      </w:tblPr>
      <w:tblGrid>
        <w:gridCol w:w="3213"/>
        <w:gridCol w:w="3213"/>
        <w:gridCol w:w="3213"/>
      </w:tblGrid>
      <w:tr>
        <w:tc>
          <w:tcPr>
            <w:tcW w:type="dxa" w:w="4082"/>
            <w:shd w:val="clear" w:color="auto" w:fill="0B3D5C"/>
          </w:tcPr>
          <w:p>
            <w:r/>
            <w:r>
              <w:rPr>
                <w:b/>
                <w:color w:val="FFFFFF"/>
                <w:sz w:val="20"/>
              </w:rPr>
              <w:t>Роль</w:t>
            </w:r>
          </w:p>
        </w:tc>
        <w:tc>
          <w:tcPr>
            <w:tcW w:type="dxa" w:w="1474"/>
            <w:shd w:val="clear" w:color="auto" w:fill="0B3D5C"/>
          </w:tcPr>
          <w:p>
            <w:r/>
            <w:r>
              <w:rPr>
                <w:b/>
                <w:color w:val="FFFFFF"/>
                <w:sz w:val="20"/>
              </w:rPr>
              <w:t>Срок</w:t>
            </w:r>
          </w:p>
        </w:tc>
        <w:tc>
          <w:tcPr>
            <w:tcW w:type="dxa" w:w="3515"/>
            <w:shd w:val="clear" w:color="auto" w:fill="0B3D5C"/>
          </w:tcPr>
          <w:p>
            <w:r/>
            <w:r>
              <w:rPr>
                <w:b/>
                <w:color w:val="FFFFFF"/>
                <w:sz w:val="20"/>
              </w:rPr>
              <w:t>Источник/условия</w:t>
            </w:r>
          </w:p>
        </w:tc>
      </w:tr>
      <w:tr>
        <w:tc>
          <w:tcPr>
            <w:tcW w:type="dxa" w:w="4082"/>
          </w:tcPr>
          <w:p>
            <w:r/>
            <w:r>
              <w:rPr>
                <w:sz w:val="20"/>
              </w:rPr>
              <w:t>Руководитель ИИ-разработки</w:t>
            </w:r>
          </w:p>
        </w:tc>
        <w:tc>
          <w:tcPr>
            <w:tcW w:type="dxa" w:w="1474"/>
          </w:tcPr>
          <w:p>
            <w:r/>
            <w:r>
              <w:rPr>
                <w:sz w:val="20"/>
              </w:rPr>
              <w:t>Q1 2026</w:t>
            </w:r>
          </w:p>
        </w:tc>
        <w:tc>
          <w:tcPr>
            <w:tcW w:type="dxa" w:w="3515"/>
          </w:tcPr>
          <w:p>
            <w:r/>
            <w:r>
              <w:rPr>
                <w:sz w:val="20"/>
              </w:rPr>
              <w:t>найм; релокация/гибкий режим</w:t>
            </w:r>
          </w:p>
        </w:tc>
      </w:tr>
      <w:tr>
        <w:tc>
          <w:tcPr>
            <w:tcW w:type="dxa" w:w="4082"/>
            <w:shd w:val="clear" w:color="auto" w:fill="F3F8FB"/>
          </w:tcPr>
          <w:p>
            <w:r/>
            <w:r>
              <w:rPr>
                <w:sz w:val="20"/>
              </w:rPr>
              <w:t>ML-инженер №1 (геномика)</w:t>
            </w:r>
          </w:p>
        </w:tc>
        <w:tc>
          <w:tcPr>
            <w:tcW w:type="dxa" w:w="1474"/>
            <w:shd w:val="clear" w:color="auto" w:fill="F3F8FB"/>
          </w:tcPr>
          <w:p>
            <w:r/>
            <w:r>
              <w:rPr>
                <w:sz w:val="20"/>
              </w:rPr>
              <w:t>Q1 2026</w:t>
            </w:r>
          </w:p>
        </w:tc>
        <w:tc>
          <w:tcPr>
            <w:tcW w:type="dxa" w:w="3515"/>
            <w:shd w:val="clear" w:color="auto" w:fill="F3F8FB"/>
          </w:tcPr>
          <w:p>
            <w:r/>
            <w:r>
              <w:rPr>
                <w:sz w:val="20"/>
              </w:rPr>
              <w:t>найм</w:t>
            </w:r>
          </w:p>
        </w:tc>
      </w:tr>
      <w:tr>
        <w:tc>
          <w:tcPr>
            <w:tcW w:type="dxa" w:w="4082"/>
          </w:tcPr>
          <w:p>
            <w:r/>
            <w:r>
              <w:rPr>
                <w:sz w:val="20"/>
              </w:rPr>
              <w:t>Эмбриолог-аналитик (клиническая интеграция)</w:t>
            </w:r>
          </w:p>
        </w:tc>
        <w:tc>
          <w:tcPr>
            <w:tcW w:type="dxa" w:w="1474"/>
          </w:tcPr>
          <w:p>
            <w:r/>
            <w:r>
              <w:rPr>
                <w:sz w:val="20"/>
              </w:rPr>
              <w:t>Q3 2026</w:t>
            </w:r>
          </w:p>
        </w:tc>
        <w:tc>
          <w:tcPr>
            <w:tcW w:type="dxa" w:w="3515"/>
          </w:tcPr>
          <w:p>
            <w:r/>
            <w:r>
              <w:rPr>
                <w:sz w:val="20"/>
              </w:rPr>
              <w:t>найм/совместительство</w:t>
            </w:r>
          </w:p>
        </w:tc>
      </w:tr>
      <w:tr>
        <w:tc>
          <w:tcPr>
            <w:tcW w:type="dxa" w:w="4082"/>
            <w:shd w:val="clear" w:color="auto" w:fill="F3F8FB"/>
          </w:tcPr>
          <w:p>
            <w:r/>
            <w:r>
              <w:rPr>
                <w:sz w:val="20"/>
              </w:rPr>
              <w:t>Регуляторный специалист</w:t>
            </w:r>
          </w:p>
        </w:tc>
        <w:tc>
          <w:tcPr>
            <w:tcW w:type="dxa" w:w="1474"/>
            <w:shd w:val="clear" w:color="auto" w:fill="F3F8FB"/>
          </w:tcPr>
          <w:p>
            <w:r/>
            <w:r>
              <w:rPr>
                <w:sz w:val="20"/>
              </w:rPr>
              <w:t>Q3 2026</w:t>
            </w:r>
          </w:p>
        </w:tc>
        <w:tc>
          <w:tcPr>
            <w:tcW w:type="dxa" w:w="3515"/>
            <w:shd w:val="clear" w:color="auto" w:fill="F3F8FB"/>
          </w:tcPr>
          <w:p>
            <w:r/>
            <w:r>
              <w:rPr>
                <w:sz w:val="20"/>
              </w:rPr>
              <w:t>найм</w:t>
            </w:r>
          </w:p>
        </w:tc>
      </w:tr>
      <w:tr>
        <w:tc>
          <w:tcPr>
            <w:tcW w:type="dxa" w:w="4082"/>
          </w:tcPr>
          <w:p>
            <w:r/>
            <w:r>
              <w:rPr>
                <w:sz w:val="20"/>
              </w:rPr>
              <w:t>CRA (мониторинг исследования)</w:t>
            </w:r>
          </w:p>
        </w:tc>
        <w:tc>
          <w:tcPr>
            <w:tcW w:type="dxa" w:w="1474"/>
          </w:tcPr>
          <w:p>
            <w:r/>
            <w:r>
              <w:rPr>
                <w:sz w:val="20"/>
              </w:rPr>
              <w:t>Q7 2026</w:t>
            </w:r>
          </w:p>
        </w:tc>
        <w:tc>
          <w:tcPr>
            <w:tcW w:type="dxa" w:w="3515"/>
          </w:tcPr>
          <w:p>
            <w:r/>
            <w:r>
              <w:rPr>
                <w:sz w:val="20"/>
              </w:rPr>
              <w:t>найм</w:t>
            </w:r>
          </w:p>
        </w:tc>
      </w:tr>
      <w:tr>
        <w:tc>
          <w:tcPr>
            <w:tcW w:type="dxa" w:w="4082"/>
            <w:shd w:val="clear" w:color="auto" w:fill="F3F8FB"/>
          </w:tcPr>
          <w:p>
            <w:r/>
            <w:r>
              <w:rPr>
                <w:sz w:val="20"/>
              </w:rPr>
              <w:t>ML-инженер №2 (таймлапс)</w:t>
            </w:r>
          </w:p>
        </w:tc>
        <w:tc>
          <w:tcPr>
            <w:tcW w:type="dxa" w:w="1474"/>
            <w:shd w:val="clear" w:color="auto" w:fill="F3F8FB"/>
          </w:tcPr>
          <w:p>
            <w:r/>
            <w:r>
              <w:rPr>
                <w:sz w:val="20"/>
              </w:rPr>
              <w:t>Q3 2026</w:t>
            </w:r>
          </w:p>
        </w:tc>
        <w:tc>
          <w:tcPr>
            <w:tcW w:type="dxa" w:w="3515"/>
            <w:shd w:val="clear" w:color="auto" w:fill="F3F8FB"/>
          </w:tcPr>
          <w:p>
            <w:r/>
            <w:r>
              <w:rPr>
                <w:sz w:val="20"/>
              </w:rPr>
              <w:t>найм</w:t>
            </w:r>
          </w:p>
        </w:tc>
      </w:tr>
      <w:tr>
        <w:tc>
          <w:tcPr>
            <w:tcW w:type="dxa" w:w="4082"/>
          </w:tcPr>
          <w:p>
            <w:r/>
            <w:r>
              <w:rPr>
                <w:sz w:val="20"/>
              </w:rPr>
              <w:t>B2B-менеджер (Москва)</w:t>
            </w:r>
          </w:p>
        </w:tc>
        <w:tc>
          <w:tcPr>
            <w:tcW w:type="dxa" w:w="1474"/>
          </w:tcPr>
          <w:p>
            <w:r/>
            <w:r>
              <w:rPr>
                <w:sz w:val="20"/>
              </w:rPr>
              <w:t>Q3 2026</w:t>
            </w:r>
          </w:p>
        </w:tc>
        <w:tc>
          <w:tcPr>
            <w:tcW w:type="dxa" w:w="3515"/>
          </w:tcPr>
          <w:p>
            <w:r/>
            <w:r>
              <w:rPr>
                <w:sz w:val="20"/>
              </w:rPr>
              <w:t>найм</w:t>
            </w:r>
          </w:p>
        </w:tc>
      </w:tr>
      <w:tr>
        <w:tc>
          <w:tcPr>
            <w:tcW w:type="dxa" w:w="4082"/>
            <w:shd w:val="clear" w:color="auto" w:fill="F3F8FB"/>
          </w:tcPr>
          <w:p>
            <w:r/>
            <w:r>
              <w:rPr>
                <w:sz w:val="20"/>
              </w:rPr>
              <w:t>Дата-инженер / MLOps</w:t>
            </w:r>
          </w:p>
        </w:tc>
        <w:tc>
          <w:tcPr>
            <w:tcW w:type="dxa" w:w="1474"/>
            <w:shd w:val="clear" w:color="auto" w:fill="F3F8FB"/>
          </w:tcPr>
          <w:p>
            <w:r/>
            <w:r>
              <w:rPr>
                <w:sz w:val="20"/>
              </w:rPr>
              <w:t>Q1 2027</w:t>
            </w:r>
          </w:p>
        </w:tc>
        <w:tc>
          <w:tcPr>
            <w:tcW w:type="dxa" w:w="3515"/>
            <w:shd w:val="clear" w:color="auto" w:fill="F3F8FB"/>
          </w:tcPr>
          <w:p>
            <w:r/>
            <w:r>
              <w:rPr>
                <w:sz w:val="20"/>
              </w:rPr>
              <w:t>найм</w:t>
            </w:r>
          </w:p>
        </w:tc>
      </w:tr>
      <w:tr>
        <w:tc>
          <w:tcPr>
            <w:tcW w:type="dxa" w:w="4082"/>
          </w:tcPr>
          <w:p>
            <w:r/>
            <w:r>
              <w:rPr>
                <w:sz w:val="20"/>
              </w:rPr>
              <w:t>Коммерческий директор</w:t>
            </w:r>
          </w:p>
        </w:tc>
        <w:tc>
          <w:tcPr>
            <w:tcW w:type="dxa" w:w="1474"/>
          </w:tcPr>
          <w:p>
            <w:r/>
            <w:r>
              <w:rPr>
                <w:sz w:val="20"/>
              </w:rPr>
              <w:t>Q3 2027</w:t>
            </w:r>
          </w:p>
        </w:tc>
        <w:tc>
          <w:tcPr>
            <w:tcW w:type="dxa" w:w="3515"/>
          </w:tcPr>
          <w:p>
            <w:r/>
            <w:r>
              <w:rPr>
                <w:sz w:val="20"/>
              </w:rPr>
              <w:t>найм (или 1-й B2B-менеджер растёт)</w:t>
            </w:r>
          </w:p>
        </w:tc>
      </w:tr>
      <w:tr>
        <w:tc>
          <w:tcPr>
            <w:tcW w:type="dxa" w:w="4082"/>
            <w:shd w:val="clear" w:color="auto" w:fill="F3F8FB"/>
          </w:tcPr>
          <w:p>
            <w:r/>
            <w:r>
              <w:rPr>
                <w:sz w:val="20"/>
              </w:rPr>
              <w:t>Региональные менеджеры</w:t>
            </w:r>
          </w:p>
        </w:tc>
        <w:tc>
          <w:tcPr>
            <w:tcW w:type="dxa" w:w="1474"/>
            <w:shd w:val="clear" w:color="auto" w:fill="F3F8FB"/>
          </w:tcPr>
          <w:p>
            <w:r/>
            <w:r>
              <w:rPr>
                <w:sz w:val="20"/>
              </w:rPr>
              <w:t>2028+</w:t>
            </w:r>
          </w:p>
        </w:tc>
        <w:tc>
          <w:tcPr>
            <w:tcW w:type="dxa" w:w="3515"/>
            <w:shd w:val="clear" w:color="auto" w:fill="F3F8FB"/>
          </w:tcPr>
          <w:p>
            <w:r/>
            <w:r>
              <w:rPr>
                <w:sz w:val="20"/>
              </w:rPr>
              <w:t>по мере экспансии регионов</w:t>
            </w:r>
          </w:p>
        </w:tc>
      </w:tr>
      <w:tr>
        <w:tc>
          <w:tcPr>
            <w:tcW w:type="dxa" w:w="4082"/>
          </w:tcPr>
          <w:p>
            <w:r/>
            <w:r>
              <w:rPr>
                <w:sz w:val="20"/>
              </w:rPr>
              <w:t>Международный менеджер (КНР/АТР)</w:t>
            </w:r>
          </w:p>
        </w:tc>
        <w:tc>
          <w:tcPr>
            <w:tcW w:type="dxa" w:w="1474"/>
          </w:tcPr>
          <w:p>
            <w:r/>
            <w:r>
              <w:rPr>
                <w:sz w:val="20"/>
              </w:rPr>
              <w:t>2028</w:t>
            </w:r>
          </w:p>
        </w:tc>
        <w:tc>
          <w:tcPr>
            <w:tcW w:type="dxa" w:w="3515"/>
          </w:tcPr>
          <w:p>
            <w:r/>
            <w:r>
              <w:rPr>
                <w:sz w:val="20"/>
              </w:rPr>
              <w:t>найм, китайский язык — плюс</w:t>
            </w:r>
          </w:p>
        </w:tc>
      </w:tr>
    </w:tbl>
    <w:p/>
    <w:p>
      <w:pPr>
        <w:pStyle w:val="Heading2"/>
      </w:pPr>
      <w:r>
        <w:t>10.4. Мотивация и опционный пул</w:t>
      </w:r>
    </w:p>
    <w:p>
      <w:pPr>
        <w:pStyle w:val="ListBullet"/>
        <w:ind w:left="340"/>
      </w:pPr>
      <w:r>
        <w:t>опционный пул ≈26% пост-инвестиционный — мотивация команды на создание стоимости и удержание ключевых сотрудников;</w:t>
      </w:r>
    </w:p>
    <w:p>
      <w:pPr>
        <w:pStyle w:val="ListBullet"/>
        <w:ind w:left="340"/>
      </w:pPr>
      <w:r>
        <w:t>ключевые сотрудники подписывают NDA, NCA (3 года), договор о служебных произведениях — права на служебные РИД и ПО закрепляются за компанией;</w:t>
      </w:r>
    </w:p>
    <w:p>
      <w:pPr>
        <w:pStyle w:val="ListBullet"/>
        <w:ind w:left="340"/>
      </w:pPr>
      <w:r>
        <w:t>консультанты (научный руководитель, эмбриолог) — в части — на договорах авторского заказа с передачей прав.</w:t>
      </w:r>
    </w:p>
    <w:p>
      <w:pPr>
        <w:pStyle w:val="Heading2"/>
      </w:pPr>
      <w:r>
        <w:t>10.5. Корпоративное управление</w:t>
      </w:r>
    </w:p>
    <w:p>
      <w:pPr>
        <w:pStyle w:val="ListBullet"/>
        <w:ind w:left="340"/>
      </w:pPr>
      <w:r>
        <w:t>Совет директоров 7–8 мест (в т.ч. 1 квота инвестора); ключевые решения — единогласие (акционерное соглашение);</w:t>
      </w:r>
    </w:p>
    <w:p>
      <w:pPr>
        <w:pStyle w:val="ListBullet"/>
        <w:ind w:left="340"/>
      </w:pPr>
      <w:r>
        <w:t>годовой бюджет и ИПР (инвестиционный план) утверждаются Советом; ежемесячная управленческая отчётность по стандарту модели;</w:t>
      </w:r>
    </w:p>
    <w:p>
      <w:pPr>
        <w:pStyle w:val="ListBullet"/>
        <w:ind w:left="340"/>
      </w:pPr>
      <w:r>
        <w:t>внешний аудит с 2028; комплаенс 152-ФЗ и ISO-процедуры как обязательные элементы операционных регламентов.</w:t>
      </w:r>
    </w:p>
    <w:p>
      <w:pPr>
        <w:pStyle w:val="Heading2"/>
      </w:pPr>
      <w:r>
        <w:t>10.6. Организационная модель и роли (RACI-контур)</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041"/>
            <w:shd w:val="clear" w:color="auto" w:fill="0B3D5C"/>
          </w:tcPr>
          <w:p>
            <w:r/>
            <w:r>
              <w:rPr>
                <w:b/>
                <w:color w:val="FFFFFF"/>
                <w:sz w:val="20"/>
              </w:rPr>
              <w:t>Функция</w:t>
            </w:r>
          </w:p>
        </w:tc>
        <w:tc>
          <w:tcPr>
            <w:tcW w:type="dxa" w:w="2494"/>
            <w:shd w:val="clear" w:color="auto" w:fill="0B3D5C"/>
          </w:tcPr>
          <w:p>
            <w:r/>
            <w:r>
              <w:rPr>
                <w:b/>
                <w:color w:val="FFFFFF"/>
                <w:sz w:val="20"/>
              </w:rPr>
              <w:t>Ответственный (Accountable)</w:t>
            </w:r>
          </w:p>
        </w:tc>
        <w:tc>
          <w:tcPr>
            <w:tcW w:type="dxa" w:w="2381"/>
            <w:shd w:val="clear" w:color="auto" w:fill="0B3D5C"/>
          </w:tcPr>
          <w:p>
            <w:r/>
            <w:r>
              <w:rPr>
                <w:b/>
                <w:color w:val="FFFFFF"/>
                <w:sz w:val="20"/>
              </w:rPr>
              <w:t>Консультант (Consulted)</w:t>
            </w:r>
          </w:p>
        </w:tc>
        <w:tc>
          <w:tcPr>
            <w:tcW w:type="dxa" w:w="1928"/>
            <w:shd w:val="clear" w:color="auto" w:fill="0B3D5C"/>
          </w:tcPr>
          <w:p>
            <w:r/>
            <w:r>
              <w:rPr>
                <w:b/>
                <w:color w:val="FFFFFF"/>
                <w:sz w:val="20"/>
              </w:rPr>
              <w:t>Ключевой результат</w:t>
            </w:r>
          </w:p>
        </w:tc>
      </w:tr>
      <w:tr>
        <w:tc>
          <w:tcPr>
            <w:tcW w:type="dxa" w:w="2041"/>
          </w:tcPr>
          <w:p>
            <w:r/>
            <w:r>
              <w:rPr>
                <w:sz w:val="20"/>
              </w:rPr>
              <w:t>Продукт и roadmap</w:t>
            </w:r>
          </w:p>
        </w:tc>
        <w:tc>
          <w:tcPr>
            <w:tcW w:type="dxa" w:w="2494"/>
          </w:tcPr>
          <w:p>
            <w:r/>
            <w:r>
              <w:rPr>
                <w:sz w:val="20"/>
              </w:rPr>
              <w:t>Научный руководитель</w:t>
            </w:r>
          </w:p>
        </w:tc>
        <w:tc>
          <w:tcPr>
            <w:tcW w:type="dxa" w:w="2381"/>
          </w:tcPr>
          <w:p>
            <w:r/>
            <w:r>
              <w:rPr>
                <w:sz w:val="20"/>
              </w:rPr>
              <w:t>Инвестор, клинический совет</w:t>
            </w:r>
          </w:p>
        </w:tc>
        <w:tc>
          <w:tcPr>
            <w:tcW w:type="dxa" w:w="1928"/>
          </w:tcPr>
          <w:p>
            <w:r/>
            <w:r>
              <w:rPr>
                <w:sz w:val="20"/>
              </w:rPr>
              <w:t>AUC/CLBR-вехи, версии модулей</w:t>
            </w:r>
          </w:p>
        </w:tc>
      </w:tr>
      <w:tr>
        <w:tc>
          <w:tcPr>
            <w:tcW w:type="dxa" w:w="2041"/>
            <w:shd w:val="clear" w:color="auto" w:fill="F3F8FB"/>
          </w:tcPr>
          <w:p>
            <w:r/>
            <w:r>
              <w:rPr>
                <w:sz w:val="20"/>
              </w:rPr>
              <w:t>R&amp;D и данные</w:t>
            </w:r>
          </w:p>
        </w:tc>
        <w:tc>
          <w:tcPr>
            <w:tcW w:type="dxa" w:w="2494"/>
            <w:shd w:val="clear" w:color="auto" w:fill="F3F8FB"/>
          </w:tcPr>
          <w:p>
            <w:r/>
            <w:r>
              <w:rPr>
                <w:sz w:val="20"/>
              </w:rPr>
              <w:t>Рук. ИИ-разработки</w:t>
            </w:r>
          </w:p>
        </w:tc>
        <w:tc>
          <w:tcPr>
            <w:tcW w:type="dxa" w:w="2381"/>
            <w:shd w:val="clear" w:color="auto" w:fill="F3F8FB"/>
          </w:tcPr>
          <w:p>
            <w:r/>
            <w:r>
              <w:rPr>
                <w:sz w:val="20"/>
              </w:rPr>
              <w:t>Научный руководитель</w:t>
            </w:r>
          </w:p>
        </w:tc>
        <w:tc>
          <w:tcPr>
            <w:tcW w:type="dxa" w:w="1928"/>
            <w:shd w:val="clear" w:color="auto" w:fill="F3F8FB"/>
          </w:tcPr>
          <w:p>
            <w:r/>
            <w:r>
              <w:rPr>
                <w:sz w:val="20"/>
              </w:rPr>
              <w:t>Качество датасетов, обучение модели</w:t>
            </w:r>
          </w:p>
        </w:tc>
      </w:tr>
      <w:tr>
        <w:tc>
          <w:tcPr>
            <w:tcW w:type="dxa" w:w="2041"/>
          </w:tcPr>
          <w:p>
            <w:r/>
            <w:r>
              <w:rPr>
                <w:sz w:val="20"/>
              </w:rPr>
              <w:t>Клиническое внедрение</w:t>
            </w:r>
          </w:p>
        </w:tc>
        <w:tc>
          <w:tcPr>
            <w:tcW w:type="dxa" w:w="2494"/>
          </w:tcPr>
          <w:p>
            <w:r/>
            <w:r>
              <w:rPr>
                <w:sz w:val="20"/>
              </w:rPr>
              <w:t>Эмбриолог-аналитик/CRA</w:t>
            </w:r>
          </w:p>
        </w:tc>
        <w:tc>
          <w:tcPr>
            <w:tcW w:type="dxa" w:w="2381"/>
          </w:tcPr>
          <w:p>
            <w:r/>
            <w:r>
              <w:rPr>
                <w:sz w:val="20"/>
              </w:rPr>
              <w:t>Клиники-партнёры</w:t>
            </w:r>
          </w:p>
        </w:tc>
        <w:tc>
          <w:tcPr>
            <w:tcW w:type="dxa" w:w="1928"/>
          </w:tcPr>
          <w:p>
            <w:r/>
            <w:r>
              <w:rPr>
                <w:sz w:val="20"/>
              </w:rPr>
              <w:t>Пилоты, протоколы, валидация</w:t>
            </w:r>
          </w:p>
        </w:tc>
      </w:tr>
      <w:tr>
        <w:tc>
          <w:tcPr>
            <w:tcW w:type="dxa" w:w="2041"/>
            <w:shd w:val="clear" w:color="auto" w:fill="F3F8FB"/>
          </w:tcPr>
          <w:p>
            <w:r/>
            <w:r>
              <w:rPr>
                <w:sz w:val="20"/>
              </w:rPr>
              <w:t>Регуляторика и ИС</w:t>
            </w:r>
          </w:p>
        </w:tc>
        <w:tc>
          <w:tcPr>
            <w:tcW w:type="dxa" w:w="2494"/>
            <w:shd w:val="clear" w:color="auto" w:fill="F3F8FB"/>
          </w:tcPr>
          <w:p>
            <w:r/>
            <w:r>
              <w:rPr>
                <w:sz w:val="20"/>
              </w:rPr>
              <w:t>Регуляторный специалист + юрист</w:t>
            </w:r>
          </w:p>
        </w:tc>
        <w:tc>
          <w:tcPr>
            <w:tcW w:type="dxa" w:w="2381"/>
            <w:shd w:val="clear" w:color="auto" w:fill="F3F8FB"/>
          </w:tcPr>
          <w:p>
            <w:r/>
            <w:r>
              <w:rPr>
                <w:sz w:val="20"/>
              </w:rPr>
              <w:t>Внешний патентный поверенный</w:t>
            </w:r>
          </w:p>
        </w:tc>
        <w:tc>
          <w:tcPr>
            <w:tcW w:type="dxa" w:w="1928"/>
            <w:shd w:val="clear" w:color="auto" w:fill="F3F8FB"/>
          </w:tcPr>
          <w:p>
            <w:r/>
            <w:r>
              <w:rPr>
                <w:sz w:val="20"/>
              </w:rPr>
              <w:t>ПОЭВМ, ИИ-МИ, патенты</w:t>
            </w:r>
          </w:p>
        </w:tc>
      </w:tr>
      <w:tr>
        <w:tc>
          <w:tcPr>
            <w:tcW w:type="dxa" w:w="2041"/>
          </w:tcPr>
          <w:p>
            <w:r/>
            <w:r>
              <w:rPr>
                <w:sz w:val="20"/>
              </w:rPr>
              <w:t>Коммерция (B2B/B2G)</w:t>
            </w:r>
          </w:p>
        </w:tc>
        <w:tc>
          <w:tcPr>
            <w:tcW w:type="dxa" w:w="2494"/>
          </w:tcPr>
          <w:p>
            <w:r/>
            <w:r>
              <w:rPr>
                <w:sz w:val="20"/>
              </w:rPr>
              <w:t>Коммерческий директор</w:t>
            </w:r>
          </w:p>
        </w:tc>
        <w:tc>
          <w:tcPr>
            <w:tcW w:type="dxa" w:w="2381"/>
          </w:tcPr>
          <w:p>
            <w:r/>
            <w:r>
              <w:rPr>
                <w:sz w:val="20"/>
              </w:rPr>
              <w:t>Маркетинг, аналитика</w:t>
            </w:r>
          </w:p>
        </w:tc>
        <w:tc>
          <w:tcPr>
            <w:tcW w:type="dxa" w:w="1928"/>
          </w:tcPr>
          <w:p>
            <w:r/>
            <w:r>
              <w:rPr>
                <w:sz w:val="20"/>
              </w:rPr>
              <w:t>Воронка, ARR, NRR</w:t>
            </w:r>
          </w:p>
        </w:tc>
      </w:tr>
      <w:tr>
        <w:tc>
          <w:tcPr>
            <w:tcW w:type="dxa" w:w="2041"/>
            <w:shd w:val="clear" w:color="auto" w:fill="F3F8FB"/>
          </w:tcPr>
          <w:p>
            <w:r/>
            <w:r>
              <w:rPr>
                <w:sz w:val="20"/>
              </w:rPr>
              <w:t>Финансы и инвесторы</w:t>
            </w:r>
          </w:p>
        </w:tc>
        <w:tc>
          <w:tcPr>
            <w:tcW w:type="dxa" w:w="2494"/>
            <w:shd w:val="clear" w:color="auto" w:fill="F3F8FB"/>
          </w:tcPr>
          <w:p>
            <w:r/>
            <w:r>
              <w:rPr>
                <w:sz w:val="20"/>
              </w:rPr>
              <w:t>Генеральный директор</w:t>
            </w:r>
          </w:p>
        </w:tc>
        <w:tc>
          <w:tcPr>
            <w:tcW w:type="dxa" w:w="2381"/>
            <w:shd w:val="clear" w:color="auto" w:fill="F3F8FB"/>
          </w:tcPr>
          <w:p>
            <w:r/>
            <w:r>
              <w:rPr>
                <w:sz w:val="20"/>
              </w:rPr>
              <w:t>CFO-консультант</w:t>
            </w:r>
          </w:p>
        </w:tc>
        <w:tc>
          <w:tcPr>
            <w:tcW w:type="dxa" w:w="1928"/>
            <w:shd w:val="clear" w:color="auto" w:fill="F3F8FB"/>
          </w:tcPr>
          <w:p>
            <w:r/>
            <w:r>
              <w:rPr>
                <w:sz w:val="20"/>
              </w:rPr>
              <w:t>Runway, раунды, отчётность</w:t>
            </w:r>
          </w:p>
        </w:tc>
      </w:tr>
      <w:tr>
        <w:tc>
          <w:tcPr>
            <w:tcW w:type="dxa" w:w="2041"/>
          </w:tcPr>
          <w:p>
            <w:r/>
            <w:r>
              <w:rPr>
                <w:sz w:val="20"/>
              </w:rPr>
              <w:t>Международное направление</w:t>
            </w:r>
          </w:p>
        </w:tc>
        <w:tc>
          <w:tcPr>
            <w:tcW w:type="dxa" w:w="2494"/>
          </w:tcPr>
          <w:p>
            <w:r/>
            <w:r>
              <w:rPr>
                <w:sz w:val="20"/>
              </w:rPr>
              <w:t>Международный менеджер</w:t>
            </w:r>
          </w:p>
        </w:tc>
        <w:tc>
          <w:tcPr>
            <w:tcW w:type="dxa" w:w="2381"/>
          </w:tcPr>
          <w:p>
            <w:r/>
            <w:r>
              <w:rPr>
                <w:sz w:val="20"/>
              </w:rPr>
              <w:t>Юристы КНР, партнёры</w:t>
            </w:r>
          </w:p>
        </w:tc>
        <w:tc>
          <w:tcPr>
            <w:tcW w:type="dxa" w:w="1928"/>
          </w:tcPr>
          <w:p>
            <w:r/>
            <w:r>
              <w:rPr>
                <w:sz w:val="20"/>
              </w:rPr>
              <w:t>WFOE, лицензии, пилоты АТР</w:t>
            </w:r>
          </w:p>
        </w:tc>
      </w:tr>
    </w:tbl>
    <w:p/>
    <w:p>
      <w:r>
        <w:rPr>
          <w:b w:val="0"/>
          <w:i w:val="0"/>
          <w:sz w:val="22"/>
        </w:rPr>
        <w:t>Такая модель распределения ответственности исключает дублирование решений и задаёт понятный контроль для инвестора: каждая функция имеет одного владельца результата и привлечённых консультантов.</w:t>
      </w:r>
    </w:p>
    <w:p>
      <w:r>
        <w:br w:type="page"/>
      </w:r>
    </w:p>
    <w:p>
      <w:pPr>
        <w:pStyle w:val="Heading1"/>
        <w:shd w:val="clear" w:color="auto" w:fill="EAF4F8"/>
      </w:pPr>
      <w:r>
        <w:t>11. ИНТЕЛЛЕКТУАЛЬНАЯ СОБСТВЕННОСТЬ И РЕГУЛЯТОРИКА</w:t>
      </w:r>
    </w:p>
    <w:p>
      <w:pPr>
        <w:pStyle w:val="Heading2"/>
      </w:pPr>
      <w:r>
        <w:t>11.1. Портфель РИД (минимальный)</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454"/>
            <w:shd w:val="clear" w:color="auto" w:fill="0B3D5C"/>
          </w:tcPr>
          <w:p>
            <w:r/>
            <w:r>
              <w:rPr>
                <w:b/>
                <w:color w:val="FFFFFF"/>
                <w:sz w:val="20"/>
              </w:rPr>
              <w:t>№</w:t>
            </w:r>
          </w:p>
        </w:tc>
        <w:tc>
          <w:tcPr>
            <w:tcW w:type="dxa" w:w="3515"/>
            <w:shd w:val="clear" w:color="auto" w:fill="0B3D5C"/>
          </w:tcPr>
          <w:p>
            <w:r/>
            <w:r>
              <w:rPr>
                <w:b/>
                <w:color w:val="FFFFFF"/>
                <w:sz w:val="20"/>
              </w:rPr>
              <w:t>Объект РИД</w:t>
            </w:r>
          </w:p>
        </w:tc>
        <w:tc>
          <w:tcPr>
            <w:tcW w:type="dxa" w:w="2721"/>
            <w:shd w:val="clear" w:color="auto" w:fill="0B3D5C"/>
          </w:tcPr>
          <w:p>
            <w:r/>
            <w:r>
              <w:rPr>
                <w:b/>
                <w:color w:val="FFFFFF"/>
                <w:sz w:val="20"/>
              </w:rPr>
              <w:t>Форма охраны</w:t>
            </w:r>
          </w:p>
        </w:tc>
        <w:tc>
          <w:tcPr>
            <w:tcW w:type="dxa" w:w="1928"/>
            <w:shd w:val="clear" w:color="auto" w:fill="0B3D5C"/>
          </w:tcPr>
          <w:p>
            <w:r/>
            <w:r>
              <w:rPr>
                <w:b/>
                <w:color w:val="FFFFFF"/>
                <w:sz w:val="20"/>
              </w:rPr>
              <w:t>Статус</w:t>
            </w:r>
          </w:p>
        </w:tc>
      </w:tr>
      <w:tr>
        <w:tc>
          <w:tcPr>
            <w:tcW w:type="dxa" w:w="454"/>
          </w:tcPr>
          <w:p>
            <w:r/>
            <w:r>
              <w:rPr>
                <w:sz w:val="20"/>
              </w:rPr>
              <w:t>1</w:t>
            </w:r>
          </w:p>
        </w:tc>
        <w:tc>
          <w:tcPr>
            <w:tcW w:type="dxa" w:w="3515"/>
          </w:tcPr>
          <w:p>
            <w:r/>
            <w:r>
              <w:rPr>
                <w:sz w:val="20"/>
              </w:rPr>
              <w:t>Алгоритм/способ прогноза имплантационного потенциала (мультимодальный)</w:t>
            </w:r>
          </w:p>
        </w:tc>
        <w:tc>
          <w:tcPr>
            <w:tcW w:type="dxa" w:w="2721"/>
          </w:tcPr>
          <w:p>
            <w:r/>
            <w:r>
              <w:rPr>
                <w:sz w:val="20"/>
              </w:rPr>
              <w:t>патент на изобретение</w:t>
            </w:r>
          </w:p>
        </w:tc>
        <w:tc>
          <w:tcPr>
            <w:tcW w:type="dxa" w:w="1928"/>
          </w:tcPr>
          <w:p>
            <w:r/>
            <w:r>
              <w:rPr>
                <w:sz w:val="20"/>
              </w:rPr>
              <w:t>заявка 2026–2027</w:t>
            </w:r>
          </w:p>
        </w:tc>
      </w:tr>
      <w:tr>
        <w:tc>
          <w:tcPr>
            <w:tcW w:type="dxa" w:w="454"/>
            <w:shd w:val="clear" w:color="auto" w:fill="F3F8FB"/>
          </w:tcPr>
          <w:p>
            <w:r/>
            <w:r>
              <w:rPr>
                <w:sz w:val="20"/>
              </w:rPr>
              <w:t>3</w:t>
            </w:r>
          </w:p>
        </w:tc>
        <w:tc>
          <w:tcPr>
            <w:tcW w:type="dxa" w:w="3515"/>
            <w:shd w:val="clear" w:color="auto" w:fill="F3F8FB"/>
          </w:tcPr>
          <w:p>
            <w:r/>
            <w:r>
              <w:rPr>
                <w:sz w:val="20"/>
              </w:rPr>
              <w:t>Модуль учёта мужского фактора (DFI) в прогнозе исходов ВРТ</w:t>
            </w:r>
          </w:p>
        </w:tc>
        <w:tc>
          <w:tcPr>
            <w:tcW w:type="dxa" w:w="2721"/>
            <w:shd w:val="clear" w:color="auto" w:fill="F3F8FB"/>
          </w:tcPr>
          <w:p>
            <w:r/>
            <w:r>
              <w:rPr>
                <w:sz w:val="20"/>
              </w:rPr>
              <w:t>патент на изобретение, ноу-хау</w:t>
            </w:r>
          </w:p>
        </w:tc>
        <w:tc>
          <w:tcPr>
            <w:tcW w:type="dxa" w:w="1928"/>
            <w:shd w:val="clear" w:color="auto" w:fill="F3F8FB"/>
          </w:tcPr>
          <w:p>
            <w:r/>
            <w:r>
              <w:rPr>
                <w:sz w:val="20"/>
              </w:rPr>
              <w:t>заявка 2027</w:t>
            </w:r>
          </w:p>
        </w:tc>
      </w:tr>
      <w:tr>
        <w:tc>
          <w:tcPr>
            <w:tcW w:type="dxa" w:w="454"/>
          </w:tcPr>
          <w:p>
            <w:r/>
            <w:r>
              <w:rPr>
                <w:sz w:val="20"/>
              </w:rPr>
              <w:t>7</w:t>
            </w:r>
          </w:p>
        </w:tc>
        <w:tc>
          <w:tcPr>
            <w:tcW w:type="dxa" w:w="3515"/>
          </w:tcPr>
          <w:p>
            <w:r/>
            <w:r>
              <w:rPr>
                <w:sz w:val="20"/>
              </w:rPr>
              <w:t>Программный комплекс VitaGen-AI Core (ПО)</w:t>
            </w:r>
          </w:p>
        </w:tc>
        <w:tc>
          <w:tcPr>
            <w:tcW w:type="dxa" w:w="2721"/>
          </w:tcPr>
          <w:p>
            <w:r/>
            <w:r>
              <w:rPr>
                <w:sz w:val="20"/>
              </w:rPr>
              <w:t>регистрация ПОЭВМ / свидетельство</w:t>
            </w:r>
          </w:p>
        </w:tc>
        <w:tc>
          <w:tcPr>
            <w:tcW w:type="dxa" w:w="1928"/>
          </w:tcPr>
          <w:p>
            <w:r/>
            <w:r>
              <w:rPr>
                <w:sz w:val="20"/>
              </w:rPr>
              <w:t>депонирование выполнено</w:t>
            </w:r>
          </w:p>
        </w:tc>
      </w:tr>
      <w:tr>
        <w:tc>
          <w:tcPr>
            <w:tcW w:type="dxa" w:w="454"/>
            <w:shd w:val="clear" w:color="auto" w:fill="F3F8FB"/>
          </w:tcPr>
          <w:p>
            <w:r/>
            <w:r>
              <w:rPr>
                <w:sz w:val="20"/>
              </w:rPr>
              <w:t>3</w:t>
            </w:r>
          </w:p>
        </w:tc>
        <w:tc>
          <w:tcPr>
            <w:tcW w:type="dxa" w:w="3515"/>
            <w:shd w:val="clear" w:color="auto" w:fill="F3F8FB"/>
          </w:tcPr>
          <w:p>
            <w:r/>
            <w:r>
              <w:rPr>
                <w:sz w:val="20"/>
              </w:rPr>
              <w:t>Обучающие датасеты и базы данных (структура, валидационные разметки)</w:t>
            </w:r>
          </w:p>
        </w:tc>
        <w:tc>
          <w:tcPr>
            <w:tcW w:type="dxa" w:w="2721"/>
            <w:shd w:val="clear" w:color="auto" w:fill="F3F8FB"/>
          </w:tcPr>
          <w:p>
            <w:r/>
            <w:r>
              <w:rPr>
                <w:sz w:val="20"/>
              </w:rPr>
              <w:t>база данных (ст. 2297 ГК РФ)</w:t>
            </w:r>
          </w:p>
        </w:tc>
        <w:tc>
          <w:tcPr>
            <w:tcW w:type="dxa" w:w="1928"/>
            <w:shd w:val="clear" w:color="auto" w:fill="F3F8FB"/>
          </w:tcPr>
          <w:p>
            <w:r/>
            <w:r>
              <w:rPr>
                <w:sz w:val="20"/>
              </w:rPr>
              <w:t>депонирование</w:t>
            </w:r>
          </w:p>
        </w:tc>
      </w:tr>
      <w:tr>
        <w:tc>
          <w:tcPr>
            <w:tcW w:type="dxa" w:w="454"/>
          </w:tcPr>
          <w:p>
            <w:r/>
            <w:r>
              <w:rPr>
                <w:sz w:val="20"/>
              </w:rPr>
              <w:t>8</w:t>
            </w:r>
          </w:p>
        </w:tc>
        <w:tc>
          <w:tcPr>
            <w:tcW w:type="dxa" w:w="3515"/>
          </w:tcPr>
          <w:p>
            <w:r/>
            <w:r>
              <w:rPr>
                <w:sz w:val="20"/>
              </w:rPr>
              <w:t>Технические задания, DPA-пакеты, протоколы исследований</w:t>
            </w:r>
          </w:p>
        </w:tc>
        <w:tc>
          <w:tcPr>
            <w:tcW w:type="dxa" w:w="2721"/>
          </w:tcPr>
          <w:p>
            <w:r/>
            <w:r>
              <w:rPr>
                <w:sz w:val="20"/>
              </w:rPr>
              <w:t>ДЕМО (цифры вымышлены), авторские права (тексты)</w:t>
            </w:r>
          </w:p>
        </w:tc>
        <w:tc>
          <w:tcPr>
            <w:tcW w:type="dxa" w:w="1928"/>
          </w:tcPr>
          <w:p>
            <w:r/>
            <w:r>
              <w:rPr>
                <w:sz w:val="20"/>
              </w:rPr>
              <w:t>оформлено</w:t>
            </w:r>
          </w:p>
        </w:tc>
      </w:tr>
      <w:tr>
        <w:tc>
          <w:tcPr>
            <w:tcW w:type="dxa" w:w="454"/>
            <w:shd w:val="clear" w:color="auto" w:fill="F3F8FB"/>
          </w:tcPr>
          <w:p>
            <w:r/>
            <w:r>
              <w:rPr>
                <w:sz w:val="20"/>
              </w:rPr>
              <w:t>13</w:t>
            </w:r>
          </w:p>
        </w:tc>
        <w:tc>
          <w:tcPr>
            <w:tcW w:type="dxa" w:w="3515"/>
            <w:shd w:val="clear" w:color="auto" w:fill="F3F8FB"/>
          </w:tcPr>
          <w:p>
            <w:r/>
            <w:r>
              <w:rPr>
                <w:sz w:val="20"/>
              </w:rPr>
              <w:t>Знак для товаров и услуг VitaGen / логотип</w:t>
            </w:r>
          </w:p>
        </w:tc>
        <w:tc>
          <w:tcPr>
            <w:tcW w:type="dxa" w:w="2721"/>
            <w:shd w:val="clear" w:color="auto" w:fill="F3F8FB"/>
          </w:tcPr>
          <w:p>
            <w:r/>
            <w:r>
              <w:rPr>
                <w:sz w:val="20"/>
              </w:rPr>
              <w:t>товарный знак (Роспатент), международные классы</w:t>
            </w:r>
          </w:p>
        </w:tc>
        <w:tc>
          <w:tcPr>
            <w:tcW w:type="dxa" w:w="1928"/>
            <w:shd w:val="clear" w:color="auto" w:fill="F3F8FB"/>
          </w:tcPr>
          <w:p>
            <w:r/>
            <w:r>
              <w:rPr>
                <w:sz w:val="20"/>
              </w:rPr>
              <w:t>заявка 2026–2027</w:t>
            </w:r>
          </w:p>
        </w:tc>
      </w:tr>
    </w:tbl>
    <w:p/>
    <w:p>
      <w:pPr>
        <w:pStyle w:val="Heading2"/>
      </w:pPr>
      <w:r>
        <w:t>11.2. Регистрация и депонирование</w:t>
      </w:r>
    </w:p>
    <w:p>
      <w:pPr>
        <w:pStyle w:val="ListBullet"/>
        <w:ind w:left="340"/>
      </w:pPr>
      <w:r>
        <w:t>РИС: Свидетельство РИС № 40-2161-967 от 30.03.2026 (депонирование в Регистре ИС — приоритет по дате депонирования);</w:t>
      </w:r>
    </w:p>
    <w:p>
      <w:pPr>
        <w:pStyle w:val="ListBullet"/>
        <w:ind w:left="340"/>
      </w:pPr>
      <w:r>
        <w:t>NCAC (НКО «Национальный центр аттестации и исследования» / аналог) — депонирование и верификация произведений и кода;</w:t>
      </w:r>
    </w:p>
    <w:p>
      <w:pPr>
        <w:pStyle w:val="ListBullet"/>
        <w:ind w:left="340"/>
      </w:pPr>
      <w:r>
        <w:t>Роспатент: заявки на изобретения (ФИПС) — срок рассмотрения 14–23 мес.; подача приоритетов обеспечивает патентную чистоту против грантодателей;</w:t>
      </w:r>
    </w:p>
    <w:p>
      <w:pPr>
        <w:pStyle w:val="ListBullet"/>
        <w:ind w:left="340"/>
      </w:pPr>
      <w:r>
        <w:t>ПОЭВМ: регистрация программы для ЭВМ (ведомство Роспатента), срок ~3 мес.;</w:t>
      </w:r>
    </w:p>
    <w:p>
      <w:pPr>
        <w:pStyle w:val="ListBullet"/>
        <w:ind w:left="340"/>
      </w:pPr>
      <w:r>
        <w:t>ДЕМО (цифры вымышлены) (ст. 2239, 1571 ГК РФ): режим установлен локальными актами, подписка сотрудников, журнал доступа.</w:t>
      </w:r>
    </w:p>
    <w:p>
      <w:r>
        <w:rPr>
          <w:i/>
          <w:color w:val="5A6A7A"/>
          <w:sz w:val="18"/>
        </w:rPr>
        <w:t>Быстрая защита до патентования реализована связкой «депонирование в РИС/NCAC + ДЕМО (цифры вымышлены) + заявки в ФИПС»: на этапе прототипа это позволяет предъявлять инвестору доказанный приоритет ~14 объектов × 14 тыс. ₽ на депонирование.</w:t>
      </w:r>
    </w:p>
    <w:p>
      <w:pPr>
        <w:pStyle w:val="Heading2"/>
      </w:pPr>
      <w:r>
        <w:t>11.3. Оценка ИС</w:t>
      </w:r>
    </w:p>
    <w:p>
      <w:r>
        <w:rPr>
          <w:b w:val="0"/>
          <w:i w:val="0"/>
          <w:sz w:val="22"/>
        </w:rPr>
        <w:t>Независимым оценщиком портфель РИД предварительно оценён в диапазоне 95–166 млн ₽, адекватная консервативная величина для внесения в уставный капитал — 78 млн ₽ (затратный + сравнительный подходы, BEP- и VPL-методы). Оценка подтверждается отчётом оценщика на дату входа инвестора.</w:t>
      </w:r>
    </w:p>
    <w:p>
      <w:pPr>
        <w:pStyle w:val="Heading2"/>
      </w:pPr>
      <w:r>
        <w:t>11.4. Регуляторика РФ</w:t>
      </w:r>
    </w:p>
    <w:tbl>
      <w:tblPr>
        <w:tblStyle w:val="TableGrid"/>
        <w:tblW w:type="auto" w:w="0"/>
        <w:jc w:val="center"/>
        <w:tblLook w:firstColumn="1" w:firstRow="1" w:lastColumn="0" w:lastRow="0" w:noHBand="0" w:noVBand="1" w:val="04A0"/>
      </w:tblPr>
      <w:tblGrid>
        <w:gridCol w:w="3213"/>
        <w:gridCol w:w="3213"/>
        <w:gridCol w:w="3213"/>
      </w:tblGrid>
      <w:tr>
        <w:tc>
          <w:tcPr>
            <w:tcW w:type="dxa" w:w="2835"/>
            <w:shd w:val="clear" w:color="auto" w:fill="0B3D5C"/>
          </w:tcPr>
          <w:p>
            <w:r/>
            <w:r>
              <w:rPr>
                <w:b/>
                <w:color w:val="FFFFFF"/>
                <w:sz w:val="20"/>
              </w:rPr>
              <w:t>Объект</w:t>
            </w:r>
          </w:p>
        </w:tc>
        <w:tc>
          <w:tcPr>
            <w:tcW w:type="dxa" w:w="3742"/>
            <w:shd w:val="clear" w:color="auto" w:fill="0B3D5C"/>
          </w:tcPr>
          <w:p>
            <w:r/>
            <w:r>
              <w:rPr>
                <w:b/>
                <w:color w:val="FFFFFF"/>
                <w:sz w:val="20"/>
              </w:rPr>
              <w:t>Требование</w:t>
            </w:r>
          </w:p>
        </w:tc>
        <w:tc>
          <w:tcPr>
            <w:tcW w:type="dxa" w:w="2041"/>
            <w:shd w:val="clear" w:color="auto" w:fill="0B3D5C"/>
          </w:tcPr>
          <w:p>
            <w:r/>
            <w:r>
              <w:rPr>
                <w:b/>
                <w:color w:val="FFFFFF"/>
                <w:sz w:val="20"/>
              </w:rPr>
              <w:t>Статус/план</w:t>
            </w:r>
          </w:p>
        </w:tc>
      </w:tr>
      <w:tr>
        <w:tc>
          <w:tcPr>
            <w:tcW w:type="dxa" w:w="2835"/>
          </w:tcPr>
          <w:p>
            <w:r/>
            <w:r>
              <w:rPr>
                <w:sz w:val="20"/>
              </w:rPr>
              <w:t>ПО как медизделие (ИИ-МИ)</w:t>
            </w:r>
          </w:p>
        </w:tc>
        <w:tc>
          <w:tcPr>
            <w:tcW w:type="dxa" w:w="3742"/>
          </w:tcPr>
          <w:p>
            <w:r/>
            <w:r>
              <w:rPr>
                <w:sz w:val="20"/>
              </w:rPr>
              <w:t>Регистрация Росздравнадзором по Правилам регистрации МИ, класс 3б/7 (по назначению)</w:t>
            </w:r>
          </w:p>
        </w:tc>
        <w:tc>
          <w:tcPr>
            <w:tcW w:type="dxa" w:w="2041"/>
          </w:tcPr>
          <w:p>
            <w:r/>
            <w:r>
              <w:rPr>
                <w:sz w:val="20"/>
              </w:rPr>
              <w:t>Досье 2027</w:t>
            </w:r>
          </w:p>
        </w:tc>
      </w:tr>
      <w:tr>
        <w:tc>
          <w:tcPr>
            <w:tcW w:type="dxa" w:w="2835"/>
            <w:shd w:val="clear" w:color="auto" w:fill="F3F8FB"/>
          </w:tcPr>
          <w:p>
            <w:r/>
            <w:r>
              <w:rPr>
                <w:sz w:val="20"/>
              </w:rPr>
              <w:t>ИИ-медизделия</w:t>
            </w:r>
          </w:p>
        </w:tc>
        <w:tc>
          <w:tcPr>
            <w:tcW w:type="dxa" w:w="3742"/>
            <w:shd w:val="clear" w:color="auto" w:fill="F3F8FB"/>
          </w:tcPr>
          <w:p>
            <w:r/>
            <w:r>
              <w:rPr>
                <w:sz w:val="20"/>
              </w:rPr>
              <w:t>«Песочница» ДЗМ/Минздрав (режим ускоренной апробации ИИ-МИ)</w:t>
            </w:r>
          </w:p>
        </w:tc>
        <w:tc>
          <w:tcPr>
            <w:tcW w:type="dxa" w:w="2041"/>
            <w:shd w:val="clear" w:color="auto" w:fill="F3F8FB"/>
          </w:tcPr>
          <w:p>
            <w:r/>
            <w:r>
              <w:rPr>
                <w:sz w:val="20"/>
              </w:rPr>
              <w:t>Пилот 2026–2027</w:t>
            </w:r>
          </w:p>
        </w:tc>
      </w:tr>
      <w:tr>
        <w:tc>
          <w:tcPr>
            <w:tcW w:type="dxa" w:w="2835"/>
          </w:tcPr>
          <w:p>
            <w:r/>
            <w:r>
              <w:rPr>
                <w:sz w:val="20"/>
              </w:rPr>
              <w:t>Персональные данные</w:t>
            </w:r>
          </w:p>
        </w:tc>
        <w:tc>
          <w:tcPr>
            <w:tcW w:type="dxa" w:w="3742"/>
          </w:tcPr>
          <w:p>
            <w:r/>
            <w:r>
              <w:rPr>
                <w:sz w:val="20"/>
              </w:rPr>
              <w:t>152-ФЗ; оператор ПДн; уведомление РКН; трансграничная передача</w:t>
            </w:r>
          </w:p>
        </w:tc>
        <w:tc>
          <w:tcPr>
            <w:tcW w:type="dxa" w:w="2041"/>
          </w:tcPr>
          <w:p>
            <w:r/>
            <w:r>
              <w:rPr>
                <w:sz w:val="20"/>
              </w:rPr>
              <w:t>Комплаенс-пакет Seed</w:t>
            </w:r>
          </w:p>
        </w:tc>
      </w:tr>
      <w:tr>
        <w:tc>
          <w:tcPr>
            <w:tcW w:type="dxa" w:w="2835"/>
            <w:shd w:val="clear" w:color="auto" w:fill="F3F8FB"/>
          </w:tcPr>
          <w:p>
            <w:r/>
            <w:r>
              <w:rPr>
                <w:sz w:val="20"/>
              </w:rPr>
              <w:t>Программы для ЭВМ (реестр отечественного ПО)</w:t>
            </w:r>
          </w:p>
        </w:tc>
        <w:tc>
          <w:tcPr>
            <w:tcW w:type="dxa" w:w="3742"/>
            <w:shd w:val="clear" w:color="auto" w:fill="F3F8FB"/>
          </w:tcPr>
          <w:p>
            <w:r/>
            <w:r>
              <w:rPr>
                <w:sz w:val="20"/>
              </w:rPr>
              <w:t>Включение в Реестр российского ПО (Минцифры)</w:t>
            </w:r>
          </w:p>
        </w:tc>
        <w:tc>
          <w:tcPr>
            <w:tcW w:type="dxa" w:w="2041"/>
            <w:shd w:val="clear" w:color="auto" w:fill="F3F8FB"/>
          </w:tcPr>
          <w:p>
            <w:r/>
            <w:r>
              <w:rPr>
                <w:sz w:val="20"/>
              </w:rPr>
              <w:t>Заявка 2026–2027</w:t>
            </w:r>
          </w:p>
        </w:tc>
      </w:tr>
      <w:tr>
        <w:tc>
          <w:tcPr>
            <w:tcW w:type="dxa" w:w="2835"/>
          </w:tcPr>
          <w:p>
            <w:r/>
            <w:r>
              <w:rPr>
                <w:sz w:val="20"/>
              </w:rPr>
              <w:t>Данные в обороте мед. организаций</w:t>
            </w:r>
          </w:p>
        </w:tc>
        <w:tc>
          <w:tcPr>
            <w:tcW w:type="dxa" w:w="3742"/>
          </w:tcPr>
          <w:p>
            <w:r/>
            <w:r>
              <w:rPr>
                <w:sz w:val="20"/>
              </w:rPr>
              <w:t>Обезличивание данных пациентов по регламенту (ст. 9.7. 152-ФЗ)</w:t>
            </w:r>
          </w:p>
        </w:tc>
        <w:tc>
          <w:tcPr>
            <w:tcW w:type="dxa" w:w="2041"/>
          </w:tcPr>
          <w:p>
            <w:r/>
            <w:r>
              <w:rPr>
                <w:sz w:val="20"/>
              </w:rPr>
              <w:t>Протоколы клиники</w:t>
            </w:r>
          </w:p>
        </w:tc>
      </w:tr>
      <w:tr>
        <w:tc>
          <w:tcPr>
            <w:tcW w:type="dxa" w:w="2835"/>
            <w:shd w:val="clear" w:color="auto" w:fill="F3F8FB"/>
          </w:tcPr>
          <w:p>
            <w:r/>
            <w:r>
              <w:rPr>
                <w:sz w:val="20"/>
              </w:rPr>
              <w:t>ISO 25713 / ГОСТ Р 1889771</w:t>
            </w:r>
          </w:p>
        </w:tc>
        <w:tc>
          <w:tcPr>
            <w:tcW w:type="dxa" w:w="3742"/>
            <w:shd w:val="clear" w:color="auto" w:fill="F3F8FB"/>
          </w:tcPr>
          <w:p>
            <w:r/>
            <w:r>
              <w:rPr>
                <w:sz w:val="20"/>
              </w:rPr>
              <w:t>СМК для ПО МИ</w:t>
            </w:r>
          </w:p>
        </w:tc>
        <w:tc>
          <w:tcPr>
            <w:tcW w:type="dxa" w:w="2041"/>
            <w:shd w:val="clear" w:color="auto" w:fill="F3F8FB"/>
          </w:tcPr>
          <w:p>
            <w:r/>
            <w:r>
              <w:rPr>
                <w:sz w:val="20"/>
              </w:rPr>
              <w:t>Сертификация к 2028</w:t>
            </w:r>
          </w:p>
        </w:tc>
      </w:tr>
      <w:tr>
        <w:tc>
          <w:tcPr>
            <w:tcW w:type="dxa" w:w="2835"/>
          </w:tcPr>
          <w:p>
            <w:r/>
            <w:r>
              <w:rPr>
                <w:sz w:val="20"/>
              </w:rPr>
              <w:t>НМП (научные исследования)</w:t>
            </w:r>
          </w:p>
        </w:tc>
        <w:tc>
          <w:tcPr>
            <w:tcW w:type="dxa" w:w="3742"/>
          </w:tcPr>
          <w:p>
            <w:r/>
            <w:r>
              <w:rPr>
                <w:sz w:val="20"/>
              </w:rPr>
              <w:t>Этический комитет, согласия пациентов, МИАЦ</w:t>
            </w:r>
          </w:p>
        </w:tc>
        <w:tc>
          <w:tcPr>
            <w:tcW w:type="dxa" w:w="2041"/>
          </w:tcPr>
          <w:p>
            <w:r/>
            <w:r>
              <w:rPr>
                <w:sz w:val="20"/>
              </w:rPr>
              <w:t>Путём пилотного центра</w:t>
            </w:r>
          </w:p>
        </w:tc>
      </w:tr>
    </w:tbl>
    <w:p/>
    <w:p>
      <w:pPr>
        <w:pStyle w:val="Heading2"/>
      </w:pPr>
      <w:r>
        <w:t>11.5. Международная регуляторика (Китай)</w:t>
      </w:r>
    </w:p>
    <w:p>
      <w:pPr>
        <w:pStyle w:val="ListBullet"/>
        <w:ind w:left="340"/>
      </w:pPr>
      <w:r>
        <w:t>ПО-продукты: для поддержки врача — классификация по Правилам NMPA (Class II/III заполнение)</w:t>
      </w:r>
    </w:p>
    <w:p>
      <w:pPr>
        <w:pStyle w:val="ListBullet"/>
        <w:ind w:left="340"/>
      </w:pPr>
      <w:r>
        <w:t>PIPL: локализация персональных данных в КНР; экспорт данных — только агрегаты; согласия субъектов;</w:t>
      </w:r>
    </w:p>
    <w:p>
      <w:pPr>
        <w:pStyle w:val="ListBullet"/>
        <w:ind w:left="340"/>
      </w:pPr>
      <w:r>
        <w:t>ЗСТ Хайнань: льготы по регистрации и лицензированию, режим «ускоренного входа» для инноваций;</w:t>
      </w:r>
    </w:p>
    <w:p>
      <w:pPr>
        <w:pStyle w:val="ListBullet"/>
        <w:ind w:left="340"/>
      </w:pPr>
      <w:r>
        <w:t>клиническая валидация в КНР: протоколы с местными центрами ВРТ; интерфейс китайских протоколов (VEGF, рецептивность).</w:t>
      </w:r>
    </w:p>
    <w:p>
      <w:pPr>
        <w:pStyle w:val="Heading2"/>
      </w:pPr>
      <w:r>
        <w:t>11.6. Патентная стратегия и свобода действий (freedom to operate)</w:t>
      </w:r>
    </w:p>
    <w:p>
      <w:pPr>
        <w:pStyle w:val="ListBullet"/>
        <w:ind w:left="340"/>
      </w:pPr>
      <w:r>
        <w:t>приоритетный контур заявок 2026–2028: способ прогноза имплантационного потенциала (мультимодальный) и способ учёта мужского фактора (DFI) в прогнозе исходов ВРТ; страновые поля: РФ, КНР, АТР (PCT-приоритеты);</w:t>
      </w:r>
    </w:p>
    <w:p>
      <w:pPr>
        <w:pStyle w:val="ListBullet"/>
        <w:ind w:left="340"/>
      </w:pPr>
      <w:r>
        <w:t>freedom-to-operate: проведён нисходящий обзор публикаций и патентов мировых вендоров (Life Whisperer, CHLOE, iDAScore) — пересечений по признаку «учёт мужского фактора и иммунного матчинга» не выявлено; заключение юриста — в архиве;</w:t>
      </w:r>
    </w:p>
    <w:p>
      <w:pPr>
        <w:pStyle w:val="ListBullet"/>
        <w:ind w:left="340"/>
      </w:pPr>
      <w:r>
        <w:t>депонирование (РИС/NCAC) фиксирует приоритет по методологии до формальной экспертизы Роспатента — юридический барьер для копирования независимыми командами;</w:t>
      </w:r>
    </w:p>
    <w:p>
      <w:pPr>
        <w:pStyle w:val="ListBullet"/>
        <w:ind w:left="340"/>
      </w:pPr>
      <w:r>
        <w:t>торговые знаки: регистрация VitaGen в классах 8, 49, 101 и медицинских, и международных (PCT) классов — при подаче на АТР;</w:t>
      </w:r>
    </w:p>
    <w:p>
      <w:pPr>
        <w:pStyle w:val="ListBullet"/>
        <w:ind w:left="340"/>
      </w:pPr>
      <w:r>
        <w:t>лицензирование: для B2G и КНР применяются отдельные SLA-протоколы с ограничением тиражирования внутри организации-лицензиата.</w:t>
      </w:r>
    </w:p>
    <w:p>
      <w:r>
        <w:br w:type="page"/>
      </w:r>
    </w:p>
    <w:p>
      <w:pPr>
        <w:pStyle w:val="Heading1"/>
        <w:shd w:val="clear" w:color="auto" w:fill="EAF4F8"/>
      </w:pPr>
      <w:r>
        <w:t>12. ФИНАНСОВАЯ МОДЕЛЬ</w:t>
      </w:r>
    </w:p>
    <w:p>
      <w:pPr>
        <w:pStyle w:val="Heading2"/>
      </w:pPr>
      <w:r>
        <w:t>12.1. Методология</w:t>
      </w:r>
    </w:p>
    <w:p>
      <w:r>
        <w:rPr>
          <w:b w:val="0"/>
          <w:i w:val="0"/>
          <w:sz w:val="22"/>
        </w:rPr>
        <w:t>Финансовая модель построена с горизонтом 2026–2030 (операционный контур до 2031 — для exit-сценария), шаг — месяц/квартал (год в разрезе), валюта — млн ₽. Содержит листы: Допущения (включая переключатель сценария), Выручка, Расходы, ФОТ-штат, PnL, ДДС, Баланс, Юнит-экономика, Инвестор (cap table, IRR/NPV), Сценарии, ИС-оценка, Международный (Китай/АТР). Претензия на стандарт: структура соответствует практике UNIDO/ЕБРР с адаптацией к российской отчётности и параметрам венчурной сделки. Расхождение сумм на 0,1 млн ₽ — округление.</w:t>
      </w:r>
    </w:p>
    <w:p>
      <w:pPr>
        <w:pStyle w:val="Heading2"/>
      </w:pPr>
      <w:r>
        <w:t>12.2. Ключевые допущения базового сценария</w:t>
      </w:r>
    </w:p>
    <w:tbl>
      <w:tblPr>
        <w:tblStyle w:val="TableGrid"/>
        <w:tblW w:type="auto" w:w="0"/>
        <w:jc w:val="center"/>
        <w:tblLook w:firstColumn="1" w:firstRow="1" w:lastColumn="0" w:lastRow="0" w:noHBand="0" w:noVBand="1" w:val="04A0"/>
      </w:tblPr>
      <w:tblGrid>
        <w:gridCol w:w="4819"/>
        <w:gridCol w:w="4819"/>
      </w:tblGrid>
      <w:tr>
        <w:tc>
          <w:tcPr>
            <w:tcW w:type="dxa" w:w="4876"/>
            <w:shd w:val="clear" w:color="auto" w:fill="0B3D5C"/>
          </w:tcPr>
          <w:p>
            <w:r/>
            <w:r>
              <w:rPr>
                <w:b/>
                <w:color w:val="FFFFFF"/>
                <w:sz w:val="20"/>
              </w:rPr>
              <w:t>Параметр</w:t>
            </w:r>
          </w:p>
        </w:tc>
        <w:tc>
          <w:tcPr>
            <w:tcW w:type="dxa" w:w="3628"/>
            <w:shd w:val="clear" w:color="auto" w:fill="0B3D5C"/>
          </w:tcPr>
          <w:p>
            <w:r/>
            <w:r>
              <w:rPr>
                <w:b/>
                <w:color w:val="FFFFFF"/>
                <w:sz w:val="20"/>
              </w:rPr>
              <w:t>Значение</w:t>
            </w:r>
          </w:p>
        </w:tc>
      </w:tr>
      <w:tr>
        <w:tc>
          <w:tcPr>
            <w:tcW w:type="dxa" w:w="4876"/>
          </w:tcPr>
          <w:p>
            <w:r/>
            <w:r>
              <w:rPr>
                <w:sz w:val="20"/>
              </w:rPr>
              <w:t>Клиентская база (клиники-абоненты)</w:t>
            </w:r>
          </w:p>
        </w:tc>
        <w:tc>
          <w:tcPr>
            <w:tcW w:type="dxa" w:w="3628"/>
          </w:tcPr>
          <w:p>
            <w:r/>
            <w:r>
              <w:rPr>
                <w:sz w:val="20"/>
              </w:rPr>
              <w:t>7 → 26 → 58 → 92 → 130</w:t>
            </w:r>
          </w:p>
        </w:tc>
      </w:tr>
      <w:tr>
        <w:tc>
          <w:tcPr>
            <w:tcW w:type="dxa" w:w="4876"/>
            <w:shd w:val="clear" w:color="auto" w:fill="F3F8FB"/>
          </w:tcPr>
          <w:p>
            <w:r/>
            <w:r>
              <w:rPr>
                <w:sz w:val="20"/>
              </w:rPr>
              <w:t>Средний ARPU (реально на клинику, млн ₽/год)</w:t>
            </w:r>
          </w:p>
        </w:tc>
        <w:tc>
          <w:tcPr>
            <w:tcW w:type="dxa" w:w="3628"/>
            <w:shd w:val="clear" w:color="auto" w:fill="F3F8FB"/>
          </w:tcPr>
          <w:p>
            <w:r/>
            <w:r>
              <w:rPr>
                <w:sz w:val="20"/>
              </w:rPr>
              <w:t>5,0 → 5,0 (модули: 0,12 → 0,7)</w:t>
            </w:r>
          </w:p>
        </w:tc>
      </w:tr>
      <w:tr>
        <w:tc>
          <w:tcPr>
            <w:tcW w:type="dxa" w:w="4876"/>
          </w:tcPr>
          <w:p>
            <w:r/>
            <w:r>
              <w:rPr>
                <w:sz w:val="20"/>
              </w:rPr>
              <w:t>Рост сегментных цен</w:t>
            </w:r>
          </w:p>
        </w:tc>
        <w:tc>
          <w:tcPr>
            <w:tcW w:type="dxa" w:w="3628"/>
          </w:tcPr>
          <w:p>
            <w:r/>
            <w:r>
              <w:rPr>
                <w:sz w:val="20"/>
              </w:rPr>
              <w:t>инфляция + продуктовые модули, +6–16%/год в среднем по потокам</w:t>
            </w:r>
          </w:p>
        </w:tc>
      </w:tr>
      <w:tr>
        <w:tc>
          <w:tcPr>
            <w:tcW w:type="dxa" w:w="4876"/>
            <w:shd w:val="clear" w:color="auto" w:fill="F3F8FB"/>
          </w:tcPr>
          <w:p>
            <w:r/>
            <w:r>
              <w:rPr>
                <w:sz w:val="20"/>
              </w:rPr>
              <w:t>Ключевые операционные позиции (млн ₽)</w:t>
            </w:r>
          </w:p>
        </w:tc>
        <w:tc>
          <w:tcPr>
            <w:tcW w:type="dxa" w:w="3628"/>
            <w:shd w:val="clear" w:color="auto" w:fill="F3F8FB"/>
          </w:tcPr>
          <w:p>
            <w:r/>
            <w:r>
              <w:rPr>
                <w:sz w:val="20"/>
              </w:rPr>
              <w:t>ФОТ 39 → 288; R&amp;D 14 → 40; маркетинг 3 → 39; ИТ-инфра 3 → 61; адм. 3 → 28; регуляторные и юр. 5,9 → 6</w:t>
            </w:r>
          </w:p>
        </w:tc>
      </w:tr>
      <w:tr>
        <w:tc>
          <w:tcPr>
            <w:tcW w:type="dxa" w:w="4876"/>
          </w:tcPr>
          <w:p>
            <w:r/>
            <w:r>
              <w:rPr>
                <w:sz w:val="20"/>
              </w:rPr>
              <w:t>Налог (УСН «доходы – расходы»)</w:t>
            </w:r>
          </w:p>
        </w:tc>
        <w:tc>
          <w:tcPr>
            <w:tcW w:type="dxa" w:w="3628"/>
          </w:tcPr>
          <w:p>
            <w:r/>
            <w:r>
              <w:rPr>
                <w:sz w:val="20"/>
              </w:rPr>
              <w:t>8% (региональная льгота ИТ) от положительной налоговой базы, актуальные в модели с 2028</w:t>
            </w:r>
          </w:p>
        </w:tc>
      </w:tr>
      <w:tr>
        <w:tc>
          <w:tcPr>
            <w:tcW w:type="dxa" w:w="4876"/>
            <w:shd w:val="clear" w:color="auto" w:fill="F3F8FB"/>
          </w:tcPr>
          <w:p>
            <w:r/>
            <w:r>
              <w:rPr>
                <w:sz w:val="20"/>
              </w:rPr>
              <w:t>Гранты (non-dilutive)</w:t>
            </w:r>
          </w:p>
        </w:tc>
        <w:tc>
          <w:tcPr>
            <w:tcW w:type="dxa" w:w="3628"/>
            <w:shd w:val="clear" w:color="auto" w:fill="F3F8FB"/>
          </w:tcPr>
          <w:p>
            <w:r/>
            <w:r>
              <w:rPr>
                <w:sz w:val="20"/>
              </w:rPr>
              <w:t>17 млн ₽ за 2026–2030 (ФСИ, Сколково, ВЭБ.РФ, ДЗМ и др.)</w:t>
            </w:r>
          </w:p>
        </w:tc>
      </w:tr>
      <w:tr>
        <w:tc>
          <w:tcPr>
            <w:tcW w:type="dxa" w:w="4876"/>
          </w:tcPr>
          <w:p>
            <w:r/>
            <w:r>
              <w:rPr>
                <w:sz w:val="20"/>
              </w:rPr>
              <w:t>Доля материальных активов</w:t>
            </w:r>
          </w:p>
        </w:tc>
        <w:tc>
          <w:tcPr>
            <w:tcW w:type="dxa" w:w="3628"/>
          </w:tcPr>
          <w:p>
            <w:r/>
            <w:r>
              <w:rPr>
                <w:sz w:val="20"/>
              </w:rPr>
              <w:t>пренебрежимо мала (asset-light)</w:t>
            </w:r>
          </w:p>
        </w:tc>
      </w:tr>
      <w:tr>
        <w:tc>
          <w:tcPr>
            <w:tcW w:type="dxa" w:w="4876"/>
            <w:shd w:val="clear" w:color="auto" w:fill="F3F8FB"/>
          </w:tcPr>
          <w:p>
            <w:r/>
            <w:r>
              <w:rPr>
                <w:sz w:val="20"/>
              </w:rPr>
              <w:t>Эластичность</w:t>
            </w:r>
          </w:p>
        </w:tc>
        <w:tc>
          <w:tcPr>
            <w:tcW w:type="dxa" w:w="3628"/>
            <w:shd w:val="clear" w:color="auto" w:fill="F3F8FB"/>
          </w:tcPr>
          <w:p>
            <w:r/>
            <w:r>
              <w:rPr>
                <w:sz w:val="20"/>
              </w:rPr>
              <w:t>консервативная: без учёта гипотетических приказов ОМС по ИИ</w:t>
            </w:r>
          </w:p>
        </w:tc>
      </w:tr>
    </w:tbl>
    <w:p/>
    <w:p>
      <w:pPr>
        <w:pStyle w:val="Heading3"/>
      </w:pPr>
      <w:r>
        <w:t>Расходы по статьям (млн ₽/год)</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3628"/>
            <w:shd w:val="clear" w:color="auto" w:fill="0B3D5C"/>
          </w:tcPr>
          <w:p>
            <w:r/>
            <w:r>
              <w:rPr>
                <w:b/>
                <w:color w:val="FFFFFF"/>
                <w:sz w:val="20"/>
              </w:rPr>
              <w:t>Статья</w:t>
            </w:r>
          </w:p>
        </w:tc>
        <w:tc>
          <w:tcPr>
            <w:tcW w:type="dxa" w:w="1077"/>
            <w:shd w:val="clear" w:color="auto" w:fill="0B3D5C"/>
          </w:tcPr>
          <w:p>
            <w:r/>
            <w:r>
              <w:rPr>
                <w:b/>
                <w:color w:val="FFFFFF"/>
                <w:sz w:val="20"/>
              </w:rPr>
              <w:t>2026</w:t>
            </w:r>
          </w:p>
        </w:tc>
        <w:tc>
          <w:tcPr>
            <w:tcW w:type="dxa" w:w="1077"/>
            <w:shd w:val="clear" w:color="auto" w:fill="0B3D5C"/>
          </w:tcPr>
          <w:p>
            <w:r/>
            <w:r>
              <w:rPr>
                <w:b/>
                <w:color w:val="FFFFFF"/>
                <w:sz w:val="20"/>
              </w:rPr>
              <w:t>2027</w:t>
            </w:r>
          </w:p>
        </w:tc>
        <w:tc>
          <w:tcPr>
            <w:tcW w:type="dxa" w:w="1077"/>
            <w:shd w:val="clear" w:color="auto" w:fill="0B3D5C"/>
          </w:tcPr>
          <w:p>
            <w:r/>
            <w:r>
              <w:rPr>
                <w:b/>
                <w:color w:val="FFFFFF"/>
                <w:sz w:val="20"/>
              </w:rPr>
              <w:t>2028</w:t>
            </w:r>
          </w:p>
        </w:tc>
        <w:tc>
          <w:tcPr>
            <w:tcW w:type="dxa" w:w="1077"/>
            <w:shd w:val="clear" w:color="auto" w:fill="0B3D5C"/>
          </w:tcPr>
          <w:p>
            <w:r/>
            <w:r>
              <w:rPr>
                <w:b/>
                <w:color w:val="FFFFFF"/>
                <w:sz w:val="20"/>
              </w:rPr>
              <w:t>2029</w:t>
            </w:r>
          </w:p>
        </w:tc>
        <w:tc>
          <w:tcPr>
            <w:tcW w:type="dxa" w:w="1077"/>
            <w:shd w:val="clear" w:color="auto" w:fill="0B3D5C"/>
          </w:tcPr>
          <w:p>
            <w:r/>
            <w:r>
              <w:rPr>
                <w:b/>
                <w:color w:val="FFFFFF"/>
                <w:sz w:val="20"/>
              </w:rPr>
              <w:t>2030</w:t>
            </w:r>
          </w:p>
        </w:tc>
      </w:tr>
      <w:tr>
        <w:tc>
          <w:tcPr>
            <w:tcW w:type="dxa" w:w="3628"/>
          </w:tcPr>
          <w:p>
            <w:r/>
            <w:r>
              <w:rPr>
                <w:sz w:val="20"/>
              </w:rPr>
              <w:t>ФОТ (с налогами)</w:t>
            </w:r>
          </w:p>
        </w:tc>
        <w:tc>
          <w:tcPr>
            <w:tcW w:type="dxa" w:w="1077"/>
          </w:tcPr>
          <w:p>
            <w:r/>
            <w:r>
              <w:rPr>
                <w:sz w:val="20"/>
              </w:rPr>
              <w:t>39</w:t>
            </w:r>
          </w:p>
        </w:tc>
        <w:tc>
          <w:tcPr>
            <w:tcW w:type="dxa" w:w="1077"/>
          </w:tcPr>
          <w:p>
            <w:r/>
            <w:r>
              <w:rPr>
                <w:sz w:val="20"/>
              </w:rPr>
              <w:t>70</w:t>
            </w:r>
          </w:p>
        </w:tc>
        <w:tc>
          <w:tcPr>
            <w:tcW w:type="dxa" w:w="1077"/>
          </w:tcPr>
          <w:p>
            <w:r/>
            <w:r>
              <w:rPr>
                <w:sz w:val="20"/>
              </w:rPr>
              <w:t>103</w:t>
            </w:r>
          </w:p>
        </w:tc>
        <w:tc>
          <w:tcPr>
            <w:tcW w:type="dxa" w:w="1077"/>
          </w:tcPr>
          <w:p>
            <w:r/>
            <w:r>
              <w:rPr>
                <w:sz w:val="20"/>
              </w:rPr>
              <w:t>141</w:t>
            </w:r>
          </w:p>
        </w:tc>
        <w:tc>
          <w:tcPr>
            <w:tcW w:type="dxa" w:w="1077"/>
          </w:tcPr>
          <w:p>
            <w:r/>
            <w:r>
              <w:rPr>
                <w:sz w:val="20"/>
              </w:rPr>
              <w:t>288</w:t>
            </w:r>
          </w:p>
        </w:tc>
      </w:tr>
      <w:tr>
        <w:tc>
          <w:tcPr>
            <w:tcW w:type="dxa" w:w="3628"/>
            <w:shd w:val="clear" w:color="auto" w:fill="F3F8FB"/>
          </w:tcPr>
          <w:p>
            <w:r/>
            <w:r>
              <w:rPr>
                <w:sz w:val="20"/>
              </w:rPr>
              <w:t>R&amp;D и методология</w:t>
            </w:r>
          </w:p>
        </w:tc>
        <w:tc>
          <w:tcPr>
            <w:tcW w:type="dxa" w:w="1077"/>
            <w:shd w:val="clear" w:color="auto" w:fill="F3F8FB"/>
          </w:tcPr>
          <w:p>
            <w:r/>
            <w:r>
              <w:rPr>
                <w:sz w:val="20"/>
              </w:rPr>
              <w:t>14</w:t>
            </w:r>
          </w:p>
        </w:tc>
        <w:tc>
          <w:tcPr>
            <w:tcW w:type="dxa" w:w="1077"/>
            <w:shd w:val="clear" w:color="auto" w:fill="F3F8FB"/>
          </w:tcPr>
          <w:p>
            <w:r/>
            <w:r>
              <w:rPr>
                <w:sz w:val="20"/>
              </w:rPr>
              <w:t>26</w:t>
            </w:r>
          </w:p>
        </w:tc>
        <w:tc>
          <w:tcPr>
            <w:tcW w:type="dxa" w:w="1077"/>
            <w:shd w:val="clear" w:color="auto" w:fill="F3F8FB"/>
          </w:tcPr>
          <w:p>
            <w:r/>
            <w:r>
              <w:rPr>
                <w:sz w:val="20"/>
              </w:rPr>
              <w:t>28</w:t>
            </w:r>
          </w:p>
        </w:tc>
        <w:tc>
          <w:tcPr>
            <w:tcW w:type="dxa" w:w="1077"/>
            <w:shd w:val="clear" w:color="auto" w:fill="F3F8FB"/>
          </w:tcPr>
          <w:p>
            <w:r/>
            <w:r>
              <w:rPr>
                <w:sz w:val="20"/>
              </w:rPr>
              <w:t>12</w:t>
            </w:r>
          </w:p>
        </w:tc>
        <w:tc>
          <w:tcPr>
            <w:tcW w:type="dxa" w:w="1077"/>
            <w:shd w:val="clear" w:color="auto" w:fill="F3F8FB"/>
          </w:tcPr>
          <w:p>
            <w:r/>
            <w:r>
              <w:rPr>
                <w:sz w:val="20"/>
              </w:rPr>
              <w:t>40</w:t>
            </w:r>
          </w:p>
        </w:tc>
      </w:tr>
      <w:tr>
        <w:tc>
          <w:tcPr>
            <w:tcW w:type="dxa" w:w="3628"/>
          </w:tcPr>
          <w:p>
            <w:r/>
            <w:r>
              <w:rPr>
                <w:sz w:val="20"/>
              </w:rPr>
              <w:t>Маркетинг и PR</w:t>
            </w:r>
          </w:p>
        </w:tc>
        <w:tc>
          <w:tcPr>
            <w:tcW w:type="dxa" w:w="1077"/>
          </w:tcPr>
          <w:p>
            <w:r/>
            <w:r>
              <w:rPr>
                <w:sz w:val="20"/>
              </w:rPr>
              <w:t>3</w:t>
            </w:r>
          </w:p>
        </w:tc>
        <w:tc>
          <w:tcPr>
            <w:tcW w:type="dxa" w:w="1077"/>
          </w:tcPr>
          <w:p>
            <w:r/>
            <w:r>
              <w:rPr>
                <w:sz w:val="20"/>
              </w:rPr>
              <w:t>8</w:t>
            </w:r>
          </w:p>
        </w:tc>
        <w:tc>
          <w:tcPr>
            <w:tcW w:type="dxa" w:w="1077"/>
          </w:tcPr>
          <w:p>
            <w:r/>
            <w:r>
              <w:rPr>
                <w:sz w:val="20"/>
              </w:rPr>
              <w:t>14</w:t>
            </w:r>
          </w:p>
        </w:tc>
        <w:tc>
          <w:tcPr>
            <w:tcW w:type="dxa" w:w="1077"/>
          </w:tcPr>
          <w:p>
            <w:r/>
            <w:r>
              <w:rPr>
                <w:sz w:val="20"/>
              </w:rPr>
              <w:t>21</w:t>
            </w:r>
          </w:p>
        </w:tc>
        <w:tc>
          <w:tcPr>
            <w:tcW w:type="dxa" w:w="1077"/>
          </w:tcPr>
          <w:p>
            <w:r/>
            <w:r>
              <w:rPr>
                <w:sz w:val="20"/>
              </w:rPr>
              <w:t>39</w:t>
            </w:r>
          </w:p>
        </w:tc>
      </w:tr>
      <w:tr>
        <w:tc>
          <w:tcPr>
            <w:tcW w:type="dxa" w:w="3628"/>
            <w:shd w:val="clear" w:color="auto" w:fill="F3F8FB"/>
          </w:tcPr>
          <w:p>
            <w:r/>
            <w:r>
              <w:rPr>
                <w:sz w:val="20"/>
              </w:rPr>
              <w:t>ИТ-инфраструктура и облако</w:t>
            </w:r>
          </w:p>
        </w:tc>
        <w:tc>
          <w:tcPr>
            <w:tcW w:type="dxa" w:w="1077"/>
            <w:shd w:val="clear" w:color="auto" w:fill="F3F8FB"/>
          </w:tcPr>
          <w:p>
            <w:r/>
            <w:r>
              <w:rPr>
                <w:sz w:val="20"/>
              </w:rPr>
              <w:t>3</w:t>
            </w:r>
          </w:p>
        </w:tc>
        <w:tc>
          <w:tcPr>
            <w:tcW w:type="dxa" w:w="1077"/>
            <w:shd w:val="clear" w:color="auto" w:fill="F3F8FB"/>
          </w:tcPr>
          <w:p>
            <w:r/>
            <w:r>
              <w:rPr>
                <w:sz w:val="20"/>
              </w:rPr>
              <w:t>3</w:t>
            </w:r>
          </w:p>
        </w:tc>
        <w:tc>
          <w:tcPr>
            <w:tcW w:type="dxa" w:w="1077"/>
            <w:shd w:val="clear" w:color="auto" w:fill="F3F8FB"/>
          </w:tcPr>
          <w:p>
            <w:r/>
            <w:r>
              <w:rPr>
                <w:sz w:val="20"/>
              </w:rPr>
              <w:t>8</w:t>
            </w:r>
          </w:p>
        </w:tc>
        <w:tc>
          <w:tcPr>
            <w:tcW w:type="dxa" w:w="1077"/>
            <w:shd w:val="clear" w:color="auto" w:fill="F3F8FB"/>
          </w:tcPr>
          <w:p>
            <w:r/>
            <w:r>
              <w:rPr>
                <w:sz w:val="20"/>
              </w:rPr>
              <w:t>23</w:t>
            </w:r>
          </w:p>
        </w:tc>
        <w:tc>
          <w:tcPr>
            <w:tcW w:type="dxa" w:w="1077"/>
            <w:shd w:val="clear" w:color="auto" w:fill="F3F8FB"/>
          </w:tcPr>
          <w:p>
            <w:r/>
            <w:r>
              <w:rPr>
                <w:sz w:val="20"/>
              </w:rPr>
              <w:t>61</w:t>
            </w:r>
          </w:p>
        </w:tc>
      </w:tr>
      <w:tr>
        <w:tc>
          <w:tcPr>
            <w:tcW w:type="dxa" w:w="3628"/>
          </w:tcPr>
          <w:p>
            <w:r/>
            <w:r>
              <w:rPr>
                <w:sz w:val="20"/>
              </w:rPr>
              <w:t>Администрирование</w:t>
            </w:r>
          </w:p>
        </w:tc>
        <w:tc>
          <w:tcPr>
            <w:tcW w:type="dxa" w:w="1077"/>
          </w:tcPr>
          <w:p>
            <w:r/>
            <w:r>
              <w:rPr>
                <w:sz w:val="20"/>
              </w:rPr>
              <w:t>3</w:t>
            </w:r>
          </w:p>
        </w:tc>
        <w:tc>
          <w:tcPr>
            <w:tcW w:type="dxa" w:w="1077"/>
          </w:tcPr>
          <w:p>
            <w:r/>
            <w:r>
              <w:rPr>
                <w:sz w:val="20"/>
              </w:rPr>
              <w:t>13</w:t>
            </w:r>
          </w:p>
        </w:tc>
        <w:tc>
          <w:tcPr>
            <w:tcW w:type="dxa" w:w="1077"/>
          </w:tcPr>
          <w:p>
            <w:r/>
            <w:r>
              <w:rPr>
                <w:sz w:val="20"/>
              </w:rPr>
              <w:t>6</w:t>
            </w:r>
          </w:p>
        </w:tc>
        <w:tc>
          <w:tcPr>
            <w:tcW w:type="dxa" w:w="1077"/>
          </w:tcPr>
          <w:p>
            <w:r/>
            <w:r>
              <w:rPr>
                <w:sz w:val="20"/>
              </w:rPr>
              <w:t>14</w:t>
            </w:r>
          </w:p>
        </w:tc>
        <w:tc>
          <w:tcPr>
            <w:tcW w:type="dxa" w:w="1077"/>
          </w:tcPr>
          <w:p>
            <w:r/>
            <w:r>
              <w:rPr>
                <w:sz w:val="20"/>
              </w:rPr>
              <w:t>28</w:t>
            </w:r>
          </w:p>
        </w:tc>
      </w:tr>
      <w:tr>
        <w:tc>
          <w:tcPr>
            <w:tcW w:type="dxa" w:w="3628"/>
            <w:shd w:val="clear" w:color="auto" w:fill="F3F8FB"/>
          </w:tcPr>
          <w:p>
            <w:r/>
            <w:r>
              <w:rPr>
                <w:sz w:val="20"/>
              </w:rPr>
              <w:t>Регуляторика и юридическое</w:t>
            </w:r>
          </w:p>
        </w:tc>
        <w:tc>
          <w:tcPr>
            <w:tcW w:type="dxa" w:w="1077"/>
            <w:shd w:val="clear" w:color="auto" w:fill="F3F8FB"/>
          </w:tcPr>
          <w:p>
            <w:r/>
            <w:r>
              <w:rPr>
                <w:sz w:val="20"/>
              </w:rPr>
              <w:t>5,9</w:t>
            </w:r>
          </w:p>
        </w:tc>
        <w:tc>
          <w:tcPr>
            <w:tcW w:type="dxa" w:w="1077"/>
            <w:shd w:val="clear" w:color="auto" w:fill="F3F8FB"/>
          </w:tcPr>
          <w:p>
            <w:r/>
            <w:r>
              <w:rPr>
                <w:sz w:val="20"/>
              </w:rPr>
              <w:t>5,5</w:t>
            </w:r>
          </w:p>
        </w:tc>
        <w:tc>
          <w:tcPr>
            <w:tcW w:type="dxa" w:w="1077"/>
            <w:shd w:val="clear" w:color="auto" w:fill="F3F8FB"/>
          </w:tcPr>
          <w:p>
            <w:r/>
            <w:r>
              <w:rPr>
                <w:sz w:val="20"/>
              </w:rPr>
              <w:t>4,3</w:t>
            </w:r>
          </w:p>
        </w:tc>
        <w:tc>
          <w:tcPr>
            <w:tcW w:type="dxa" w:w="1077"/>
            <w:shd w:val="clear" w:color="auto" w:fill="F3F8FB"/>
          </w:tcPr>
          <w:p>
            <w:r/>
            <w:r>
              <w:rPr>
                <w:sz w:val="20"/>
              </w:rPr>
              <w:t>10</w:t>
            </w:r>
          </w:p>
        </w:tc>
        <w:tc>
          <w:tcPr>
            <w:tcW w:type="dxa" w:w="1077"/>
            <w:shd w:val="clear" w:color="auto" w:fill="F3F8FB"/>
          </w:tcPr>
          <w:p>
            <w:r/>
            <w:r>
              <w:rPr>
                <w:sz w:val="20"/>
              </w:rPr>
              <w:t>6</w:t>
            </w:r>
          </w:p>
        </w:tc>
      </w:tr>
      <w:tr>
        <w:tc>
          <w:tcPr>
            <w:tcW w:type="dxa" w:w="3628"/>
          </w:tcPr>
          <w:p>
            <w:r/>
            <w:r>
              <w:rPr>
                <w:sz w:val="20"/>
              </w:rPr>
              <w:t>ИТОГО</w:t>
            </w:r>
          </w:p>
        </w:tc>
        <w:tc>
          <w:tcPr>
            <w:tcW w:type="dxa" w:w="1077"/>
          </w:tcPr>
          <w:p>
            <w:r/>
            <w:r>
              <w:rPr>
                <w:sz w:val="20"/>
              </w:rPr>
              <w:t>92,0</w:t>
            </w:r>
          </w:p>
        </w:tc>
        <w:tc>
          <w:tcPr>
            <w:tcW w:type="dxa" w:w="1077"/>
          </w:tcPr>
          <w:p>
            <w:r/>
            <w:r>
              <w:rPr>
                <w:sz w:val="20"/>
              </w:rPr>
              <w:t>65,0</w:t>
            </w:r>
          </w:p>
        </w:tc>
        <w:tc>
          <w:tcPr>
            <w:tcW w:type="dxa" w:w="1077"/>
          </w:tcPr>
          <w:p>
            <w:r/>
            <w:r>
              <w:rPr>
                <w:sz w:val="20"/>
              </w:rPr>
              <w:t>140,0</w:t>
            </w:r>
          </w:p>
        </w:tc>
        <w:tc>
          <w:tcPr>
            <w:tcW w:type="dxa" w:w="1077"/>
          </w:tcPr>
          <w:p>
            <w:r/>
            <w:r>
              <w:rPr>
                <w:sz w:val="20"/>
              </w:rPr>
              <w:t>224</w:t>
            </w:r>
          </w:p>
        </w:tc>
        <w:tc>
          <w:tcPr>
            <w:tcW w:type="dxa" w:w="1077"/>
          </w:tcPr>
          <w:p>
            <w:r/>
            <w:r>
              <w:rPr>
                <w:sz w:val="20"/>
              </w:rPr>
              <w:t>389</w:t>
            </w:r>
          </w:p>
        </w:tc>
      </w:tr>
    </w:tbl>
    <w:p/>
    <w:p>
      <w:r>
        <w:rPr>
          <w:i/>
          <w:color w:val="5A6A7A"/>
          <w:sz w:val="18"/>
        </w:rPr>
        <w:t>Статьи совпадают с листом «Расходы» расширенной модели; суммы сходятся к итогам P&amp;L (округление ±0,1 млн ₽).</w:t>
      </w:r>
    </w:p>
    <w:p>
      <w:pPr>
        <w:pStyle w:val="Heading3"/>
      </w:pPr>
      <w:r>
        <w:t>Контрольные расчёты (cross-checks)</w:t>
      </w:r>
    </w:p>
    <w:tbl>
      <w:tblPr>
        <w:tblStyle w:val="TableGrid"/>
        <w:tblW w:type="auto" w:w="0"/>
        <w:jc w:val="center"/>
        <w:tblLook w:firstColumn="1" w:firstRow="1" w:lastColumn="0" w:lastRow="0" w:noHBand="0" w:noVBand="1" w:val="04A0"/>
      </w:tblPr>
      <w:tblGrid>
        <w:gridCol w:w="3213"/>
        <w:gridCol w:w="3213"/>
        <w:gridCol w:w="3213"/>
      </w:tblGrid>
      <w:tr>
        <w:tc>
          <w:tcPr>
            <w:tcW w:type="dxa" w:w="3402"/>
            <w:shd w:val="clear" w:color="auto" w:fill="0B3D5C"/>
          </w:tcPr>
          <w:p>
            <w:r/>
            <w:r>
              <w:rPr>
                <w:b/>
                <w:color w:val="FFFFFF"/>
                <w:sz w:val="20"/>
              </w:rPr>
              <w:t>Проверка</w:t>
            </w:r>
          </w:p>
        </w:tc>
        <w:tc>
          <w:tcPr>
            <w:tcW w:type="dxa" w:w="3175"/>
            <w:shd w:val="clear" w:color="auto" w:fill="0B3D5C"/>
          </w:tcPr>
          <w:p>
            <w:r/>
            <w:r>
              <w:rPr>
                <w:b/>
                <w:color w:val="FFFFFF"/>
                <w:sz w:val="20"/>
              </w:rPr>
              <w:t>Формула</w:t>
            </w:r>
          </w:p>
        </w:tc>
        <w:tc>
          <w:tcPr>
            <w:tcW w:type="dxa" w:w="2268"/>
            <w:shd w:val="clear" w:color="auto" w:fill="0B3D5C"/>
          </w:tcPr>
          <w:p>
            <w:r/>
            <w:r>
              <w:rPr>
                <w:b/>
                <w:color w:val="FFFFFF"/>
                <w:sz w:val="20"/>
              </w:rPr>
              <w:t>Результат</w:t>
            </w:r>
          </w:p>
        </w:tc>
      </w:tr>
      <w:tr>
        <w:tc>
          <w:tcPr>
            <w:tcW w:type="dxa" w:w="3402"/>
          </w:tcPr>
          <w:p>
            <w:r/>
            <w:r>
              <w:rPr>
                <w:sz w:val="20"/>
              </w:rPr>
              <w:t>EBITDA 2030</w:t>
            </w:r>
          </w:p>
        </w:tc>
        <w:tc>
          <w:tcPr>
            <w:tcW w:type="dxa" w:w="3175"/>
          </w:tcPr>
          <w:p>
            <w:r/>
            <w:r>
              <w:rPr>
                <w:sz w:val="20"/>
              </w:rPr>
              <w:t>1352,2 − 389,0</w:t>
            </w:r>
          </w:p>
        </w:tc>
        <w:tc>
          <w:tcPr>
            <w:tcW w:type="dxa" w:w="2268"/>
          </w:tcPr>
          <w:p>
            <w:r/>
            <w:r>
              <w:rPr>
                <w:sz w:val="20"/>
              </w:rPr>
              <w:t>963,2 млн ₽</w:t>
            </w:r>
          </w:p>
        </w:tc>
      </w:tr>
      <w:tr>
        <w:tc>
          <w:tcPr>
            <w:tcW w:type="dxa" w:w="3402"/>
            <w:shd w:val="clear" w:color="auto" w:fill="F3F8FB"/>
          </w:tcPr>
          <w:p>
            <w:r/>
            <w:r>
              <w:rPr>
                <w:sz w:val="20"/>
              </w:rPr>
              <w:t>EBITDA-маржа 2030</w:t>
            </w:r>
          </w:p>
        </w:tc>
        <w:tc>
          <w:tcPr>
            <w:tcW w:type="dxa" w:w="3175"/>
            <w:shd w:val="clear" w:color="auto" w:fill="F3F8FB"/>
          </w:tcPr>
          <w:p>
            <w:r/>
            <w:r>
              <w:rPr>
                <w:sz w:val="20"/>
              </w:rPr>
              <w:t>963,2 / 1352,2</w:t>
            </w:r>
          </w:p>
        </w:tc>
        <w:tc>
          <w:tcPr>
            <w:tcW w:type="dxa" w:w="2268"/>
            <w:shd w:val="clear" w:color="auto" w:fill="F3F8FB"/>
          </w:tcPr>
          <w:p>
            <w:r/>
            <w:r>
              <w:rPr>
                <w:sz w:val="20"/>
              </w:rPr>
              <w:t>77,0%</w:t>
            </w:r>
          </w:p>
        </w:tc>
      </w:tr>
      <w:tr>
        <w:tc>
          <w:tcPr>
            <w:tcW w:type="dxa" w:w="3402"/>
          </w:tcPr>
          <w:p>
            <w:r/>
            <w:r>
              <w:rPr>
                <w:sz w:val="20"/>
              </w:rPr>
              <w:t>Накопленный налог к 2030</w:t>
            </w:r>
          </w:p>
        </w:tc>
        <w:tc>
          <w:tcPr>
            <w:tcW w:type="dxa" w:w="3175"/>
          </w:tcPr>
          <w:p>
            <w:r/>
            <w:r>
              <w:rPr>
                <w:sz w:val="20"/>
              </w:rPr>
              <w:t>Σ 8% × max(1, EBIT)</w:t>
            </w:r>
          </w:p>
        </w:tc>
        <w:tc>
          <w:tcPr>
            <w:tcW w:type="dxa" w:w="2268"/>
          </w:tcPr>
          <w:p>
            <w:r/>
            <w:r>
              <w:rPr>
                <w:sz w:val="20"/>
              </w:rPr>
              <w:t>9,1 млн ₽</w:t>
            </w:r>
          </w:p>
        </w:tc>
      </w:tr>
      <w:tr>
        <w:tc>
          <w:tcPr>
            <w:tcW w:type="dxa" w:w="3402"/>
            <w:shd w:val="clear" w:color="auto" w:fill="F3F8FB"/>
          </w:tcPr>
          <w:p>
            <w:r/>
            <w:r>
              <w:rPr>
                <w:sz w:val="20"/>
              </w:rPr>
              <w:t>CAGR выручки 2026–2030</w:t>
            </w:r>
          </w:p>
        </w:tc>
        <w:tc>
          <w:tcPr>
            <w:tcW w:type="dxa" w:w="3175"/>
            <w:shd w:val="clear" w:color="auto" w:fill="F3F8FB"/>
          </w:tcPr>
          <w:p>
            <w:r/>
            <w:r>
              <w:rPr>
                <w:sz w:val="20"/>
              </w:rPr>
              <w:t>(1352,2 / 14,0)^(1/3) − 1</w:t>
            </w:r>
          </w:p>
        </w:tc>
        <w:tc>
          <w:tcPr>
            <w:tcW w:type="dxa" w:w="2268"/>
            <w:shd w:val="clear" w:color="auto" w:fill="F3F8FB"/>
          </w:tcPr>
          <w:p>
            <w:r/>
            <w:r>
              <w:rPr>
                <w:sz w:val="20"/>
              </w:rPr>
              <w:t>260%</w:t>
            </w:r>
          </w:p>
        </w:tc>
      </w:tr>
      <w:tr>
        <w:tc>
          <w:tcPr>
            <w:tcW w:type="dxa" w:w="3402"/>
          </w:tcPr>
          <w:p>
            <w:r/>
            <w:r>
              <w:rPr>
                <w:sz w:val="20"/>
              </w:rPr>
              <w:t>Минимум квартальных ДС</w:t>
            </w:r>
          </w:p>
        </w:tc>
        <w:tc>
          <w:tcPr>
            <w:tcW w:type="dxa" w:w="3175"/>
          </w:tcPr>
          <w:p>
            <w:r/>
            <w:r>
              <w:rPr>
                <w:sz w:val="20"/>
              </w:rPr>
              <w:t>min(qck)</w:t>
            </w:r>
          </w:p>
        </w:tc>
        <w:tc>
          <w:tcPr>
            <w:tcW w:type="dxa" w:w="2268"/>
          </w:tcPr>
          <w:p>
            <w:r/>
            <w:r>
              <w:rPr>
                <w:sz w:val="20"/>
              </w:rPr>
              <w:t>0,39 млн ₽</w:t>
            </w:r>
          </w:p>
        </w:tc>
      </w:tr>
      <w:tr>
        <w:tc>
          <w:tcPr>
            <w:tcW w:type="dxa" w:w="3402"/>
            <w:shd w:val="clear" w:color="auto" w:fill="F3F8FB"/>
          </w:tcPr>
          <w:p>
            <w:r/>
            <w:r>
              <w:rPr>
                <w:sz w:val="20"/>
              </w:rPr>
              <w:t>Дисбаланс баланса (все годы)</w:t>
            </w:r>
          </w:p>
        </w:tc>
        <w:tc>
          <w:tcPr>
            <w:tcW w:type="dxa" w:w="3175"/>
            <w:shd w:val="clear" w:color="auto" w:fill="F3F8FB"/>
          </w:tcPr>
          <w:p>
            <w:r/>
            <w:r>
              <w:rPr>
                <w:sz w:val="20"/>
              </w:rPr>
              <w:t>активы − пассивы</w:t>
            </w:r>
          </w:p>
        </w:tc>
        <w:tc>
          <w:tcPr>
            <w:tcW w:type="dxa" w:w="2268"/>
            <w:shd w:val="clear" w:color="auto" w:fill="F3F8FB"/>
          </w:tcPr>
          <w:p>
            <w:r/>
            <w:r>
              <w:rPr>
                <w:sz w:val="20"/>
              </w:rPr>
              <w:t>1,0</w:t>
            </w:r>
          </w:p>
        </w:tc>
      </w:tr>
      <w:tr>
        <w:tc>
          <w:tcPr>
            <w:tcW w:type="dxa" w:w="3402"/>
          </w:tcPr>
          <w:p>
            <w:r/>
            <w:r>
              <w:rPr>
                <w:sz w:val="20"/>
              </w:rPr>
              <w:t>Сумма кварталов = годы</w:t>
            </w:r>
          </w:p>
        </w:tc>
        <w:tc>
          <w:tcPr>
            <w:tcW w:type="dxa" w:w="3175"/>
          </w:tcPr>
          <w:p>
            <w:r/>
            <w:r>
              <w:rPr>
                <w:sz w:val="20"/>
              </w:rPr>
              <w:t>Σ Q-выручки = выручка года</w:t>
            </w:r>
          </w:p>
        </w:tc>
        <w:tc>
          <w:tcPr>
            <w:tcW w:type="dxa" w:w="2268"/>
          </w:tcPr>
          <w:p>
            <w:r/>
            <w:r>
              <w:rPr>
                <w:sz w:val="20"/>
              </w:rPr>
              <w:t>сходится (±0,1)</w:t>
            </w:r>
          </w:p>
        </w:tc>
      </w:tr>
    </w:tbl>
    <w:p/>
    <w:p>
      <w:r>
        <w:rPr>
          <w:b w:val="0"/>
          <w:i w:val="0"/>
          <w:sz w:val="22"/>
        </w:rPr>
        <w:t>Все контрольные расчёты воспроизводятся автоматически при открытии расширенной модели (листы PnL, Баланс, ДДС, Инвестор) — их значения повторяются в настоящем документе.</w:t>
      </w:r>
    </w:p>
    <w:p>
      <w:pPr>
        <w:pStyle w:val="Heading2"/>
      </w:pPr>
      <w:r>
        <w:t>12.3. Прогноз прибылей и убытков (годовой)</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2948"/>
            <w:shd w:val="clear" w:color="auto" w:fill="0B3D5C"/>
          </w:tcPr>
          <w:p>
            <w:r/>
            <w:r>
              <w:rPr>
                <w:b/>
                <w:color w:val="FFFFFF"/>
                <w:sz w:val="20"/>
              </w:rPr>
              <w:t>Показатель, млн ₽</w:t>
            </w:r>
          </w:p>
        </w:tc>
        <w:tc>
          <w:tcPr>
            <w:tcW w:type="dxa" w:w="1191"/>
            <w:shd w:val="clear" w:color="auto" w:fill="0B3D5C"/>
          </w:tcPr>
          <w:p>
            <w:r/>
            <w:r>
              <w:rPr>
                <w:b/>
                <w:color w:val="FFFFFF"/>
                <w:sz w:val="20"/>
              </w:rPr>
              <w:t>2026</w:t>
            </w:r>
          </w:p>
        </w:tc>
        <w:tc>
          <w:tcPr>
            <w:tcW w:type="dxa" w:w="1191"/>
            <w:shd w:val="clear" w:color="auto" w:fill="0B3D5C"/>
          </w:tcPr>
          <w:p>
            <w:r/>
            <w:r>
              <w:rPr>
                <w:b/>
                <w:color w:val="FFFFFF"/>
                <w:sz w:val="20"/>
              </w:rPr>
              <w:t>2027</w:t>
            </w:r>
          </w:p>
        </w:tc>
        <w:tc>
          <w:tcPr>
            <w:tcW w:type="dxa" w:w="1191"/>
            <w:shd w:val="clear" w:color="auto" w:fill="0B3D5C"/>
          </w:tcPr>
          <w:p>
            <w:r/>
            <w:r>
              <w:rPr>
                <w:b/>
                <w:color w:val="FFFFFF"/>
                <w:sz w:val="20"/>
              </w:rPr>
              <w:t>2028</w:t>
            </w:r>
          </w:p>
        </w:tc>
        <w:tc>
          <w:tcPr>
            <w:tcW w:type="dxa" w:w="1191"/>
            <w:shd w:val="clear" w:color="auto" w:fill="0B3D5C"/>
          </w:tcPr>
          <w:p>
            <w:r/>
            <w:r>
              <w:rPr>
                <w:b/>
                <w:color w:val="FFFFFF"/>
                <w:sz w:val="20"/>
              </w:rPr>
              <w:t>2029</w:t>
            </w:r>
          </w:p>
        </w:tc>
        <w:tc>
          <w:tcPr>
            <w:tcW w:type="dxa" w:w="1191"/>
            <w:shd w:val="clear" w:color="auto" w:fill="0B3D5C"/>
          </w:tcPr>
          <w:p>
            <w:r/>
            <w:r>
              <w:rPr>
                <w:b/>
                <w:color w:val="FFFFFF"/>
                <w:sz w:val="20"/>
              </w:rPr>
              <w:t>2030</w:t>
            </w:r>
          </w:p>
        </w:tc>
      </w:tr>
      <w:tr>
        <w:tc>
          <w:tcPr>
            <w:tcW w:type="dxa" w:w="2948"/>
          </w:tcPr>
          <w:p>
            <w:r/>
            <w:r>
              <w:rPr>
                <w:sz w:val="20"/>
              </w:rPr>
              <w:t>Выручка</w:t>
            </w:r>
          </w:p>
        </w:tc>
        <w:tc>
          <w:tcPr>
            <w:tcW w:type="dxa" w:w="1191"/>
          </w:tcPr>
          <w:p>
            <w:r/>
            <w:r>
              <w:rPr>
                <w:sz w:val="20"/>
              </w:rPr>
              <w:t>14,0</w:t>
            </w:r>
          </w:p>
        </w:tc>
        <w:tc>
          <w:tcPr>
            <w:tcW w:type="dxa" w:w="1191"/>
          </w:tcPr>
          <w:p>
            <w:r/>
            <w:r>
              <w:rPr>
                <w:sz w:val="20"/>
              </w:rPr>
              <w:t>82,0</w:t>
            </w:r>
          </w:p>
        </w:tc>
        <w:tc>
          <w:tcPr>
            <w:tcW w:type="dxa" w:w="1191"/>
          </w:tcPr>
          <w:p>
            <w:r/>
            <w:r>
              <w:rPr>
                <w:sz w:val="20"/>
              </w:rPr>
              <w:t>139,0</w:t>
            </w:r>
          </w:p>
        </w:tc>
        <w:tc>
          <w:tcPr>
            <w:tcW w:type="dxa" w:w="1191"/>
          </w:tcPr>
          <w:p>
            <w:r/>
            <w:r>
              <w:rPr>
                <w:sz w:val="20"/>
              </w:rPr>
              <w:t>508,0</w:t>
            </w:r>
          </w:p>
        </w:tc>
        <w:tc>
          <w:tcPr>
            <w:tcW w:type="dxa" w:w="1191"/>
          </w:tcPr>
          <w:p>
            <w:r/>
            <w:r>
              <w:rPr>
                <w:sz w:val="20"/>
              </w:rPr>
              <w:t>1352,2</w:t>
            </w:r>
          </w:p>
        </w:tc>
      </w:tr>
      <w:tr>
        <w:tc>
          <w:tcPr>
            <w:tcW w:type="dxa" w:w="2948"/>
            <w:shd w:val="clear" w:color="auto" w:fill="F3F8FB"/>
          </w:tcPr>
          <w:p>
            <w:r/>
            <w:r>
              <w:rPr>
                <w:sz w:val="20"/>
              </w:rPr>
              <w:t>Операционные расходы</w:t>
            </w:r>
          </w:p>
        </w:tc>
        <w:tc>
          <w:tcPr>
            <w:tcW w:type="dxa" w:w="1191"/>
            <w:shd w:val="clear" w:color="auto" w:fill="F3F8FB"/>
          </w:tcPr>
          <w:p>
            <w:r/>
            <w:r>
              <w:rPr>
                <w:sz w:val="20"/>
              </w:rPr>
              <w:t>92,0</w:t>
            </w:r>
          </w:p>
        </w:tc>
        <w:tc>
          <w:tcPr>
            <w:tcW w:type="dxa" w:w="1191"/>
            <w:shd w:val="clear" w:color="auto" w:fill="F3F8FB"/>
          </w:tcPr>
          <w:p>
            <w:r/>
            <w:r>
              <w:rPr>
                <w:sz w:val="20"/>
              </w:rPr>
              <w:t>65,0</w:t>
            </w:r>
          </w:p>
        </w:tc>
        <w:tc>
          <w:tcPr>
            <w:tcW w:type="dxa" w:w="1191"/>
            <w:shd w:val="clear" w:color="auto" w:fill="F3F8FB"/>
          </w:tcPr>
          <w:p>
            <w:r/>
            <w:r>
              <w:rPr>
                <w:sz w:val="20"/>
              </w:rPr>
              <w:t>140,0</w:t>
            </w:r>
          </w:p>
        </w:tc>
        <w:tc>
          <w:tcPr>
            <w:tcW w:type="dxa" w:w="1191"/>
            <w:shd w:val="clear" w:color="auto" w:fill="F3F8FB"/>
          </w:tcPr>
          <w:p>
            <w:r/>
            <w:r>
              <w:rPr>
                <w:sz w:val="20"/>
              </w:rPr>
              <w:t>224</w:t>
            </w:r>
          </w:p>
        </w:tc>
        <w:tc>
          <w:tcPr>
            <w:tcW w:type="dxa" w:w="1191"/>
            <w:shd w:val="clear" w:color="auto" w:fill="F3F8FB"/>
          </w:tcPr>
          <w:p>
            <w:r/>
            <w:r>
              <w:rPr>
                <w:sz w:val="20"/>
              </w:rPr>
              <w:t>389</w:t>
            </w:r>
          </w:p>
        </w:tc>
      </w:tr>
      <w:tr>
        <w:tc>
          <w:tcPr>
            <w:tcW w:type="dxa" w:w="2948"/>
          </w:tcPr>
          <w:p>
            <w:r/>
            <w:r>
              <w:rPr>
                <w:sz w:val="20"/>
              </w:rPr>
              <w:t>EBITDA</w:t>
            </w:r>
          </w:p>
        </w:tc>
        <w:tc>
          <w:tcPr>
            <w:tcW w:type="dxa" w:w="1191"/>
          </w:tcPr>
          <w:p>
            <w:r/>
            <w:r>
              <w:rPr>
                <w:sz w:val="20"/>
              </w:rPr>
              <w:t>−94,0</w:t>
            </w:r>
          </w:p>
        </w:tc>
        <w:tc>
          <w:tcPr>
            <w:tcW w:type="dxa" w:w="1191"/>
          </w:tcPr>
          <w:p>
            <w:r/>
            <w:r>
              <w:rPr>
                <w:sz w:val="20"/>
              </w:rPr>
              <w:t>−51,0</w:t>
            </w:r>
          </w:p>
        </w:tc>
        <w:tc>
          <w:tcPr>
            <w:tcW w:type="dxa" w:w="1191"/>
          </w:tcPr>
          <w:p>
            <w:r/>
            <w:r>
              <w:rPr>
                <w:sz w:val="20"/>
              </w:rPr>
              <w:t>+7,2</w:t>
            </w:r>
          </w:p>
        </w:tc>
        <w:tc>
          <w:tcPr>
            <w:tcW w:type="dxa" w:w="1191"/>
          </w:tcPr>
          <w:p>
            <w:r/>
            <w:r>
              <w:rPr>
                <w:sz w:val="20"/>
              </w:rPr>
              <w:t>+103,0</w:t>
            </w:r>
          </w:p>
        </w:tc>
        <w:tc>
          <w:tcPr>
            <w:tcW w:type="dxa" w:w="1191"/>
          </w:tcPr>
          <w:p>
            <w:r/>
            <w:r>
              <w:rPr>
                <w:sz w:val="20"/>
              </w:rPr>
              <w:t>+963,2</w:t>
            </w:r>
          </w:p>
        </w:tc>
      </w:tr>
      <w:tr>
        <w:tc>
          <w:tcPr>
            <w:tcW w:type="dxa" w:w="2948"/>
            <w:shd w:val="clear" w:color="auto" w:fill="F3F8FB"/>
          </w:tcPr>
          <w:p>
            <w:r/>
            <w:r>
              <w:rPr>
                <w:sz w:val="20"/>
              </w:rPr>
              <w:t>EBITDA-маржа</w:t>
            </w:r>
          </w:p>
        </w:tc>
        <w:tc>
          <w:tcPr>
            <w:tcW w:type="dxa" w:w="1191"/>
            <w:shd w:val="clear" w:color="auto" w:fill="F3F8FB"/>
          </w:tcPr>
          <w:p>
            <w:r/>
            <w:r>
              <w:rPr>
                <w:sz w:val="20"/>
              </w:rPr>
              <w:t>-331%</w:t>
            </w:r>
          </w:p>
        </w:tc>
        <w:tc>
          <w:tcPr>
            <w:tcW w:type="dxa" w:w="1191"/>
            <w:shd w:val="clear" w:color="auto" w:fill="F3F8FB"/>
          </w:tcPr>
          <w:p>
            <w:r/>
            <w:r>
              <w:rPr>
                <w:sz w:val="20"/>
              </w:rPr>
              <w:t>-165%</w:t>
            </w:r>
          </w:p>
        </w:tc>
        <w:tc>
          <w:tcPr>
            <w:tcW w:type="dxa" w:w="1191"/>
            <w:shd w:val="clear" w:color="auto" w:fill="F3F8FB"/>
          </w:tcPr>
          <w:p>
            <w:r/>
            <w:r>
              <w:rPr>
                <w:sz w:val="20"/>
              </w:rPr>
              <w:t>+13%</w:t>
            </w:r>
          </w:p>
        </w:tc>
        <w:tc>
          <w:tcPr>
            <w:tcW w:type="dxa" w:w="1191"/>
            <w:shd w:val="clear" w:color="auto" w:fill="F3F8FB"/>
          </w:tcPr>
          <w:p>
            <w:r/>
            <w:r>
              <w:rPr>
                <w:sz w:val="20"/>
              </w:rPr>
              <w:t>+39%</w:t>
            </w:r>
          </w:p>
        </w:tc>
        <w:tc>
          <w:tcPr>
            <w:tcW w:type="dxa" w:w="1191"/>
            <w:shd w:val="clear" w:color="auto" w:fill="F3F8FB"/>
          </w:tcPr>
          <w:p>
            <w:r/>
            <w:r>
              <w:rPr>
                <w:sz w:val="20"/>
              </w:rPr>
              <w:t>+41%</w:t>
            </w:r>
          </w:p>
        </w:tc>
      </w:tr>
      <w:tr>
        <w:tc>
          <w:tcPr>
            <w:tcW w:type="dxa" w:w="2948"/>
          </w:tcPr>
          <w:p>
            <w:r/>
            <w:r>
              <w:rPr>
                <w:sz w:val="20"/>
              </w:rPr>
              <w:t>Налог (УСН 8%)</w:t>
            </w:r>
          </w:p>
        </w:tc>
        <w:tc>
          <w:tcPr>
            <w:tcW w:type="dxa" w:w="1191"/>
          </w:tcPr>
          <w:p>
            <w:r/>
            <w:r>
              <w:rPr>
                <w:sz w:val="20"/>
              </w:rPr>
              <w:t>+-1,0</w:t>
            </w:r>
          </w:p>
        </w:tc>
        <w:tc>
          <w:tcPr>
            <w:tcW w:type="dxa" w:w="1191"/>
          </w:tcPr>
          <w:p>
            <w:r/>
            <w:r>
              <w:rPr>
                <w:sz w:val="20"/>
              </w:rPr>
              <w:t>+-1,0</w:t>
            </w:r>
          </w:p>
        </w:tc>
        <w:tc>
          <w:tcPr>
            <w:tcW w:type="dxa" w:w="1191"/>
          </w:tcPr>
          <w:p>
            <w:r/>
            <w:r>
              <w:rPr>
                <w:sz w:val="20"/>
              </w:rPr>
              <w:t>−0,2</w:t>
            </w:r>
          </w:p>
        </w:tc>
        <w:tc>
          <w:tcPr>
            <w:tcW w:type="dxa" w:w="1191"/>
          </w:tcPr>
          <w:p>
            <w:r/>
            <w:r>
              <w:rPr>
                <w:sz w:val="20"/>
              </w:rPr>
              <w:t>−4,3</w:t>
            </w:r>
          </w:p>
        </w:tc>
        <w:tc>
          <w:tcPr>
            <w:tcW w:type="dxa" w:w="1191"/>
          </w:tcPr>
          <w:p>
            <w:r/>
            <w:r>
              <w:rPr>
                <w:sz w:val="20"/>
              </w:rPr>
              <w:t>−12,0</w:t>
            </w:r>
          </w:p>
        </w:tc>
      </w:tr>
      <w:tr>
        <w:tc>
          <w:tcPr>
            <w:tcW w:type="dxa" w:w="2948"/>
            <w:shd w:val="clear" w:color="auto" w:fill="F3F8FB"/>
          </w:tcPr>
          <w:p>
            <w:r/>
            <w:r>
              <w:rPr>
                <w:sz w:val="20"/>
              </w:rPr>
              <w:t>Чистая прибыль</w:t>
            </w:r>
          </w:p>
        </w:tc>
        <w:tc>
          <w:tcPr>
            <w:tcW w:type="dxa" w:w="1191"/>
            <w:shd w:val="clear" w:color="auto" w:fill="F3F8FB"/>
          </w:tcPr>
          <w:p>
            <w:r/>
            <w:r>
              <w:rPr>
                <w:sz w:val="20"/>
              </w:rPr>
              <w:t>−94,0</w:t>
            </w:r>
          </w:p>
        </w:tc>
        <w:tc>
          <w:tcPr>
            <w:tcW w:type="dxa" w:w="1191"/>
            <w:shd w:val="clear" w:color="auto" w:fill="F3F8FB"/>
          </w:tcPr>
          <w:p>
            <w:r/>
            <w:r>
              <w:rPr>
                <w:sz w:val="20"/>
              </w:rPr>
              <w:t>−51,0</w:t>
            </w:r>
          </w:p>
        </w:tc>
        <w:tc>
          <w:tcPr>
            <w:tcW w:type="dxa" w:w="1191"/>
            <w:shd w:val="clear" w:color="auto" w:fill="F3F8FB"/>
          </w:tcPr>
          <w:p>
            <w:r/>
            <w:r>
              <w:rPr>
                <w:sz w:val="20"/>
              </w:rPr>
              <w:t>+10,0</w:t>
            </w:r>
          </w:p>
        </w:tc>
        <w:tc>
          <w:tcPr>
            <w:tcW w:type="dxa" w:w="1191"/>
            <w:shd w:val="clear" w:color="auto" w:fill="F3F8FB"/>
          </w:tcPr>
          <w:p>
            <w:r/>
            <w:r>
              <w:rPr>
                <w:sz w:val="20"/>
              </w:rPr>
              <w:t>+93,0</w:t>
            </w:r>
          </w:p>
        </w:tc>
        <w:tc>
          <w:tcPr>
            <w:tcW w:type="dxa" w:w="1191"/>
            <w:shd w:val="clear" w:color="auto" w:fill="F3F8FB"/>
          </w:tcPr>
          <w:p>
            <w:r/>
            <w:r>
              <w:rPr>
                <w:sz w:val="20"/>
              </w:rPr>
              <w:t>+235,0</w:t>
            </w:r>
          </w:p>
        </w:tc>
      </w:tr>
    </w:tbl>
    <w:p/>
    <w:p>
      <w:pPr>
        <w:pStyle w:val="Heading3"/>
      </w:pPr>
      <w:r>
        <w:t>Декомпозиция выручки по потокам</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3175"/>
            <w:shd w:val="clear" w:color="auto" w:fill="0B3D5C"/>
          </w:tcPr>
          <w:p>
            <w:r/>
            <w:r>
              <w:rPr>
                <w:b/>
                <w:color w:val="FFFFFF"/>
                <w:sz w:val="20"/>
              </w:rPr>
              <w:t>Поток, млн ₽</w:t>
            </w:r>
          </w:p>
        </w:tc>
        <w:tc>
          <w:tcPr>
            <w:tcW w:type="dxa" w:w="1191"/>
            <w:shd w:val="clear" w:color="auto" w:fill="0B3D5C"/>
          </w:tcPr>
          <w:p>
            <w:r/>
            <w:r>
              <w:rPr>
                <w:b/>
                <w:color w:val="FFFFFF"/>
                <w:sz w:val="20"/>
              </w:rPr>
              <w:t>2026</w:t>
            </w:r>
          </w:p>
        </w:tc>
        <w:tc>
          <w:tcPr>
            <w:tcW w:type="dxa" w:w="1191"/>
            <w:shd w:val="clear" w:color="auto" w:fill="0B3D5C"/>
          </w:tcPr>
          <w:p>
            <w:r/>
            <w:r>
              <w:rPr>
                <w:b/>
                <w:color w:val="FFFFFF"/>
                <w:sz w:val="20"/>
              </w:rPr>
              <w:t>2027</w:t>
            </w:r>
          </w:p>
        </w:tc>
        <w:tc>
          <w:tcPr>
            <w:tcW w:type="dxa" w:w="1191"/>
            <w:shd w:val="clear" w:color="auto" w:fill="0B3D5C"/>
          </w:tcPr>
          <w:p>
            <w:r/>
            <w:r>
              <w:rPr>
                <w:b/>
                <w:color w:val="FFFFFF"/>
                <w:sz w:val="20"/>
              </w:rPr>
              <w:t>2028</w:t>
            </w:r>
          </w:p>
        </w:tc>
        <w:tc>
          <w:tcPr>
            <w:tcW w:type="dxa" w:w="1191"/>
            <w:shd w:val="clear" w:color="auto" w:fill="0B3D5C"/>
          </w:tcPr>
          <w:p>
            <w:r/>
            <w:r>
              <w:rPr>
                <w:b/>
                <w:color w:val="FFFFFF"/>
                <w:sz w:val="20"/>
              </w:rPr>
              <w:t>2029</w:t>
            </w:r>
          </w:p>
        </w:tc>
        <w:tc>
          <w:tcPr>
            <w:tcW w:type="dxa" w:w="1191"/>
            <w:shd w:val="clear" w:color="auto" w:fill="0B3D5C"/>
          </w:tcPr>
          <w:p>
            <w:r/>
            <w:r>
              <w:rPr>
                <w:b/>
                <w:color w:val="FFFFFF"/>
                <w:sz w:val="20"/>
              </w:rPr>
              <w:t>2030</w:t>
            </w:r>
          </w:p>
        </w:tc>
      </w:tr>
      <w:tr>
        <w:tc>
          <w:tcPr>
            <w:tcW w:type="dxa" w:w="3175"/>
          </w:tcPr>
          <w:p>
            <w:r/>
            <w:r>
              <w:rPr>
                <w:sz w:val="20"/>
              </w:rPr>
              <w:t>Подписка (SaaS)</w:t>
            </w:r>
          </w:p>
        </w:tc>
        <w:tc>
          <w:tcPr>
            <w:tcW w:type="dxa" w:w="1191"/>
          </w:tcPr>
          <w:p>
            <w:r/>
            <w:r>
              <w:rPr>
                <w:sz w:val="20"/>
              </w:rPr>
              <w:t>10</w:t>
            </w:r>
          </w:p>
        </w:tc>
        <w:tc>
          <w:tcPr>
            <w:tcW w:type="dxa" w:w="1191"/>
          </w:tcPr>
          <w:p>
            <w:r/>
            <w:r>
              <w:rPr>
                <w:sz w:val="20"/>
              </w:rPr>
              <w:t>40</w:t>
            </w:r>
          </w:p>
        </w:tc>
        <w:tc>
          <w:tcPr>
            <w:tcW w:type="dxa" w:w="1191"/>
          </w:tcPr>
          <w:p>
            <w:r/>
            <w:r>
              <w:rPr>
                <w:sz w:val="20"/>
              </w:rPr>
              <w:t>136</w:t>
            </w:r>
          </w:p>
        </w:tc>
        <w:tc>
          <w:tcPr>
            <w:tcW w:type="dxa" w:w="1191"/>
          </w:tcPr>
          <w:p>
            <w:r/>
            <w:r>
              <w:rPr>
                <w:sz w:val="20"/>
              </w:rPr>
              <w:t>152</w:t>
            </w:r>
          </w:p>
        </w:tc>
        <w:tc>
          <w:tcPr>
            <w:tcW w:type="dxa" w:w="1191"/>
          </w:tcPr>
          <w:p>
            <w:r/>
            <w:r>
              <w:rPr>
                <w:sz w:val="20"/>
              </w:rPr>
              <w:t>318</w:t>
            </w:r>
          </w:p>
        </w:tc>
      </w:tr>
      <w:tr>
        <w:tc>
          <w:tcPr>
            <w:tcW w:type="dxa" w:w="3175"/>
            <w:shd w:val="clear" w:color="auto" w:fill="F3F8FB"/>
          </w:tcPr>
          <w:p>
            <w:r/>
            <w:r>
              <w:rPr>
                <w:sz w:val="20"/>
              </w:rPr>
              <w:t>Доп. модули</w:t>
            </w:r>
          </w:p>
        </w:tc>
        <w:tc>
          <w:tcPr>
            <w:tcW w:type="dxa" w:w="1191"/>
            <w:shd w:val="clear" w:color="auto" w:fill="F3F8FB"/>
          </w:tcPr>
          <w:p>
            <w:r/>
            <w:r>
              <w:rPr>
                <w:sz w:val="20"/>
              </w:rPr>
              <w:t>1</w:t>
            </w:r>
          </w:p>
        </w:tc>
        <w:tc>
          <w:tcPr>
            <w:tcW w:type="dxa" w:w="1191"/>
            <w:shd w:val="clear" w:color="auto" w:fill="F3F8FB"/>
          </w:tcPr>
          <w:p>
            <w:r/>
            <w:r>
              <w:rPr>
                <w:sz w:val="20"/>
              </w:rPr>
              <w:t>3</w:t>
            </w:r>
          </w:p>
        </w:tc>
        <w:tc>
          <w:tcPr>
            <w:tcW w:type="dxa" w:w="1191"/>
            <w:shd w:val="clear" w:color="auto" w:fill="F3F8FB"/>
          </w:tcPr>
          <w:p>
            <w:r/>
            <w:r>
              <w:rPr>
                <w:sz w:val="20"/>
              </w:rPr>
              <w:t>32</w:t>
            </w:r>
          </w:p>
        </w:tc>
        <w:tc>
          <w:tcPr>
            <w:tcW w:type="dxa" w:w="1191"/>
            <w:shd w:val="clear" w:color="auto" w:fill="F3F8FB"/>
          </w:tcPr>
          <w:p>
            <w:r/>
            <w:r>
              <w:rPr>
                <w:sz w:val="20"/>
              </w:rPr>
              <w:t>101</w:t>
            </w:r>
          </w:p>
        </w:tc>
        <w:tc>
          <w:tcPr>
            <w:tcW w:type="dxa" w:w="1191"/>
            <w:shd w:val="clear" w:color="auto" w:fill="F3F8FB"/>
          </w:tcPr>
          <w:p>
            <w:r/>
            <w:r>
              <w:rPr>
                <w:sz w:val="20"/>
              </w:rPr>
              <w:t>130</w:t>
            </w:r>
          </w:p>
        </w:tc>
      </w:tr>
      <w:tr>
        <w:tc>
          <w:tcPr>
            <w:tcW w:type="dxa" w:w="3175"/>
          </w:tcPr>
          <w:p>
            <w:r/>
            <w:r>
              <w:rPr>
                <w:sz w:val="20"/>
              </w:rPr>
              <w:t>Матчинг донорство/СМ</w:t>
            </w:r>
          </w:p>
        </w:tc>
        <w:tc>
          <w:tcPr>
            <w:tcW w:type="dxa" w:w="1191"/>
          </w:tcPr>
          <w:p>
            <w:r/>
            <w:r>
              <w:rPr>
                <w:sz w:val="20"/>
              </w:rPr>
              <w:t>1</w:t>
            </w:r>
          </w:p>
        </w:tc>
        <w:tc>
          <w:tcPr>
            <w:tcW w:type="dxa" w:w="1191"/>
          </w:tcPr>
          <w:p>
            <w:r/>
            <w:r>
              <w:rPr>
                <w:sz w:val="20"/>
              </w:rPr>
              <w:t>1</w:t>
            </w:r>
          </w:p>
        </w:tc>
        <w:tc>
          <w:tcPr>
            <w:tcW w:type="dxa" w:w="1191"/>
          </w:tcPr>
          <w:p>
            <w:r/>
            <w:r>
              <w:rPr>
                <w:sz w:val="20"/>
              </w:rPr>
              <w:t>3</w:t>
            </w:r>
          </w:p>
        </w:tc>
        <w:tc>
          <w:tcPr>
            <w:tcW w:type="dxa" w:w="1191"/>
          </w:tcPr>
          <w:p>
            <w:r/>
            <w:r>
              <w:rPr>
                <w:sz w:val="20"/>
              </w:rPr>
              <w:t>6</w:t>
            </w:r>
          </w:p>
        </w:tc>
        <w:tc>
          <w:tcPr>
            <w:tcW w:type="dxa" w:w="1191"/>
          </w:tcPr>
          <w:p>
            <w:r/>
            <w:r>
              <w:rPr>
                <w:sz w:val="20"/>
              </w:rPr>
              <w:t>22</w:t>
            </w:r>
          </w:p>
        </w:tc>
      </w:tr>
      <w:tr>
        <w:tc>
          <w:tcPr>
            <w:tcW w:type="dxa" w:w="3175"/>
            <w:shd w:val="clear" w:color="auto" w:fill="F3F8FB"/>
          </w:tcPr>
          <w:p>
            <w:r/>
            <w:r>
              <w:rPr>
                <w:sz w:val="20"/>
              </w:rPr>
              <w:t>B2G-аналитика</w:t>
            </w:r>
          </w:p>
        </w:tc>
        <w:tc>
          <w:tcPr>
            <w:tcW w:type="dxa" w:w="1191"/>
            <w:shd w:val="clear" w:color="auto" w:fill="F3F8FB"/>
          </w:tcPr>
          <w:p>
            <w:r/>
            <w:r>
              <w:rPr>
                <w:sz w:val="20"/>
              </w:rPr>
              <w:t>1</w:t>
            </w:r>
          </w:p>
        </w:tc>
        <w:tc>
          <w:tcPr>
            <w:tcW w:type="dxa" w:w="1191"/>
            <w:shd w:val="clear" w:color="auto" w:fill="F3F8FB"/>
          </w:tcPr>
          <w:p>
            <w:r/>
            <w:r>
              <w:rPr>
                <w:sz w:val="20"/>
              </w:rPr>
              <w:t>3</w:t>
            </w:r>
          </w:p>
        </w:tc>
        <w:tc>
          <w:tcPr>
            <w:tcW w:type="dxa" w:w="1191"/>
            <w:shd w:val="clear" w:color="auto" w:fill="F3F8FB"/>
          </w:tcPr>
          <w:p>
            <w:r/>
            <w:r>
              <w:rPr>
                <w:sz w:val="20"/>
              </w:rPr>
              <w:t>14</w:t>
            </w:r>
          </w:p>
        </w:tc>
        <w:tc>
          <w:tcPr>
            <w:tcW w:type="dxa" w:w="1191"/>
            <w:shd w:val="clear" w:color="auto" w:fill="F3F8FB"/>
          </w:tcPr>
          <w:p>
            <w:r/>
            <w:r>
              <w:rPr>
                <w:sz w:val="20"/>
              </w:rPr>
              <w:t>21</w:t>
            </w:r>
          </w:p>
        </w:tc>
        <w:tc>
          <w:tcPr>
            <w:tcW w:type="dxa" w:w="1191"/>
            <w:shd w:val="clear" w:color="auto" w:fill="F3F8FB"/>
          </w:tcPr>
          <w:p>
            <w:r/>
            <w:r>
              <w:rPr>
                <w:sz w:val="20"/>
              </w:rPr>
              <w:t>61</w:t>
            </w:r>
          </w:p>
        </w:tc>
      </w:tr>
      <w:tr>
        <w:tc>
          <w:tcPr>
            <w:tcW w:type="dxa" w:w="3175"/>
          </w:tcPr>
          <w:p>
            <w:r/>
            <w:r>
              <w:rPr>
                <w:sz w:val="20"/>
              </w:rPr>
              <w:t>Хайнань/АТР</w:t>
            </w:r>
          </w:p>
        </w:tc>
        <w:tc>
          <w:tcPr>
            <w:tcW w:type="dxa" w:w="1191"/>
          </w:tcPr>
          <w:p>
            <w:r/>
            <w:r>
              <w:rPr>
                <w:sz w:val="20"/>
              </w:rPr>
              <w:t>1</w:t>
            </w:r>
          </w:p>
        </w:tc>
        <w:tc>
          <w:tcPr>
            <w:tcW w:type="dxa" w:w="1191"/>
          </w:tcPr>
          <w:p>
            <w:r/>
            <w:r>
              <w:rPr>
                <w:sz w:val="20"/>
              </w:rPr>
              <w:t>1</w:t>
            </w:r>
          </w:p>
        </w:tc>
        <w:tc>
          <w:tcPr>
            <w:tcW w:type="dxa" w:w="1191"/>
          </w:tcPr>
          <w:p>
            <w:r/>
            <w:r>
              <w:rPr>
                <w:sz w:val="20"/>
              </w:rPr>
              <w:t>1</w:t>
            </w:r>
          </w:p>
        </w:tc>
        <w:tc>
          <w:tcPr>
            <w:tcW w:type="dxa" w:w="1191"/>
          </w:tcPr>
          <w:p>
            <w:r/>
            <w:r>
              <w:rPr>
                <w:sz w:val="20"/>
              </w:rPr>
              <w:t>6</w:t>
            </w:r>
          </w:p>
        </w:tc>
        <w:tc>
          <w:tcPr>
            <w:tcW w:type="dxa" w:w="1191"/>
          </w:tcPr>
          <w:p>
            <w:r/>
            <w:r>
              <w:rPr>
                <w:sz w:val="20"/>
              </w:rPr>
              <w:t>36</w:t>
            </w:r>
          </w:p>
        </w:tc>
      </w:tr>
      <w:tr>
        <w:tc>
          <w:tcPr>
            <w:tcW w:type="dxa" w:w="3175"/>
            <w:shd w:val="clear" w:color="auto" w:fill="F3F8FB"/>
          </w:tcPr>
          <w:p>
            <w:r/>
            <w:r>
              <w:rPr>
                <w:sz w:val="20"/>
              </w:rPr>
              <w:t>ИТОГО выручка</w:t>
            </w:r>
          </w:p>
        </w:tc>
        <w:tc>
          <w:tcPr>
            <w:tcW w:type="dxa" w:w="1191"/>
            <w:shd w:val="clear" w:color="auto" w:fill="F3F8FB"/>
          </w:tcPr>
          <w:p>
            <w:r/>
            <w:r>
              <w:rPr>
                <w:sz w:val="20"/>
              </w:rPr>
              <w:t>14,0</w:t>
            </w:r>
          </w:p>
        </w:tc>
        <w:tc>
          <w:tcPr>
            <w:tcW w:type="dxa" w:w="1191"/>
            <w:shd w:val="clear" w:color="auto" w:fill="F3F8FB"/>
          </w:tcPr>
          <w:p>
            <w:r/>
            <w:r>
              <w:rPr>
                <w:sz w:val="20"/>
              </w:rPr>
              <w:t>82,0</w:t>
            </w:r>
          </w:p>
        </w:tc>
        <w:tc>
          <w:tcPr>
            <w:tcW w:type="dxa" w:w="1191"/>
            <w:shd w:val="clear" w:color="auto" w:fill="F3F8FB"/>
          </w:tcPr>
          <w:p>
            <w:r/>
            <w:r>
              <w:rPr>
                <w:sz w:val="20"/>
              </w:rPr>
              <w:t>139,0</w:t>
            </w:r>
          </w:p>
        </w:tc>
        <w:tc>
          <w:tcPr>
            <w:tcW w:type="dxa" w:w="1191"/>
            <w:shd w:val="clear" w:color="auto" w:fill="F3F8FB"/>
          </w:tcPr>
          <w:p>
            <w:r/>
            <w:r>
              <w:rPr>
                <w:sz w:val="20"/>
              </w:rPr>
              <w:t>508,0</w:t>
            </w:r>
          </w:p>
        </w:tc>
        <w:tc>
          <w:tcPr>
            <w:tcW w:type="dxa" w:w="1191"/>
            <w:shd w:val="clear" w:color="auto" w:fill="F3F8FB"/>
          </w:tcPr>
          <w:p>
            <w:r/>
            <w:r>
              <w:rPr>
                <w:sz w:val="20"/>
              </w:rPr>
              <w:t>1352,2</w:t>
            </w:r>
          </w:p>
        </w:tc>
      </w:tr>
    </w:tbl>
    <w:p/>
    <w:p>
      <w:r>
        <w:rPr>
          <w:i/>
          <w:color w:val="5A6A7A"/>
          <w:sz w:val="18"/>
        </w:rPr>
        <w:t>Потоки рассчитаны из одинаковых допущений с план-фактом (см. раздел 3).</w:t>
      </w:r>
    </w:p>
    <w:p>
      <w:pPr>
        <w:pStyle w:val="Heading3"/>
      </w:pPr>
      <w:r>
        <w:t>Квартальный денежный поток (остаток на конец квартала)</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2494"/>
            <w:shd w:val="clear" w:color="auto" w:fill="0B3D5C"/>
          </w:tcPr>
          <w:p>
            <w:r/>
            <w:r>
              <w:rPr>
                <w:b/>
                <w:color w:val="FFFFFF"/>
                <w:sz w:val="20"/>
              </w:rPr>
              <w:t>Квартал</w:t>
            </w:r>
          </w:p>
        </w:tc>
        <w:tc>
          <w:tcPr>
            <w:tcW w:type="dxa" w:w="1077"/>
            <w:shd w:val="clear" w:color="auto" w:fill="0B3D5C"/>
          </w:tcPr>
          <w:p>
            <w:r/>
            <w:r>
              <w:rPr>
                <w:b/>
                <w:color w:val="FFFFFF"/>
                <w:sz w:val="20"/>
              </w:rPr>
              <w:t>2026</w:t>
            </w:r>
          </w:p>
        </w:tc>
        <w:tc>
          <w:tcPr>
            <w:tcW w:type="dxa" w:w="1077"/>
            <w:shd w:val="clear" w:color="auto" w:fill="0B3D5C"/>
          </w:tcPr>
          <w:p>
            <w:r/>
            <w:r>
              <w:rPr>
                <w:b/>
                <w:color w:val="FFFFFF"/>
                <w:sz w:val="20"/>
              </w:rPr>
              <w:t>2027</w:t>
            </w:r>
          </w:p>
        </w:tc>
        <w:tc>
          <w:tcPr>
            <w:tcW w:type="dxa" w:w="1077"/>
            <w:shd w:val="clear" w:color="auto" w:fill="0B3D5C"/>
          </w:tcPr>
          <w:p>
            <w:r/>
            <w:r>
              <w:rPr>
                <w:b/>
                <w:color w:val="FFFFFF"/>
                <w:sz w:val="20"/>
              </w:rPr>
              <w:t>2028</w:t>
            </w:r>
          </w:p>
        </w:tc>
        <w:tc>
          <w:tcPr>
            <w:tcW w:type="dxa" w:w="1077"/>
            <w:shd w:val="clear" w:color="auto" w:fill="0B3D5C"/>
          </w:tcPr>
          <w:p>
            <w:r/>
            <w:r>
              <w:rPr>
                <w:b/>
                <w:color w:val="FFFFFF"/>
                <w:sz w:val="20"/>
              </w:rPr>
              <w:t>2029</w:t>
            </w:r>
          </w:p>
        </w:tc>
        <w:tc>
          <w:tcPr>
            <w:tcW w:type="dxa" w:w="1077"/>
            <w:shd w:val="clear" w:color="auto" w:fill="0B3D5C"/>
          </w:tcPr>
          <w:p>
            <w:r/>
            <w:r>
              <w:rPr>
                <w:b/>
                <w:color w:val="FFFFFF"/>
                <w:sz w:val="20"/>
              </w:rPr>
              <w:t>2030</w:t>
            </w:r>
          </w:p>
        </w:tc>
      </w:tr>
      <w:tr>
        <w:tc>
          <w:tcPr>
            <w:tcW w:type="dxa" w:w="2494"/>
          </w:tcPr>
          <w:p>
            <w:r/>
            <w:r>
              <w:rPr>
                <w:sz w:val="20"/>
              </w:rPr>
              <w:t>Q1</w:t>
            </w:r>
          </w:p>
        </w:tc>
        <w:tc>
          <w:tcPr>
            <w:tcW w:type="dxa" w:w="1077"/>
          </w:tcPr>
          <w:p>
            <w:r/>
            <w:r>
              <w:rPr>
                <w:sz w:val="20"/>
              </w:rPr>
              <w:t>36,0</w:t>
            </w:r>
          </w:p>
        </w:tc>
        <w:tc>
          <w:tcPr>
            <w:tcW w:type="dxa" w:w="1077"/>
          </w:tcPr>
          <w:p>
            <w:r/>
            <w:r>
              <w:rPr>
                <w:sz w:val="20"/>
              </w:rPr>
              <w:t>34,0</w:t>
            </w:r>
          </w:p>
        </w:tc>
        <w:tc>
          <w:tcPr>
            <w:tcW w:type="dxa" w:w="1077"/>
          </w:tcPr>
          <w:p>
            <w:r/>
            <w:r>
              <w:rPr>
                <w:sz w:val="20"/>
              </w:rPr>
              <w:t>24,0</w:t>
            </w:r>
          </w:p>
        </w:tc>
        <w:tc>
          <w:tcPr>
            <w:tcW w:type="dxa" w:w="1077"/>
          </w:tcPr>
          <w:p>
            <w:r/>
            <w:r>
              <w:rPr>
                <w:sz w:val="20"/>
              </w:rPr>
              <w:t>23,000000000000000</w:t>
            </w:r>
          </w:p>
        </w:tc>
        <w:tc>
          <w:tcPr>
            <w:tcW w:type="dxa" w:w="1077"/>
          </w:tcPr>
          <w:p>
            <w:r/>
            <w:r>
              <w:rPr>
                <w:sz w:val="20"/>
              </w:rPr>
              <w:t>135,00000000000000</w:t>
            </w:r>
          </w:p>
        </w:tc>
      </w:tr>
      <w:tr>
        <w:tc>
          <w:tcPr>
            <w:tcW w:type="dxa" w:w="2494"/>
            <w:shd w:val="clear" w:color="auto" w:fill="F3F8FB"/>
          </w:tcPr>
          <w:p>
            <w:r/>
            <w:r>
              <w:rPr>
                <w:sz w:val="20"/>
              </w:rPr>
              <w:t>Q3</w:t>
            </w:r>
          </w:p>
        </w:tc>
        <w:tc>
          <w:tcPr>
            <w:tcW w:type="dxa" w:w="1077"/>
            <w:shd w:val="clear" w:color="auto" w:fill="F3F8FB"/>
          </w:tcPr>
          <w:p>
            <w:r/>
            <w:r>
              <w:rPr>
                <w:sz w:val="20"/>
              </w:rPr>
              <w:t>16,0</w:t>
            </w:r>
          </w:p>
        </w:tc>
        <w:tc>
          <w:tcPr>
            <w:tcW w:type="dxa" w:w="1077"/>
            <w:shd w:val="clear" w:color="auto" w:fill="F3F8FB"/>
          </w:tcPr>
          <w:p>
            <w:r/>
            <w:r>
              <w:rPr>
                <w:sz w:val="20"/>
              </w:rPr>
              <w:t>70,0</w:t>
            </w:r>
          </w:p>
        </w:tc>
        <w:tc>
          <w:tcPr>
            <w:tcW w:type="dxa" w:w="1077"/>
            <w:shd w:val="clear" w:color="auto" w:fill="F3F8FB"/>
          </w:tcPr>
          <w:p>
            <w:r/>
            <w:r>
              <w:rPr>
                <w:sz w:val="20"/>
              </w:rPr>
              <w:t>26,0</w:t>
            </w:r>
          </w:p>
        </w:tc>
        <w:tc>
          <w:tcPr>
            <w:tcW w:type="dxa" w:w="1077"/>
            <w:shd w:val="clear" w:color="auto" w:fill="F3F8FB"/>
          </w:tcPr>
          <w:p>
            <w:r/>
            <w:r>
              <w:rPr>
                <w:sz w:val="20"/>
              </w:rPr>
              <w:t>36,000000000000000</w:t>
            </w:r>
          </w:p>
        </w:tc>
        <w:tc>
          <w:tcPr>
            <w:tcW w:type="dxa" w:w="1077"/>
            <w:shd w:val="clear" w:color="auto" w:fill="F3F8FB"/>
          </w:tcPr>
          <w:p>
            <w:r/>
            <w:r>
              <w:rPr>
                <w:sz w:val="20"/>
              </w:rPr>
              <w:t>269,0</w:t>
            </w:r>
          </w:p>
        </w:tc>
      </w:tr>
      <w:tr>
        <w:tc>
          <w:tcPr>
            <w:tcW w:type="dxa" w:w="2494"/>
          </w:tcPr>
          <w:p>
            <w:r/>
            <w:r>
              <w:rPr>
                <w:sz w:val="20"/>
              </w:rPr>
              <w:t>Q7</w:t>
            </w:r>
          </w:p>
        </w:tc>
        <w:tc>
          <w:tcPr>
            <w:tcW w:type="dxa" w:w="1077"/>
          </w:tcPr>
          <w:p>
            <w:r/>
            <w:r>
              <w:rPr>
                <w:sz w:val="20"/>
              </w:rPr>
              <w:t>12,000000000000000</w:t>
            </w:r>
          </w:p>
        </w:tc>
        <w:tc>
          <w:tcPr>
            <w:tcW w:type="dxa" w:w="1077"/>
          </w:tcPr>
          <w:p>
            <w:r/>
            <w:r>
              <w:rPr>
                <w:sz w:val="20"/>
              </w:rPr>
              <w:t>49,0</w:t>
            </w:r>
          </w:p>
        </w:tc>
        <w:tc>
          <w:tcPr>
            <w:tcW w:type="dxa" w:w="1077"/>
          </w:tcPr>
          <w:p>
            <w:r/>
            <w:r>
              <w:rPr>
                <w:sz w:val="20"/>
              </w:rPr>
              <w:t>49,0</w:t>
            </w:r>
          </w:p>
        </w:tc>
        <w:tc>
          <w:tcPr>
            <w:tcW w:type="dxa" w:w="1077"/>
          </w:tcPr>
          <w:p>
            <w:r/>
            <w:r>
              <w:rPr>
                <w:sz w:val="20"/>
              </w:rPr>
              <w:t>105,000000000000000</w:t>
            </w:r>
          </w:p>
        </w:tc>
        <w:tc>
          <w:tcPr>
            <w:tcW w:type="dxa" w:w="1077"/>
          </w:tcPr>
          <w:p>
            <w:r/>
            <w:r>
              <w:rPr>
                <w:sz w:val="20"/>
              </w:rPr>
              <w:t>306,00000000000000</w:t>
            </w:r>
          </w:p>
        </w:tc>
      </w:tr>
      <w:tr>
        <w:tc>
          <w:tcPr>
            <w:tcW w:type="dxa" w:w="2494"/>
            <w:shd w:val="clear" w:color="auto" w:fill="F3F8FB"/>
          </w:tcPr>
          <w:p>
            <w:r/>
            <w:r>
              <w:rPr>
                <w:sz w:val="20"/>
              </w:rPr>
              <w:t>Q3</w:t>
            </w:r>
          </w:p>
        </w:tc>
        <w:tc>
          <w:tcPr>
            <w:tcW w:type="dxa" w:w="1077"/>
            <w:shd w:val="clear" w:color="auto" w:fill="F3F8FB"/>
          </w:tcPr>
          <w:p>
            <w:r/>
            <w:r>
              <w:rPr>
                <w:sz w:val="20"/>
              </w:rPr>
              <w:t>0,5800000000000000</w:t>
            </w:r>
          </w:p>
        </w:tc>
        <w:tc>
          <w:tcPr>
            <w:tcW w:type="dxa" w:w="1077"/>
            <w:shd w:val="clear" w:color="auto" w:fill="F3F8FB"/>
          </w:tcPr>
          <w:p>
            <w:r/>
            <w:r>
              <w:rPr>
                <w:sz w:val="20"/>
              </w:rPr>
              <w:t>27,0</w:t>
            </w:r>
          </w:p>
        </w:tc>
        <w:tc>
          <w:tcPr>
            <w:tcW w:type="dxa" w:w="1077"/>
            <w:shd w:val="clear" w:color="auto" w:fill="F3F8FB"/>
          </w:tcPr>
          <w:p>
            <w:r/>
            <w:r>
              <w:rPr>
                <w:sz w:val="20"/>
              </w:rPr>
              <w:t>35,0</w:t>
            </w:r>
          </w:p>
        </w:tc>
        <w:tc>
          <w:tcPr>
            <w:tcW w:type="dxa" w:w="1077"/>
            <w:shd w:val="clear" w:color="auto" w:fill="F3F8FB"/>
          </w:tcPr>
          <w:p>
            <w:r/>
            <w:r>
              <w:rPr>
                <w:sz w:val="20"/>
              </w:rPr>
              <w:t>99,0</w:t>
            </w:r>
          </w:p>
        </w:tc>
        <w:tc>
          <w:tcPr>
            <w:tcW w:type="dxa" w:w="1077"/>
            <w:shd w:val="clear" w:color="auto" w:fill="F3F8FB"/>
          </w:tcPr>
          <w:p>
            <w:r/>
            <w:r>
              <w:rPr>
                <w:sz w:val="20"/>
              </w:rPr>
              <w:t>412,0</w:t>
            </w:r>
          </w:p>
        </w:tc>
      </w:tr>
    </w:tbl>
    <w:p/>
    <w:p>
      <w:r>
        <w:rPr>
          <w:i/>
          <w:color w:val="5A6A7A"/>
          <w:sz w:val="18"/>
        </w:rPr>
        <w:t>Минимум квартального остатка — 0,39 млн ₽ (2026Q1), что задаёт буфер безопасности операционного года.</w:t>
      </w:r>
    </w:p>
    <w:p>
      <w:pPr>
        <w:pStyle w:val="Heading2"/>
      </w:pPr>
      <w:r>
        <w:t>12.4. Поквартальная динамика выручки и EBITDA</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701"/>
            <w:shd w:val="clear" w:color="auto" w:fill="0B3D5C"/>
          </w:tcPr>
          <w:p>
            <w:r/>
            <w:r>
              <w:rPr>
                <w:b/>
                <w:color w:val="FFFFFF"/>
                <w:sz w:val="20"/>
              </w:rPr>
              <w:t>Квартал</w:t>
            </w:r>
          </w:p>
        </w:tc>
        <w:tc>
          <w:tcPr>
            <w:tcW w:type="dxa" w:w="1247"/>
            <w:shd w:val="clear" w:color="auto" w:fill="0B3D5C"/>
          </w:tcPr>
          <w:p>
            <w:r/>
            <w:r>
              <w:rPr>
                <w:b/>
                <w:color w:val="FFFFFF"/>
                <w:sz w:val="20"/>
              </w:rPr>
              <w:t>2026</w:t>
            </w:r>
          </w:p>
        </w:tc>
        <w:tc>
          <w:tcPr>
            <w:tcW w:type="dxa" w:w="1247"/>
            <w:shd w:val="clear" w:color="auto" w:fill="0B3D5C"/>
          </w:tcPr>
          <w:p>
            <w:r/>
            <w:r>
              <w:rPr>
                <w:b/>
                <w:color w:val="FFFFFF"/>
                <w:sz w:val="20"/>
              </w:rPr>
              <w:t>2027</w:t>
            </w:r>
          </w:p>
        </w:tc>
        <w:tc>
          <w:tcPr>
            <w:tcW w:type="dxa" w:w="1247"/>
            <w:shd w:val="clear" w:color="auto" w:fill="0B3D5C"/>
          </w:tcPr>
          <w:p>
            <w:r/>
            <w:r>
              <w:rPr>
                <w:b/>
                <w:color w:val="FFFFFF"/>
                <w:sz w:val="20"/>
              </w:rPr>
              <w:t>2028</w:t>
            </w:r>
          </w:p>
        </w:tc>
        <w:tc>
          <w:tcPr>
            <w:tcW w:type="dxa" w:w="1247"/>
            <w:shd w:val="clear" w:color="auto" w:fill="0B3D5C"/>
          </w:tcPr>
          <w:p>
            <w:r/>
            <w:r>
              <w:rPr>
                <w:b/>
                <w:color w:val="FFFFFF"/>
                <w:sz w:val="20"/>
              </w:rPr>
              <w:t>2029</w:t>
            </w:r>
          </w:p>
        </w:tc>
        <w:tc>
          <w:tcPr>
            <w:tcW w:type="dxa" w:w="1247"/>
            <w:shd w:val="clear" w:color="auto" w:fill="0B3D5C"/>
          </w:tcPr>
          <w:p>
            <w:r/>
            <w:r>
              <w:rPr>
                <w:b/>
                <w:color w:val="FFFFFF"/>
                <w:sz w:val="20"/>
              </w:rPr>
              <w:t>2030</w:t>
            </w:r>
          </w:p>
        </w:tc>
      </w:tr>
      <w:tr>
        <w:tc>
          <w:tcPr>
            <w:tcW w:type="dxa" w:w="1701"/>
          </w:tcPr>
          <w:p>
            <w:r/>
            <w:r>
              <w:rPr>
                <w:sz w:val="20"/>
              </w:rPr>
              <w:t>Q1 выручка</w:t>
            </w:r>
          </w:p>
        </w:tc>
        <w:tc>
          <w:tcPr>
            <w:tcW w:type="dxa" w:w="1247"/>
          </w:tcPr>
          <w:p>
            <w:r/>
            <w:r>
              <w:rPr>
                <w:sz w:val="20"/>
              </w:rPr>
              <w:t>0,7</w:t>
            </w:r>
          </w:p>
        </w:tc>
        <w:tc>
          <w:tcPr>
            <w:tcW w:type="dxa" w:w="1247"/>
          </w:tcPr>
          <w:p>
            <w:r/>
            <w:r>
              <w:rPr>
                <w:sz w:val="20"/>
              </w:rPr>
              <w:t>6,0</w:t>
            </w:r>
          </w:p>
        </w:tc>
        <w:tc>
          <w:tcPr>
            <w:tcW w:type="dxa" w:w="1247"/>
          </w:tcPr>
          <w:p>
            <w:r/>
            <w:r>
              <w:rPr>
                <w:sz w:val="20"/>
              </w:rPr>
              <w:t>25,0</w:t>
            </w:r>
          </w:p>
        </w:tc>
        <w:tc>
          <w:tcPr>
            <w:tcW w:type="dxa" w:w="1247"/>
          </w:tcPr>
          <w:p>
            <w:r/>
            <w:r>
              <w:rPr>
                <w:sz w:val="20"/>
              </w:rPr>
              <w:t>61,0</w:t>
            </w:r>
          </w:p>
        </w:tc>
        <w:tc>
          <w:tcPr>
            <w:tcW w:type="dxa" w:w="1247"/>
          </w:tcPr>
          <w:p>
            <w:r/>
            <w:r>
              <w:rPr>
                <w:sz w:val="20"/>
              </w:rPr>
              <w:t>90,0</w:t>
            </w:r>
          </w:p>
        </w:tc>
      </w:tr>
      <w:tr>
        <w:tc>
          <w:tcPr>
            <w:tcW w:type="dxa" w:w="1701"/>
            <w:shd w:val="clear" w:color="auto" w:fill="F3F8FB"/>
          </w:tcPr>
          <w:p>
            <w:r/>
            <w:r>
              <w:rPr>
                <w:sz w:val="20"/>
              </w:rPr>
              <w:t>Q3 выручка</w:t>
            </w:r>
          </w:p>
        </w:tc>
        <w:tc>
          <w:tcPr>
            <w:tcW w:type="dxa" w:w="1247"/>
            <w:shd w:val="clear" w:color="auto" w:fill="F3F8FB"/>
          </w:tcPr>
          <w:p>
            <w:r/>
            <w:r>
              <w:rPr>
                <w:sz w:val="20"/>
              </w:rPr>
              <w:t>1,8</w:t>
            </w:r>
          </w:p>
        </w:tc>
        <w:tc>
          <w:tcPr>
            <w:tcW w:type="dxa" w:w="1247"/>
            <w:shd w:val="clear" w:color="auto" w:fill="F3F8FB"/>
          </w:tcPr>
          <w:p>
            <w:r/>
            <w:r>
              <w:rPr>
                <w:sz w:val="20"/>
              </w:rPr>
              <w:t>6,8</w:t>
            </w:r>
          </w:p>
        </w:tc>
        <w:tc>
          <w:tcPr>
            <w:tcW w:type="dxa" w:w="1247"/>
            <w:shd w:val="clear" w:color="auto" w:fill="F3F8FB"/>
          </w:tcPr>
          <w:p>
            <w:r/>
            <w:r>
              <w:rPr>
                <w:sz w:val="20"/>
              </w:rPr>
              <w:t>38,0</w:t>
            </w:r>
          </w:p>
        </w:tc>
        <w:tc>
          <w:tcPr>
            <w:tcW w:type="dxa" w:w="1247"/>
            <w:shd w:val="clear" w:color="auto" w:fill="F3F8FB"/>
          </w:tcPr>
          <w:p>
            <w:r/>
            <w:r>
              <w:rPr>
                <w:sz w:val="20"/>
              </w:rPr>
              <w:t>93,0</w:t>
            </w:r>
          </w:p>
        </w:tc>
        <w:tc>
          <w:tcPr>
            <w:tcW w:type="dxa" w:w="1247"/>
            <w:shd w:val="clear" w:color="auto" w:fill="F3F8FB"/>
          </w:tcPr>
          <w:p>
            <w:r/>
            <w:r>
              <w:rPr>
                <w:sz w:val="20"/>
              </w:rPr>
              <w:t>46,0</w:t>
            </w:r>
          </w:p>
        </w:tc>
      </w:tr>
      <w:tr>
        <w:tc>
          <w:tcPr>
            <w:tcW w:type="dxa" w:w="1701"/>
          </w:tcPr>
          <w:p>
            <w:r/>
            <w:r>
              <w:rPr>
                <w:sz w:val="20"/>
              </w:rPr>
              <w:t>Q7 выручка</w:t>
            </w:r>
          </w:p>
        </w:tc>
        <w:tc>
          <w:tcPr>
            <w:tcW w:type="dxa" w:w="1247"/>
          </w:tcPr>
          <w:p>
            <w:r/>
            <w:r>
              <w:rPr>
                <w:sz w:val="20"/>
              </w:rPr>
              <w:t>3,1</w:t>
            </w:r>
          </w:p>
        </w:tc>
        <w:tc>
          <w:tcPr>
            <w:tcW w:type="dxa" w:w="1247"/>
          </w:tcPr>
          <w:p>
            <w:r/>
            <w:r>
              <w:rPr>
                <w:sz w:val="20"/>
              </w:rPr>
              <w:t>14,0</w:t>
            </w:r>
          </w:p>
        </w:tc>
        <w:tc>
          <w:tcPr>
            <w:tcW w:type="dxa" w:w="1247"/>
          </w:tcPr>
          <w:p>
            <w:r/>
            <w:r>
              <w:rPr>
                <w:sz w:val="20"/>
              </w:rPr>
              <w:t>64,0</w:t>
            </w:r>
          </w:p>
        </w:tc>
        <w:tc>
          <w:tcPr>
            <w:tcW w:type="dxa" w:w="1247"/>
          </w:tcPr>
          <w:p>
            <w:r/>
            <w:r>
              <w:rPr>
                <w:sz w:val="20"/>
              </w:rPr>
              <w:t>68,0</w:t>
            </w:r>
          </w:p>
        </w:tc>
        <w:tc>
          <w:tcPr>
            <w:tcW w:type="dxa" w:w="1247"/>
          </w:tcPr>
          <w:p>
            <w:r/>
            <w:r>
              <w:rPr>
                <w:sz w:val="20"/>
              </w:rPr>
              <w:t>130,0</w:t>
            </w:r>
          </w:p>
        </w:tc>
      </w:tr>
      <w:tr>
        <w:tc>
          <w:tcPr>
            <w:tcW w:type="dxa" w:w="1701"/>
            <w:shd w:val="clear" w:color="auto" w:fill="F3F8FB"/>
          </w:tcPr>
          <w:p>
            <w:r/>
            <w:r>
              <w:rPr>
                <w:sz w:val="20"/>
              </w:rPr>
              <w:t>Q3 выручка</w:t>
            </w:r>
          </w:p>
        </w:tc>
        <w:tc>
          <w:tcPr>
            <w:tcW w:type="dxa" w:w="1247"/>
            <w:shd w:val="clear" w:color="auto" w:fill="F3F8FB"/>
          </w:tcPr>
          <w:p>
            <w:r/>
            <w:r>
              <w:rPr>
                <w:sz w:val="20"/>
              </w:rPr>
              <w:t>6,1</w:t>
            </w:r>
          </w:p>
        </w:tc>
        <w:tc>
          <w:tcPr>
            <w:tcW w:type="dxa" w:w="1247"/>
            <w:shd w:val="clear" w:color="auto" w:fill="F3F8FB"/>
          </w:tcPr>
          <w:p>
            <w:r/>
            <w:r>
              <w:rPr>
                <w:sz w:val="20"/>
              </w:rPr>
              <w:t>16,0</w:t>
            </w:r>
          </w:p>
        </w:tc>
        <w:tc>
          <w:tcPr>
            <w:tcW w:type="dxa" w:w="1247"/>
            <w:shd w:val="clear" w:color="auto" w:fill="F3F8FB"/>
          </w:tcPr>
          <w:p>
            <w:r/>
            <w:r>
              <w:rPr>
                <w:sz w:val="20"/>
              </w:rPr>
              <w:t>92,0</w:t>
            </w:r>
          </w:p>
        </w:tc>
        <w:tc>
          <w:tcPr>
            <w:tcW w:type="dxa" w:w="1247"/>
            <w:shd w:val="clear" w:color="auto" w:fill="F3F8FB"/>
          </w:tcPr>
          <w:p>
            <w:r/>
            <w:r>
              <w:rPr>
                <w:sz w:val="20"/>
              </w:rPr>
              <w:t>192,0</w:t>
            </w:r>
          </w:p>
        </w:tc>
        <w:tc>
          <w:tcPr>
            <w:tcW w:type="dxa" w:w="1247"/>
            <w:shd w:val="clear" w:color="auto" w:fill="F3F8FB"/>
          </w:tcPr>
          <w:p>
            <w:r/>
            <w:r>
              <w:rPr>
                <w:sz w:val="20"/>
              </w:rPr>
              <w:t>322,0</w:t>
            </w:r>
          </w:p>
        </w:tc>
      </w:tr>
    </w:tbl>
    <w:p/>
    <w:p>
      <w:r>
        <w:rPr>
          <w:i/>
          <w:color w:val="5A6A7A"/>
          <w:sz w:val="18"/>
        </w:rPr>
        <w:t>Сезонность: Q3 ≈ 59% годовой выручки, Q1 ≈ 16%.</w:t>
      </w:r>
    </w:p>
    <w:p>
      <w:r>
        <w:drawing>
          <wp:inline xmlns:a="http://schemas.openxmlformats.org/drawingml/2006/main" xmlns:pic="http://schemas.openxmlformats.org/drawingml/2006/picture">
            <wp:extent cx="5580000" cy="2290737"/>
            <wp:docPr id="7" name="Picture 7"/>
            <wp:cNvGraphicFramePr>
              <a:graphicFrameLocks noChangeAspect="1"/>
            </wp:cNvGraphicFramePr>
            <a:graphic>
              <a:graphicData uri="http://schemas.openxmlformats.org/drawingml/2006/picture">
                <pic:pic>
                  <pic:nvPicPr>
                    <pic:cNvPr id="0" name="bp_chart_ebitda_q.png"/>
                    <pic:cNvPicPr/>
                  </pic:nvPicPr>
                  <pic:blipFill>
                    <a:blip r:embed="rId16"/>
                    <a:stretch>
                      <a:fillRect/>
                    </a:stretch>
                  </pic:blipFill>
                  <pic:spPr>
                    <a:xfrm>
                      <a:off x="0" y="0"/>
                      <a:ext cx="5580000" cy="2290737"/>
                    </a:xfrm>
                    <a:prstGeom prst="rect"/>
                  </pic:spPr>
                </pic:pic>
              </a:graphicData>
            </a:graphic>
          </wp:inline>
        </w:drawing>
      </w:r>
    </w:p>
    <w:p>
      <w:pPr>
        <w:jc w:val="center"/>
      </w:pPr>
      <w:r>
        <w:rPr>
          <w:i/>
          <w:color w:val="5A6A7A"/>
          <w:sz w:val="19"/>
        </w:rPr>
        <w:t>Рис. 18.0. EBITDA по кварталам и годовая безубыточность</w:t>
      </w:r>
    </w:p>
    <w:p>
      <w:pPr>
        <w:jc w:val="center"/>
      </w:pPr>
      <w:r>
        <w:rPr>
          <w:color w:val="5A6A7A"/>
          <w:sz w:val="16"/>
        </w:rPr>
        <w:t>Источник: расчёт модели.</w:t>
      </w:r>
    </w:p>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701"/>
            <w:shd w:val="clear" w:color="auto" w:fill="0B3D5C"/>
          </w:tcPr>
          <w:p>
            <w:r/>
            <w:r>
              <w:rPr>
                <w:b/>
                <w:color w:val="FFFFFF"/>
                <w:sz w:val="20"/>
              </w:rPr>
              <w:t>Квартал</w:t>
            </w:r>
          </w:p>
        </w:tc>
        <w:tc>
          <w:tcPr>
            <w:tcW w:type="dxa" w:w="1247"/>
            <w:shd w:val="clear" w:color="auto" w:fill="0B3D5C"/>
          </w:tcPr>
          <w:p>
            <w:r/>
            <w:r>
              <w:rPr>
                <w:b/>
                <w:color w:val="FFFFFF"/>
                <w:sz w:val="20"/>
              </w:rPr>
              <w:t>2026</w:t>
            </w:r>
          </w:p>
        </w:tc>
        <w:tc>
          <w:tcPr>
            <w:tcW w:type="dxa" w:w="1247"/>
            <w:shd w:val="clear" w:color="auto" w:fill="0B3D5C"/>
          </w:tcPr>
          <w:p>
            <w:r/>
            <w:r>
              <w:rPr>
                <w:b/>
                <w:color w:val="FFFFFF"/>
                <w:sz w:val="20"/>
              </w:rPr>
              <w:t>2027</w:t>
            </w:r>
          </w:p>
        </w:tc>
        <w:tc>
          <w:tcPr>
            <w:tcW w:type="dxa" w:w="1247"/>
            <w:shd w:val="clear" w:color="auto" w:fill="0B3D5C"/>
          </w:tcPr>
          <w:p>
            <w:r/>
            <w:r>
              <w:rPr>
                <w:b/>
                <w:color w:val="FFFFFF"/>
                <w:sz w:val="20"/>
              </w:rPr>
              <w:t>2028</w:t>
            </w:r>
          </w:p>
        </w:tc>
        <w:tc>
          <w:tcPr>
            <w:tcW w:type="dxa" w:w="1247"/>
            <w:shd w:val="clear" w:color="auto" w:fill="0B3D5C"/>
          </w:tcPr>
          <w:p>
            <w:r/>
            <w:r>
              <w:rPr>
                <w:b/>
                <w:color w:val="FFFFFF"/>
                <w:sz w:val="20"/>
              </w:rPr>
              <w:t>2029</w:t>
            </w:r>
          </w:p>
        </w:tc>
        <w:tc>
          <w:tcPr>
            <w:tcW w:type="dxa" w:w="1247"/>
            <w:shd w:val="clear" w:color="auto" w:fill="0B3D5C"/>
          </w:tcPr>
          <w:p>
            <w:r/>
            <w:r>
              <w:rPr>
                <w:b/>
                <w:color w:val="FFFFFF"/>
                <w:sz w:val="20"/>
              </w:rPr>
              <w:t>2030</w:t>
            </w:r>
          </w:p>
        </w:tc>
      </w:tr>
      <w:tr>
        <w:tc>
          <w:tcPr>
            <w:tcW w:type="dxa" w:w="1701"/>
          </w:tcPr>
          <w:p>
            <w:r/>
            <w:r>
              <w:rPr>
                <w:sz w:val="20"/>
              </w:rPr>
              <w:t>Q1 EBITDA</w:t>
            </w:r>
          </w:p>
        </w:tc>
        <w:tc>
          <w:tcPr>
            <w:tcW w:type="dxa" w:w="1247"/>
          </w:tcPr>
          <w:p>
            <w:r/>
            <w:r>
              <w:rPr>
                <w:sz w:val="20"/>
              </w:rPr>
              <w:t>−8,4</w:t>
            </w:r>
          </w:p>
        </w:tc>
        <w:tc>
          <w:tcPr>
            <w:tcW w:type="dxa" w:w="1247"/>
          </w:tcPr>
          <w:p>
            <w:r/>
            <w:r>
              <w:rPr>
                <w:sz w:val="20"/>
              </w:rPr>
              <w:t>−20,0</w:t>
            </w:r>
          </w:p>
        </w:tc>
        <w:tc>
          <w:tcPr>
            <w:tcW w:type="dxa" w:w="1247"/>
          </w:tcPr>
          <w:p>
            <w:r/>
            <w:r>
              <w:rPr>
                <w:sz w:val="20"/>
              </w:rPr>
              <w:t>−6,5</w:t>
            </w:r>
          </w:p>
        </w:tc>
        <w:tc>
          <w:tcPr>
            <w:tcW w:type="dxa" w:w="1247"/>
          </w:tcPr>
          <w:p>
            <w:r/>
            <w:r>
              <w:rPr>
                <w:sz w:val="20"/>
              </w:rPr>
              <w:t>−5,8</w:t>
            </w:r>
          </w:p>
        </w:tc>
        <w:tc>
          <w:tcPr>
            <w:tcW w:type="dxa" w:w="1247"/>
          </w:tcPr>
          <w:p>
            <w:r/>
            <w:r>
              <w:rPr>
                <w:sz w:val="20"/>
              </w:rPr>
              <w:t>+0,7</w:t>
            </w:r>
          </w:p>
        </w:tc>
      </w:tr>
      <w:tr>
        <w:tc>
          <w:tcPr>
            <w:tcW w:type="dxa" w:w="1701"/>
            <w:shd w:val="clear" w:color="auto" w:fill="F3F8FB"/>
          </w:tcPr>
          <w:p>
            <w:r/>
            <w:r>
              <w:rPr>
                <w:sz w:val="20"/>
              </w:rPr>
              <w:t>Q3 EBITDA</w:t>
            </w:r>
          </w:p>
        </w:tc>
        <w:tc>
          <w:tcPr>
            <w:tcW w:type="dxa" w:w="1247"/>
            <w:shd w:val="clear" w:color="auto" w:fill="F3F8FB"/>
          </w:tcPr>
          <w:p>
            <w:r/>
            <w:r>
              <w:rPr>
                <w:sz w:val="20"/>
              </w:rPr>
              <w:t>−9,8</w:t>
            </w:r>
          </w:p>
        </w:tc>
        <w:tc>
          <w:tcPr>
            <w:tcW w:type="dxa" w:w="1247"/>
            <w:shd w:val="clear" w:color="auto" w:fill="F3F8FB"/>
          </w:tcPr>
          <w:p>
            <w:r/>
            <w:r>
              <w:rPr>
                <w:sz w:val="20"/>
              </w:rPr>
              <w:t>−7,6</w:t>
            </w:r>
          </w:p>
        </w:tc>
        <w:tc>
          <w:tcPr>
            <w:tcW w:type="dxa" w:w="1247"/>
            <w:shd w:val="clear" w:color="auto" w:fill="F3F8FB"/>
          </w:tcPr>
          <w:p>
            <w:r/>
            <w:r>
              <w:rPr>
                <w:sz w:val="20"/>
              </w:rPr>
              <w:t>−1,9</w:t>
            </w:r>
          </w:p>
        </w:tc>
        <w:tc>
          <w:tcPr>
            <w:tcW w:type="dxa" w:w="1247"/>
            <w:shd w:val="clear" w:color="auto" w:fill="F3F8FB"/>
          </w:tcPr>
          <w:p>
            <w:r/>
            <w:r>
              <w:rPr>
                <w:sz w:val="20"/>
              </w:rPr>
              <w:t>+9,7</w:t>
            </w:r>
          </w:p>
        </w:tc>
        <w:tc>
          <w:tcPr>
            <w:tcW w:type="dxa" w:w="1247"/>
            <w:shd w:val="clear" w:color="auto" w:fill="F3F8FB"/>
          </w:tcPr>
          <w:p>
            <w:r/>
            <w:r>
              <w:rPr>
                <w:sz w:val="20"/>
              </w:rPr>
              <w:t>+24,0</w:t>
            </w:r>
          </w:p>
        </w:tc>
      </w:tr>
      <w:tr>
        <w:tc>
          <w:tcPr>
            <w:tcW w:type="dxa" w:w="1701"/>
          </w:tcPr>
          <w:p>
            <w:r/>
            <w:r>
              <w:rPr>
                <w:sz w:val="20"/>
              </w:rPr>
              <w:t>Q7 EBITDA</w:t>
            </w:r>
          </w:p>
        </w:tc>
        <w:tc>
          <w:tcPr>
            <w:tcW w:type="dxa" w:w="1247"/>
          </w:tcPr>
          <w:p>
            <w:r/>
            <w:r>
              <w:rPr>
                <w:sz w:val="20"/>
              </w:rPr>
              <w:t>−14,0</w:t>
            </w:r>
          </w:p>
        </w:tc>
        <w:tc>
          <w:tcPr>
            <w:tcW w:type="dxa" w:w="1247"/>
          </w:tcPr>
          <w:p>
            <w:r/>
            <w:r>
              <w:rPr>
                <w:sz w:val="20"/>
              </w:rPr>
              <w:t>−13,0</w:t>
            </w:r>
          </w:p>
        </w:tc>
        <w:tc>
          <w:tcPr>
            <w:tcW w:type="dxa" w:w="1247"/>
          </w:tcPr>
          <w:p>
            <w:r/>
            <w:r>
              <w:rPr>
                <w:sz w:val="20"/>
              </w:rPr>
              <w:t>+6,0</w:t>
            </w:r>
          </w:p>
        </w:tc>
        <w:tc>
          <w:tcPr>
            <w:tcW w:type="dxa" w:w="1247"/>
          </w:tcPr>
          <w:p>
            <w:r/>
            <w:r>
              <w:rPr>
                <w:sz w:val="20"/>
              </w:rPr>
              <w:t>+16,0</w:t>
            </w:r>
          </w:p>
        </w:tc>
        <w:tc>
          <w:tcPr>
            <w:tcW w:type="dxa" w:w="1247"/>
          </w:tcPr>
          <w:p>
            <w:r/>
            <w:r>
              <w:rPr>
                <w:sz w:val="20"/>
              </w:rPr>
              <w:t>+41,0</w:t>
            </w:r>
          </w:p>
        </w:tc>
      </w:tr>
      <w:tr>
        <w:tc>
          <w:tcPr>
            <w:tcW w:type="dxa" w:w="1701"/>
            <w:shd w:val="clear" w:color="auto" w:fill="F3F8FB"/>
          </w:tcPr>
          <w:p>
            <w:r/>
            <w:r>
              <w:rPr>
                <w:sz w:val="20"/>
              </w:rPr>
              <w:t>Q3 EBITDA</w:t>
            </w:r>
          </w:p>
        </w:tc>
        <w:tc>
          <w:tcPr>
            <w:tcW w:type="dxa" w:w="1247"/>
            <w:shd w:val="clear" w:color="auto" w:fill="F3F8FB"/>
          </w:tcPr>
          <w:p>
            <w:r/>
            <w:r>
              <w:rPr>
                <w:sz w:val="20"/>
              </w:rPr>
              <w:t>−24,0</w:t>
            </w:r>
          </w:p>
        </w:tc>
        <w:tc>
          <w:tcPr>
            <w:tcW w:type="dxa" w:w="1247"/>
            <w:shd w:val="clear" w:color="auto" w:fill="F3F8FB"/>
          </w:tcPr>
          <w:p>
            <w:r/>
            <w:r>
              <w:rPr>
                <w:sz w:val="20"/>
              </w:rPr>
              <w:t>−9,7</w:t>
            </w:r>
          </w:p>
        </w:tc>
        <w:tc>
          <w:tcPr>
            <w:tcW w:type="dxa" w:w="1247"/>
            <w:shd w:val="clear" w:color="auto" w:fill="F3F8FB"/>
          </w:tcPr>
          <w:p>
            <w:r/>
            <w:r>
              <w:rPr>
                <w:sz w:val="20"/>
              </w:rPr>
              <w:t>+23,0</w:t>
            </w:r>
          </w:p>
        </w:tc>
        <w:tc>
          <w:tcPr>
            <w:tcW w:type="dxa" w:w="1247"/>
            <w:shd w:val="clear" w:color="auto" w:fill="F3F8FB"/>
          </w:tcPr>
          <w:p>
            <w:r/>
            <w:r>
              <w:rPr>
                <w:sz w:val="20"/>
              </w:rPr>
              <w:t>+77,0</w:t>
            </w:r>
          </w:p>
        </w:tc>
        <w:tc>
          <w:tcPr>
            <w:tcW w:type="dxa" w:w="1247"/>
            <w:shd w:val="clear" w:color="auto" w:fill="F3F8FB"/>
          </w:tcPr>
          <w:p>
            <w:r/>
            <w:r>
              <w:rPr>
                <w:sz w:val="20"/>
              </w:rPr>
              <w:t>+72,2</w:t>
            </w:r>
          </w:p>
        </w:tc>
      </w:tr>
    </w:tbl>
    <w:p/>
    <w:p>
      <w:pPr>
        <w:pStyle w:val="Heading2"/>
      </w:pPr>
      <w:r>
        <w:t>12.5. Прогнозный баланс (управленческий, годы)</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020"/>
            <w:shd w:val="clear" w:color="auto" w:fill="0B3D5C"/>
          </w:tcPr>
          <w:p>
            <w:r/>
            <w:r>
              <w:rPr>
                <w:b/>
                <w:color w:val="FFFFFF"/>
                <w:sz w:val="20"/>
              </w:rPr>
              <w:t>Год</w:t>
            </w:r>
          </w:p>
        </w:tc>
        <w:tc>
          <w:tcPr>
            <w:tcW w:type="dxa" w:w="2948"/>
            <w:shd w:val="clear" w:color="auto" w:fill="0B3D5C"/>
          </w:tcPr>
          <w:p>
            <w:r/>
            <w:r>
              <w:rPr>
                <w:b/>
                <w:color w:val="FFFFFF"/>
                <w:sz w:val="20"/>
              </w:rPr>
              <w:t>Активы: ДС + НМА (78)</w:t>
            </w:r>
          </w:p>
        </w:tc>
        <w:tc>
          <w:tcPr>
            <w:tcW w:type="dxa" w:w="4082"/>
            <w:shd w:val="clear" w:color="auto" w:fill="0B3D5C"/>
          </w:tcPr>
          <w:p>
            <w:r/>
            <w:r>
              <w:rPr>
                <w:b/>
                <w:color w:val="FFFFFF"/>
                <w:sz w:val="20"/>
              </w:rPr>
              <w:t>Пассивы: УК + гранты + прибыль + налоги</w:t>
            </w:r>
          </w:p>
        </w:tc>
        <w:tc>
          <w:tcPr>
            <w:tcW w:type="dxa" w:w="1134"/>
            <w:shd w:val="clear" w:color="auto" w:fill="0B3D5C"/>
          </w:tcPr>
          <w:p>
            <w:r/>
            <w:r>
              <w:rPr>
                <w:b/>
                <w:color w:val="FFFFFF"/>
                <w:sz w:val="20"/>
              </w:rPr>
              <w:t>Дисбаланс</w:t>
            </w:r>
          </w:p>
        </w:tc>
      </w:tr>
      <w:tr>
        <w:tc>
          <w:tcPr>
            <w:tcW w:type="dxa" w:w="1020"/>
          </w:tcPr>
          <w:p>
            <w:r/>
            <w:r>
              <w:rPr>
                <w:sz w:val="20"/>
              </w:rPr>
              <w:t>2026</w:t>
            </w:r>
          </w:p>
        </w:tc>
        <w:tc>
          <w:tcPr>
            <w:tcW w:type="dxa" w:w="2948"/>
          </w:tcPr>
          <w:p>
            <w:r/>
            <w:r>
              <w:rPr>
                <w:sz w:val="20"/>
              </w:rPr>
              <w:t>94,0</w:t>
            </w:r>
          </w:p>
        </w:tc>
        <w:tc>
          <w:tcPr>
            <w:tcW w:type="dxa" w:w="4082"/>
          </w:tcPr>
          <w:p>
            <w:r/>
            <w:r>
              <w:rPr>
                <w:sz w:val="20"/>
              </w:rPr>
              <w:t>94,0</w:t>
            </w:r>
          </w:p>
        </w:tc>
        <w:tc>
          <w:tcPr>
            <w:tcW w:type="dxa" w:w="1134"/>
          </w:tcPr>
          <w:p>
            <w:r/>
            <w:r>
              <w:rPr>
                <w:sz w:val="20"/>
              </w:rPr>
              <w:t>1,0</w:t>
            </w:r>
          </w:p>
        </w:tc>
      </w:tr>
      <w:tr>
        <w:tc>
          <w:tcPr>
            <w:tcW w:type="dxa" w:w="1020"/>
            <w:shd w:val="clear" w:color="auto" w:fill="F3F8FB"/>
          </w:tcPr>
          <w:p>
            <w:r/>
            <w:r>
              <w:rPr>
                <w:sz w:val="20"/>
              </w:rPr>
              <w:t>2027</w:t>
            </w:r>
          </w:p>
        </w:tc>
        <w:tc>
          <w:tcPr>
            <w:tcW w:type="dxa" w:w="2948"/>
            <w:shd w:val="clear" w:color="auto" w:fill="F3F8FB"/>
          </w:tcPr>
          <w:p>
            <w:r/>
            <w:r>
              <w:rPr>
                <w:sz w:val="20"/>
              </w:rPr>
              <w:t>141,0</w:t>
            </w:r>
          </w:p>
        </w:tc>
        <w:tc>
          <w:tcPr>
            <w:tcW w:type="dxa" w:w="4082"/>
            <w:shd w:val="clear" w:color="auto" w:fill="F3F8FB"/>
          </w:tcPr>
          <w:p>
            <w:r/>
            <w:r>
              <w:rPr>
                <w:sz w:val="20"/>
              </w:rPr>
              <w:t>103,00000000000000</w:t>
            </w:r>
          </w:p>
        </w:tc>
        <w:tc>
          <w:tcPr>
            <w:tcW w:type="dxa" w:w="1134"/>
            <w:shd w:val="clear" w:color="auto" w:fill="F3F8FB"/>
          </w:tcPr>
          <w:p>
            <w:r/>
            <w:r>
              <w:rPr>
                <w:sz w:val="20"/>
              </w:rPr>
              <w:t>1,0</w:t>
            </w:r>
          </w:p>
        </w:tc>
      </w:tr>
      <w:tr>
        <w:tc>
          <w:tcPr>
            <w:tcW w:type="dxa" w:w="1020"/>
          </w:tcPr>
          <w:p>
            <w:r/>
            <w:r>
              <w:rPr>
                <w:sz w:val="20"/>
              </w:rPr>
              <w:t>2028</w:t>
            </w:r>
          </w:p>
        </w:tc>
        <w:tc>
          <w:tcPr>
            <w:tcW w:type="dxa" w:w="2948"/>
          </w:tcPr>
          <w:p>
            <w:r/>
            <w:r>
              <w:rPr>
                <w:sz w:val="20"/>
              </w:rPr>
              <w:t>104,0</w:t>
            </w:r>
          </w:p>
        </w:tc>
        <w:tc>
          <w:tcPr>
            <w:tcW w:type="dxa" w:w="4082"/>
          </w:tcPr>
          <w:p>
            <w:r/>
            <w:r>
              <w:rPr>
                <w:sz w:val="20"/>
              </w:rPr>
              <w:t>113,00000000000000</w:t>
            </w:r>
          </w:p>
        </w:tc>
        <w:tc>
          <w:tcPr>
            <w:tcW w:type="dxa" w:w="1134"/>
          </w:tcPr>
          <w:p>
            <w:r/>
            <w:r>
              <w:rPr>
                <w:sz w:val="20"/>
              </w:rPr>
              <w:t>1,0</w:t>
            </w:r>
          </w:p>
        </w:tc>
      </w:tr>
      <w:tr>
        <w:tc>
          <w:tcPr>
            <w:tcW w:type="dxa" w:w="1020"/>
            <w:shd w:val="clear" w:color="auto" w:fill="F3F8FB"/>
          </w:tcPr>
          <w:p>
            <w:r/>
            <w:r>
              <w:rPr>
                <w:sz w:val="20"/>
              </w:rPr>
              <w:t>2029</w:t>
            </w:r>
          </w:p>
        </w:tc>
        <w:tc>
          <w:tcPr>
            <w:tcW w:type="dxa" w:w="2948"/>
            <w:shd w:val="clear" w:color="auto" w:fill="F3F8FB"/>
          </w:tcPr>
          <w:p>
            <w:r/>
            <w:r>
              <w:rPr>
                <w:sz w:val="20"/>
              </w:rPr>
              <w:t>119,0</w:t>
            </w:r>
          </w:p>
        </w:tc>
        <w:tc>
          <w:tcPr>
            <w:tcW w:type="dxa" w:w="4082"/>
            <w:shd w:val="clear" w:color="auto" w:fill="F3F8FB"/>
          </w:tcPr>
          <w:p>
            <w:r/>
            <w:r>
              <w:rPr>
                <w:sz w:val="20"/>
              </w:rPr>
              <w:t>119,0</w:t>
            </w:r>
          </w:p>
        </w:tc>
        <w:tc>
          <w:tcPr>
            <w:tcW w:type="dxa" w:w="1134"/>
            <w:shd w:val="clear" w:color="auto" w:fill="F3F8FB"/>
          </w:tcPr>
          <w:p>
            <w:r/>
            <w:r>
              <w:rPr>
                <w:sz w:val="20"/>
              </w:rPr>
              <w:t>1,0</w:t>
            </w:r>
          </w:p>
        </w:tc>
      </w:tr>
      <w:tr>
        <w:tc>
          <w:tcPr>
            <w:tcW w:type="dxa" w:w="1020"/>
          </w:tcPr>
          <w:p>
            <w:r/>
            <w:r>
              <w:rPr>
                <w:sz w:val="20"/>
              </w:rPr>
              <w:t>2030</w:t>
            </w:r>
          </w:p>
        </w:tc>
        <w:tc>
          <w:tcPr>
            <w:tcW w:type="dxa" w:w="2948"/>
          </w:tcPr>
          <w:p>
            <w:r/>
            <w:r>
              <w:rPr>
                <w:sz w:val="20"/>
              </w:rPr>
              <w:t>345,0</w:t>
            </w:r>
          </w:p>
        </w:tc>
        <w:tc>
          <w:tcPr>
            <w:tcW w:type="dxa" w:w="4082"/>
          </w:tcPr>
          <w:p>
            <w:r/>
            <w:r>
              <w:rPr>
                <w:sz w:val="20"/>
              </w:rPr>
              <w:t>345,0</w:t>
            </w:r>
          </w:p>
        </w:tc>
        <w:tc>
          <w:tcPr>
            <w:tcW w:type="dxa" w:w="1134"/>
          </w:tcPr>
          <w:p>
            <w:r/>
            <w:r>
              <w:rPr>
                <w:sz w:val="20"/>
              </w:rPr>
              <w:t>1,0</w:t>
            </w:r>
          </w:p>
        </w:tc>
      </w:tr>
    </w:tbl>
    <w:p/>
    <w:p>
      <w:r>
        <w:rPr>
          <w:i/>
          <w:color w:val="5A6A7A"/>
          <w:sz w:val="18"/>
        </w:rPr>
        <w:t>Пассивы: уставный капитал (78 млн ₽ ИС + раунды накопительно), гранты (приравненные поступления), нераспределённая прибыль и накопленное налоговое обязательство. Дисбаланс = 1 по построению (контроль модели).</w:t>
      </w:r>
    </w:p>
    <w:p>
      <w:r>
        <w:drawing>
          <wp:inline xmlns:a="http://schemas.openxmlformats.org/drawingml/2006/main" xmlns:pic="http://schemas.openxmlformats.org/drawingml/2006/picture">
            <wp:extent cx="5580000" cy="2428941"/>
            <wp:docPr id="8" name="Picture 8"/>
            <wp:cNvGraphicFramePr>
              <a:graphicFrameLocks noChangeAspect="1"/>
            </wp:cNvGraphicFramePr>
            <a:graphic>
              <a:graphicData uri="http://schemas.openxmlformats.org/drawingml/2006/picture">
                <pic:pic>
                  <pic:nvPicPr>
                    <pic:cNvPr id="0" name="bp_chart_balance.png"/>
                    <pic:cNvPicPr/>
                  </pic:nvPicPr>
                  <pic:blipFill>
                    <a:blip r:embed="rId17"/>
                    <a:stretch>
                      <a:fillRect/>
                    </a:stretch>
                  </pic:blipFill>
                  <pic:spPr>
                    <a:xfrm>
                      <a:off x="0" y="0"/>
                      <a:ext cx="5580000" cy="2428941"/>
                    </a:xfrm>
                    <a:prstGeom prst="rect"/>
                  </pic:spPr>
                </pic:pic>
              </a:graphicData>
            </a:graphic>
          </wp:inline>
        </w:drawing>
      </w:r>
    </w:p>
    <w:p>
      <w:pPr>
        <w:jc w:val="center"/>
      </w:pPr>
      <w:r>
        <w:rPr>
          <w:i/>
          <w:color w:val="5A6A7A"/>
          <w:sz w:val="19"/>
        </w:rPr>
        <w:t>Рис. 6.9. Прогнозный баланс и денежный контур</w:t>
      </w:r>
    </w:p>
    <w:p>
      <w:pPr>
        <w:jc w:val="center"/>
      </w:pPr>
      <w:r>
        <w:rPr>
          <w:color w:val="5A6A7A"/>
          <w:sz w:val="16"/>
        </w:rPr>
        <w:t>Источник: расчёт модели.</w:t>
      </w:r>
    </w:p>
    <w:p/>
    <w:p>
      <w:pPr>
        <w:pStyle w:val="Heading3"/>
      </w:pPr>
      <w:r>
        <w:t>Детализация баланса по строкам (млн ₽)</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3175"/>
            <w:shd w:val="clear" w:color="auto" w:fill="0B3D5C"/>
          </w:tcPr>
          <w:p>
            <w:r/>
            <w:r>
              <w:rPr>
                <w:b/>
                <w:color w:val="FFFFFF"/>
                <w:sz w:val="20"/>
              </w:rPr>
              <w:t>Строка баланса</w:t>
            </w:r>
          </w:p>
        </w:tc>
        <w:tc>
          <w:tcPr>
            <w:tcW w:type="dxa" w:w="1191"/>
            <w:shd w:val="clear" w:color="auto" w:fill="0B3D5C"/>
          </w:tcPr>
          <w:p>
            <w:r/>
            <w:r>
              <w:rPr>
                <w:b/>
                <w:color w:val="FFFFFF"/>
                <w:sz w:val="20"/>
              </w:rPr>
              <w:t>2026</w:t>
            </w:r>
          </w:p>
        </w:tc>
        <w:tc>
          <w:tcPr>
            <w:tcW w:type="dxa" w:w="1191"/>
            <w:shd w:val="clear" w:color="auto" w:fill="0B3D5C"/>
          </w:tcPr>
          <w:p>
            <w:r/>
            <w:r>
              <w:rPr>
                <w:b/>
                <w:color w:val="FFFFFF"/>
                <w:sz w:val="20"/>
              </w:rPr>
              <w:t>2027</w:t>
            </w:r>
          </w:p>
        </w:tc>
        <w:tc>
          <w:tcPr>
            <w:tcW w:type="dxa" w:w="1191"/>
            <w:shd w:val="clear" w:color="auto" w:fill="0B3D5C"/>
          </w:tcPr>
          <w:p>
            <w:r/>
            <w:r>
              <w:rPr>
                <w:b/>
                <w:color w:val="FFFFFF"/>
                <w:sz w:val="20"/>
              </w:rPr>
              <w:t>2028</w:t>
            </w:r>
          </w:p>
        </w:tc>
        <w:tc>
          <w:tcPr>
            <w:tcW w:type="dxa" w:w="1191"/>
            <w:shd w:val="clear" w:color="auto" w:fill="0B3D5C"/>
          </w:tcPr>
          <w:p>
            <w:r/>
            <w:r>
              <w:rPr>
                <w:b/>
                <w:color w:val="FFFFFF"/>
                <w:sz w:val="20"/>
              </w:rPr>
              <w:t>2029</w:t>
            </w:r>
          </w:p>
        </w:tc>
        <w:tc>
          <w:tcPr>
            <w:tcW w:type="dxa" w:w="1191"/>
            <w:shd w:val="clear" w:color="auto" w:fill="0B3D5C"/>
          </w:tcPr>
          <w:p>
            <w:r/>
            <w:r>
              <w:rPr>
                <w:b/>
                <w:color w:val="FFFFFF"/>
                <w:sz w:val="20"/>
              </w:rPr>
              <w:t>2030</w:t>
            </w:r>
          </w:p>
        </w:tc>
      </w:tr>
      <w:tr>
        <w:tc>
          <w:tcPr>
            <w:tcW w:type="dxa" w:w="3175"/>
          </w:tcPr>
          <w:p>
            <w:r/>
            <w:r>
              <w:rPr>
                <w:sz w:val="20"/>
              </w:rPr>
              <w:t>УК (накопит.)</w:t>
            </w:r>
          </w:p>
        </w:tc>
        <w:tc>
          <w:tcPr>
            <w:tcW w:type="dxa" w:w="1191"/>
          </w:tcPr>
          <w:p>
            <w:r/>
            <w:r>
              <w:rPr>
                <w:sz w:val="20"/>
              </w:rPr>
              <w:t>58</w:t>
            </w:r>
          </w:p>
        </w:tc>
        <w:tc>
          <w:tcPr>
            <w:tcW w:type="dxa" w:w="1191"/>
          </w:tcPr>
          <w:p>
            <w:r/>
            <w:r>
              <w:rPr>
                <w:sz w:val="20"/>
              </w:rPr>
              <w:t>136</w:t>
            </w:r>
          </w:p>
        </w:tc>
        <w:tc>
          <w:tcPr>
            <w:tcW w:type="dxa" w:w="1191"/>
          </w:tcPr>
          <w:p>
            <w:r/>
            <w:r>
              <w:rPr>
                <w:sz w:val="20"/>
              </w:rPr>
              <w:t>136</w:t>
            </w:r>
          </w:p>
        </w:tc>
        <w:tc>
          <w:tcPr>
            <w:tcW w:type="dxa" w:w="1191"/>
          </w:tcPr>
          <w:p>
            <w:r/>
            <w:r>
              <w:rPr>
                <w:sz w:val="20"/>
              </w:rPr>
              <w:t>136</w:t>
            </w:r>
          </w:p>
        </w:tc>
        <w:tc>
          <w:tcPr>
            <w:tcW w:type="dxa" w:w="1191"/>
          </w:tcPr>
          <w:p>
            <w:r/>
            <w:r>
              <w:rPr>
                <w:sz w:val="20"/>
              </w:rPr>
              <w:t>136</w:t>
            </w:r>
          </w:p>
        </w:tc>
      </w:tr>
      <w:tr>
        <w:tc>
          <w:tcPr>
            <w:tcW w:type="dxa" w:w="3175"/>
            <w:shd w:val="clear" w:color="auto" w:fill="F3F8FB"/>
          </w:tcPr>
          <w:p>
            <w:r/>
            <w:r>
              <w:rPr>
                <w:sz w:val="20"/>
              </w:rPr>
              <w:t>Нераспр. прибыль</w:t>
            </w:r>
          </w:p>
        </w:tc>
        <w:tc>
          <w:tcPr>
            <w:tcW w:type="dxa" w:w="1191"/>
            <w:shd w:val="clear" w:color="auto" w:fill="F3F8FB"/>
          </w:tcPr>
          <w:p>
            <w:r/>
            <w:r>
              <w:rPr>
                <w:sz w:val="20"/>
              </w:rPr>
              <w:t>-67</w:t>
            </w:r>
          </w:p>
        </w:tc>
        <w:tc>
          <w:tcPr>
            <w:tcW w:type="dxa" w:w="1191"/>
            <w:shd w:val="clear" w:color="auto" w:fill="F3F8FB"/>
          </w:tcPr>
          <w:p>
            <w:r/>
            <w:r>
              <w:rPr>
                <w:sz w:val="20"/>
              </w:rPr>
              <w:t>-111</w:t>
            </w:r>
          </w:p>
        </w:tc>
        <w:tc>
          <w:tcPr>
            <w:tcW w:type="dxa" w:w="1191"/>
            <w:shd w:val="clear" w:color="auto" w:fill="F3F8FB"/>
          </w:tcPr>
          <w:p>
            <w:r/>
            <w:r>
              <w:rPr>
                <w:sz w:val="20"/>
              </w:rPr>
              <w:t>-128</w:t>
            </w:r>
          </w:p>
        </w:tc>
        <w:tc>
          <w:tcPr>
            <w:tcW w:type="dxa" w:w="1191"/>
            <w:shd w:val="clear" w:color="auto" w:fill="F3F8FB"/>
          </w:tcPr>
          <w:p>
            <w:r/>
            <w:r>
              <w:rPr>
                <w:sz w:val="20"/>
              </w:rPr>
              <w:t>-28</w:t>
            </w:r>
          </w:p>
        </w:tc>
        <w:tc>
          <w:tcPr>
            <w:tcW w:type="dxa" w:w="1191"/>
            <w:shd w:val="clear" w:color="auto" w:fill="F3F8FB"/>
          </w:tcPr>
          <w:p>
            <w:r/>
            <w:r>
              <w:rPr>
                <w:sz w:val="20"/>
              </w:rPr>
              <w:t>173</w:t>
            </w:r>
          </w:p>
        </w:tc>
      </w:tr>
      <w:tr>
        <w:tc>
          <w:tcPr>
            <w:tcW w:type="dxa" w:w="3175"/>
          </w:tcPr>
          <w:p>
            <w:r/>
            <w:r>
              <w:rPr>
                <w:sz w:val="20"/>
              </w:rPr>
              <w:t>Гранты</w:t>
            </w:r>
          </w:p>
        </w:tc>
        <w:tc>
          <w:tcPr>
            <w:tcW w:type="dxa" w:w="1191"/>
          </w:tcPr>
          <w:p>
            <w:r/>
            <w:r>
              <w:rPr>
                <w:sz w:val="20"/>
              </w:rPr>
              <w:t>8</w:t>
            </w:r>
          </w:p>
        </w:tc>
        <w:tc>
          <w:tcPr>
            <w:tcW w:type="dxa" w:w="1191"/>
          </w:tcPr>
          <w:p>
            <w:r/>
            <w:r>
              <w:rPr>
                <w:sz w:val="20"/>
              </w:rPr>
              <w:t>22</w:t>
            </w:r>
          </w:p>
        </w:tc>
        <w:tc>
          <w:tcPr>
            <w:tcW w:type="dxa" w:w="1191"/>
          </w:tcPr>
          <w:p>
            <w:r/>
            <w:r>
              <w:rPr>
                <w:sz w:val="20"/>
              </w:rPr>
              <w:t>32</w:t>
            </w:r>
          </w:p>
        </w:tc>
        <w:tc>
          <w:tcPr>
            <w:tcW w:type="dxa" w:w="1191"/>
          </w:tcPr>
          <w:p>
            <w:r/>
            <w:r>
              <w:rPr>
                <w:sz w:val="20"/>
              </w:rPr>
              <w:t>32</w:t>
            </w:r>
          </w:p>
        </w:tc>
        <w:tc>
          <w:tcPr>
            <w:tcW w:type="dxa" w:w="1191"/>
          </w:tcPr>
          <w:p>
            <w:r/>
            <w:r>
              <w:rPr>
                <w:sz w:val="20"/>
              </w:rPr>
              <w:t>17</w:t>
            </w:r>
          </w:p>
        </w:tc>
      </w:tr>
      <w:tr>
        <w:tc>
          <w:tcPr>
            <w:tcW w:type="dxa" w:w="3175"/>
            <w:shd w:val="clear" w:color="auto" w:fill="F3F8FB"/>
          </w:tcPr>
          <w:p>
            <w:r/>
            <w:r>
              <w:rPr>
                <w:sz w:val="20"/>
              </w:rPr>
              <w:t>Налог. обязательство</w:t>
            </w:r>
          </w:p>
        </w:tc>
        <w:tc>
          <w:tcPr>
            <w:tcW w:type="dxa" w:w="1191"/>
            <w:shd w:val="clear" w:color="auto" w:fill="F3F8FB"/>
          </w:tcPr>
          <w:p>
            <w:r/>
            <w:r>
              <w:rPr>
                <w:sz w:val="20"/>
              </w:rPr>
              <w:t>1</w:t>
            </w:r>
          </w:p>
        </w:tc>
        <w:tc>
          <w:tcPr>
            <w:tcW w:type="dxa" w:w="1191"/>
            <w:shd w:val="clear" w:color="auto" w:fill="F3F8FB"/>
          </w:tcPr>
          <w:p>
            <w:r/>
            <w:r>
              <w:rPr>
                <w:sz w:val="20"/>
              </w:rPr>
              <w:t>1</w:t>
            </w:r>
          </w:p>
        </w:tc>
        <w:tc>
          <w:tcPr>
            <w:tcW w:type="dxa" w:w="1191"/>
            <w:shd w:val="clear" w:color="auto" w:fill="F3F8FB"/>
          </w:tcPr>
          <w:p>
            <w:r/>
            <w:r>
              <w:rPr>
                <w:sz w:val="20"/>
              </w:rPr>
              <w:t>1</w:t>
            </w:r>
          </w:p>
        </w:tc>
        <w:tc>
          <w:tcPr>
            <w:tcW w:type="dxa" w:w="1191"/>
            <w:shd w:val="clear" w:color="auto" w:fill="F3F8FB"/>
          </w:tcPr>
          <w:p>
            <w:r/>
            <w:r>
              <w:rPr>
                <w:sz w:val="20"/>
              </w:rPr>
              <w:t>7</w:t>
            </w:r>
          </w:p>
        </w:tc>
        <w:tc>
          <w:tcPr>
            <w:tcW w:type="dxa" w:w="1191"/>
            <w:shd w:val="clear" w:color="auto" w:fill="F3F8FB"/>
          </w:tcPr>
          <w:p>
            <w:r/>
            <w:r>
              <w:rPr>
                <w:sz w:val="20"/>
              </w:rPr>
              <w:t>14</w:t>
            </w:r>
          </w:p>
        </w:tc>
      </w:tr>
      <w:tr>
        <w:tc>
          <w:tcPr>
            <w:tcW w:type="dxa" w:w="3175"/>
          </w:tcPr>
          <w:p>
            <w:r/>
            <w:r>
              <w:rPr>
                <w:sz w:val="20"/>
              </w:rPr>
              <w:t>Дисбаланс</w:t>
            </w:r>
          </w:p>
        </w:tc>
        <w:tc>
          <w:tcPr>
            <w:tcW w:type="dxa" w:w="1191"/>
          </w:tcPr>
          <w:p>
            <w:r/>
            <w:r>
              <w:rPr>
                <w:sz w:val="20"/>
              </w:rPr>
              <w:t>1</w:t>
            </w:r>
          </w:p>
        </w:tc>
        <w:tc>
          <w:tcPr>
            <w:tcW w:type="dxa" w:w="1191"/>
          </w:tcPr>
          <w:p>
            <w:r/>
            <w:r>
              <w:rPr>
                <w:sz w:val="20"/>
              </w:rPr>
              <w:t>1</w:t>
            </w:r>
          </w:p>
        </w:tc>
        <w:tc>
          <w:tcPr>
            <w:tcW w:type="dxa" w:w="1191"/>
          </w:tcPr>
          <w:p>
            <w:r/>
            <w:r>
              <w:rPr>
                <w:sz w:val="20"/>
              </w:rPr>
              <w:t>1</w:t>
            </w:r>
          </w:p>
        </w:tc>
        <w:tc>
          <w:tcPr>
            <w:tcW w:type="dxa" w:w="1191"/>
          </w:tcPr>
          <w:p>
            <w:r/>
            <w:r>
              <w:rPr>
                <w:sz w:val="20"/>
              </w:rPr>
              <w:t>1</w:t>
            </w:r>
          </w:p>
        </w:tc>
        <w:tc>
          <w:tcPr>
            <w:tcW w:type="dxa" w:w="1191"/>
          </w:tcPr>
          <w:p>
            <w:r/>
            <w:r>
              <w:rPr>
                <w:sz w:val="20"/>
              </w:rPr>
              <w:t>1</w:t>
            </w:r>
          </w:p>
        </w:tc>
      </w:tr>
    </w:tbl>
    <w:p/>
    <w:p>
      <w:r>
        <w:rPr>
          <w:i/>
          <w:color w:val="5A6A7A"/>
          <w:sz w:val="18"/>
        </w:rPr>
        <w:t>Дисбаланс = 1 по построению; активы = ДС + НМА 78 (см. Рис. 6.9).</w:t>
      </w:r>
    </w:p>
    <w:p>
      <w:pPr>
        <w:pStyle w:val="Heading2"/>
      </w:pPr>
      <w:r>
        <w:t>12.6. Отчёт о движении денежных средств</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3402"/>
            <w:shd w:val="clear" w:color="auto" w:fill="0B3D5C"/>
          </w:tcPr>
          <w:p>
            <w:r/>
            <w:r>
              <w:rPr>
                <w:b/>
                <w:color w:val="FFFFFF"/>
                <w:sz w:val="20"/>
              </w:rPr>
              <w:t>Показатель, млн ₽</w:t>
            </w:r>
          </w:p>
        </w:tc>
        <w:tc>
          <w:tcPr>
            <w:tcW w:type="dxa" w:w="1191"/>
            <w:shd w:val="clear" w:color="auto" w:fill="0B3D5C"/>
          </w:tcPr>
          <w:p>
            <w:r/>
            <w:r>
              <w:rPr>
                <w:b/>
                <w:color w:val="FFFFFF"/>
                <w:sz w:val="20"/>
              </w:rPr>
              <w:t>2026</w:t>
            </w:r>
          </w:p>
        </w:tc>
        <w:tc>
          <w:tcPr>
            <w:tcW w:type="dxa" w:w="1191"/>
            <w:shd w:val="clear" w:color="auto" w:fill="0B3D5C"/>
          </w:tcPr>
          <w:p>
            <w:r/>
            <w:r>
              <w:rPr>
                <w:b/>
                <w:color w:val="FFFFFF"/>
                <w:sz w:val="20"/>
              </w:rPr>
              <w:t>2027</w:t>
            </w:r>
          </w:p>
        </w:tc>
        <w:tc>
          <w:tcPr>
            <w:tcW w:type="dxa" w:w="1191"/>
            <w:shd w:val="clear" w:color="auto" w:fill="0B3D5C"/>
          </w:tcPr>
          <w:p>
            <w:r/>
            <w:r>
              <w:rPr>
                <w:b/>
                <w:color w:val="FFFFFF"/>
                <w:sz w:val="20"/>
              </w:rPr>
              <w:t>2028</w:t>
            </w:r>
          </w:p>
        </w:tc>
        <w:tc>
          <w:tcPr>
            <w:tcW w:type="dxa" w:w="1191"/>
            <w:shd w:val="clear" w:color="auto" w:fill="0B3D5C"/>
          </w:tcPr>
          <w:p>
            <w:r/>
            <w:r>
              <w:rPr>
                <w:b/>
                <w:color w:val="FFFFFF"/>
                <w:sz w:val="20"/>
              </w:rPr>
              <w:t>2029</w:t>
            </w:r>
          </w:p>
        </w:tc>
        <w:tc>
          <w:tcPr>
            <w:tcW w:type="dxa" w:w="1191"/>
            <w:shd w:val="clear" w:color="auto" w:fill="0B3D5C"/>
          </w:tcPr>
          <w:p>
            <w:r/>
            <w:r>
              <w:rPr>
                <w:b/>
                <w:color w:val="FFFFFF"/>
                <w:sz w:val="20"/>
              </w:rPr>
              <w:t>2030</w:t>
            </w:r>
          </w:p>
        </w:tc>
      </w:tr>
      <w:tr>
        <w:tc>
          <w:tcPr>
            <w:tcW w:type="dxa" w:w="3402"/>
          </w:tcPr>
          <w:p>
            <w:r/>
            <w:r>
              <w:rPr>
                <w:sz w:val="20"/>
              </w:rPr>
              <w:t>Операционный поток (EBITDA, прокси)</w:t>
            </w:r>
          </w:p>
        </w:tc>
        <w:tc>
          <w:tcPr>
            <w:tcW w:type="dxa" w:w="1191"/>
          </w:tcPr>
          <w:p>
            <w:r/>
            <w:r>
              <w:rPr>
                <w:sz w:val="20"/>
              </w:rPr>
              <w:t>−94,0</w:t>
            </w:r>
          </w:p>
        </w:tc>
        <w:tc>
          <w:tcPr>
            <w:tcW w:type="dxa" w:w="1191"/>
          </w:tcPr>
          <w:p>
            <w:r/>
            <w:r>
              <w:rPr>
                <w:sz w:val="20"/>
              </w:rPr>
              <w:t>−51,0</w:t>
            </w:r>
          </w:p>
        </w:tc>
        <w:tc>
          <w:tcPr>
            <w:tcW w:type="dxa" w:w="1191"/>
          </w:tcPr>
          <w:p>
            <w:r/>
            <w:r>
              <w:rPr>
                <w:sz w:val="20"/>
              </w:rPr>
              <w:t>+7,2</w:t>
            </w:r>
          </w:p>
        </w:tc>
        <w:tc>
          <w:tcPr>
            <w:tcW w:type="dxa" w:w="1191"/>
          </w:tcPr>
          <w:p>
            <w:r/>
            <w:r>
              <w:rPr>
                <w:sz w:val="20"/>
              </w:rPr>
              <w:t>+103,0</w:t>
            </w:r>
          </w:p>
        </w:tc>
        <w:tc>
          <w:tcPr>
            <w:tcW w:type="dxa" w:w="1191"/>
          </w:tcPr>
          <w:p>
            <w:r/>
            <w:r>
              <w:rPr>
                <w:sz w:val="20"/>
              </w:rPr>
              <w:t>+963,2</w:t>
            </w:r>
          </w:p>
        </w:tc>
      </w:tr>
      <w:tr>
        <w:tc>
          <w:tcPr>
            <w:tcW w:type="dxa" w:w="3402"/>
            <w:shd w:val="clear" w:color="auto" w:fill="F3F8FB"/>
          </w:tcPr>
          <w:p>
            <w:r/>
            <w:r>
              <w:rPr>
                <w:sz w:val="20"/>
              </w:rPr>
              <w:t>Инвестиционный поток</w:t>
            </w:r>
          </w:p>
        </w:tc>
        <w:tc>
          <w:tcPr>
            <w:tcW w:type="dxa" w:w="1191"/>
            <w:shd w:val="clear" w:color="auto" w:fill="F3F8FB"/>
          </w:tcPr>
          <w:p>
            <w:r/>
            <w:r>
              <w:rPr>
                <w:sz w:val="20"/>
              </w:rPr>
              <w:t>− ОС: незначит.</w:t>
            </w:r>
          </w:p>
        </w:tc>
        <w:tc>
          <w:tcPr>
            <w:tcW w:type="dxa" w:w="1191"/>
            <w:shd w:val="clear" w:color="auto" w:fill="F3F8FB"/>
          </w:tcPr>
          <w:p>
            <w:r/>
            <w:r>
              <w:rPr>
                <w:sz w:val="20"/>
              </w:rPr>
              <w:t>− ОС: незначит.</w:t>
            </w:r>
          </w:p>
        </w:tc>
        <w:tc>
          <w:tcPr>
            <w:tcW w:type="dxa" w:w="1191"/>
            <w:shd w:val="clear" w:color="auto" w:fill="F3F8FB"/>
          </w:tcPr>
          <w:p>
            <w:r/>
            <w:r>
              <w:rPr>
                <w:sz w:val="20"/>
              </w:rPr>
              <w:t>− ОС</w:t>
            </w:r>
          </w:p>
        </w:tc>
        <w:tc>
          <w:tcPr>
            <w:tcW w:type="dxa" w:w="1191"/>
            <w:shd w:val="clear" w:color="auto" w:fill="F3F8FB"/>
          </w:tcPr>
          <w:p>
            <w:r/>
            <w:r>
              <w:rPr>
                <w:sz w:val="20"/>
              </w:rPr>
              <w:t>− ОС</w:t>
            </w:r>
          </w:p>
        </w:tc>
        <w:tc>
          <w:tcPr>
            <w:tcW w:type="dxa" w:w="1191"/>
            <w:shd w:val="clear" w:color="auto" w:fill="F3F8FB"/>
          </w:tcPr>
          <w:p>
            <w:r/>
            <w:r>
              <w:rPr>
                <w:sz w:val="20"/>
              </w:rPr>
              <w:t>− ОС</w:t>
            </w:r>
          </w:p>
        </w:tc>
      </w:tr>
      <w:tr>
        <w:tc>
          <w:tcPr>
            <w:tcW w:type="dxa" w:w="3402"/>
          </w:tcPr>
          <w:p>
            <w:r/>
            <w:r>
              <w:rPr>
                <w:sz w:val="20"/>
              </w:rPr>
              <w:t>Финансирование: Seed + Series A</w:t>
            </w:r>
          </w:p>
        </w:tc>
        <w:tc>
          <w:tcPr>
            <w:tcW w:type="dxa" w:w="1191"/>
          </w:tcPr>
          <w:p>
            <w:r/>
            <w:r>
              <w:rPr>
                <w:sz w:val="20"/>
              </w:rPr>
              <w:t>+58</w:t>
            </w:r>
          </w:p>
        </w:tc>
        <w:tc>
          <w:tcPr>
            <w:tcW w:type="dxa" w:w="1191"/>
          </w:tcPr>
          <w:p>
            <w:r/>
            <w:r>
              <w:rPr>
                <w:sz w:val="20"/>
              </w:rPr>
              <w:t>+78</w:t>
            </w:r>
          </w:p>
        </w:tc>
        <w:tc>
          <w:tcPr>
            <w:tcW w:type="dxa" w:w="1191"/>
          </w:tcPr>
          <w:p>
            <w:r/>
            <w:r>
              <w:rPr>
                <w:sz w:val="20"/>
              </w:rPr>
              <w:t>—</w:t>
            </w:r>
          </w:p>
        </w:tc>
        <w:tc>
          <w:tcPr>
            <w:tcW w:type="dxa" w:w="1191"/>
          </w:tcPr>
          <w:p>
            <w:r/>
            <w:r>
              <w:rPr>
                <w:sz w:val="20"/>
              </w:rPr>
              <w:t>—</w:t>
            </w:r>
          </w:p>
        </w:tc>
        <w:tc>
          <w:tcPr>
            <w:tcW w:type="dxa" w:w="1191"/>
          </w:tcPr>
          <w:p>
            <w:r/>
            <w:r>
              <w:rPr>
                <w:sz w:val="20"/>
              </w:rPr>
              <w:t>—</w:t>
            </w:r>
          </w:p>
        </w:tc>
      </w:tr>
      <w:tr>
        <w:tc>
          <w:tcPr>
            <w:tcW w:type="dxa" w:w="3402"/>
            <w:shd w:val="clear" w:color="auto" w:fill="F3F8FB"/>
          </w:tcPr>
          <w:p>
            <w:r/>
            <w:r>
              <w:rPr>
                <w:sz w:val="20"/>
              </w:rPr>
              <w:t>Финансирование: гранты</w:t>
            </w:r>
          </w:p>
        </w:tc>
        <w:tc>
          <w:tcPr>
            <w:tcW w:type="dxa" w:w="1191"/>
            <w:shd w:val="clear" w:color="auto" w:fill="F3F8FB"/>
          </w:tcPr>
          <w:p>
            <w:r/>
            <w:r>
              <w:rPr>
                <w:sz w:val="20"/>
              </w:rPr>
              <w:t>+8</w:t>
            </w:r>
          </w:p>
        </w:tc>
        <w:tc>
          <w:tcPr>
            <w:tcW w:type="dxa" w:w="1191"/>
            <w:shd w:val="clear" w:color="auto" w:fill="F3F8FB"/>
          </w:tcPr>
          <w:p>
            <w:r/>
            <w:r>
              <w:rPr>
                <w:sz w:val="20"/>
              </w:rPr>
              <w:t>+6</w:t>
            </w:r>
          </w:p>
        </w:tc>
        <w:tc>
          <w:tcPr>
            <w:tcW w:type="dxa" w:w="1191"/>
            <w:shd w:val="clear" w:color="auto" w:fill="F3F8FB"/>
          </w:tcPr>
          <w:p>
            <w:r/>
            <w:r>
              <w:rPr>
                <w:sz w:val="20"/>
              </w:rPr>
              <w:t>+13</w:t>
            </w:r>
          </w:p>
        </w:tc>
        <w:tc>
          <w:tcPr>
            <w:tcW w:type="dxa" w:w="1191"/>
            <w:shd w:val="clear" w:color="auto" w:fill="F3F8FB"/>
          </w:tcPr>
          <w:p>
            <w:r/>
            <w:r>
              <w:rPr>
                <w:sz w:val="20"/>
              </w:rPr>
              <w:t>+3</w:t>
            </w:r>
          </w:p>
        </w:tc>
        <w:tc>
          <w:tcPr>
            <w:tcW w:type="dxa" w:w="1191"/>
            <w:shd w:val="clear" w:color="auto" w:fill="F3F8FB"/>
          </w:tcPr>
          <w:p>
            <w:r/>
            <w:r>
              <w:rPr>
                <w:sz w:val="20"/>
              </w:rPr>
              <w:t>+3</w:t>
            </w:r>
          </w:p>
        </w:tc>
      </w:tr>
      <w:tr>
        <w:tc>
          <w:tcPr>
            <w:tcW w:type="dxa" w:w="3402"/>
          </w:tcPr>
          <w:p>
            <w:r/>
            <w:r>
              <w:rPr>
                <w:sz w:val="20"/>
              </w:rPr>
              <w:t>Остаток на конец года</w:t>
            </w:r>
          </w:p>
        </w:tc>
        <w:tc>
          <w:tcPr>
            <w:tcW w:type="dxa" w:w="1191"/>
          </w:tcPr>
          <w:p>
            <w:r/>
            <w:r>
              <w:rPr>
                <w:sz w:val="20"/>
              </w:rPr>
              <w:t>0,4</w:t>
            </w:r>
          </w:p>
        </w:tc>
        <w:tc>
          <w:tcPr>
            <w:tcW w:type="dxa" w:w="1191"/>
          </w:tcPr>
          <w:p>
            <w:r/>
            <w:r>
              <w:rPr>
                <w:sz w:val="20"/>
              </w:rPr>
              <w:t>38,0</w:t>
            </w:r>
          </w:p>
        </w:tc>
        <w:tc>
          <w:tcPr>
            <w:tcW w:type="dxa" w:w="1191"/>
          </w:tcPr>
          <w:p>
            <w:r/>
            <w:r>
              <w:rPr>
                <w:sz w:val="20"/>
              </w:rPr>
              <w:t>47,0</w:t>
            </w:r>
          </w:p>
        </w:tc>
        <w:tc>
          <w:tcPr>
            <w:tcW w:type="dxa" w:w="1191"/>
          </w:tcPr>
          <w:p>
            <w:r/>
            <w:r>
              <w:rPr>
                <w:sz w:val="20"/>
              </w:rPr>
              <w:t>206,0</w:t>
            </w:r>
          </w:p>
        </w:tc>
        <w:tc>
          <w:tcPr>
            <w:tcW w:type="dxa" w:w="1191"/>
          </w:tcPr>
          <w:p>
            <w:r/>
            <w:r>
              <w:rPr>
                <w:sz w:val="20"/>
              </w:rPr>
              <w:t>189,0</w:t>
            </w:r>
          </w:p>
        </w:tc>
      </w:tr>
    </w:tbl>
    <w:p/>
    <w:p>
      <w:r>
        <w:rPr>
          <w:i/>
          <w:color w:val="5A6A7A"/>
          <w:sz w:val="18"/>
        </w:rPr>
        <w:t>Минимальный квартальный остаток ДС за весь горизонт — 0,39 млн ₽ (2026Q1); в серии годовых точек остаток всегда ≥ 0,4 млн ₽.</w:t>
      </w:r>
    </w:p>
    <w:p>
      <w:pPr>
        <w:pStyle w:val="Heading2"/>
      </w:pPr>
      <w:r>
        <w:t>12.7. Юнит-экономика</w:t>
      </w:r>
    </w:p>
    <w:p>
      <w:r>
        <w:drawing>
          <wp:inline xmlns:a="http://schemas.openxmlformats.org/drawingml/2006/main" xmlns:pic="http://schemas.openxmlformats.org/drawingml/2006/picture">
            <wp:extent cx="5220000" cy="2378938"/>
            <wp:docPr id="9" name="Picture 9"/>
            <wp:cNvGraphicFramePr>
              <a:graphicFrameLocks noChangeAspect="1"/>
            </wp:cNvGraphicFramePr>
            <a:graphic>
              <a:graphicData uri="http://schemas.openxmlformats.org/drawingml/2006/picture">
                <pic:pic>
                  <pic:nvPicPr>
                    <pic:cNvPr id="0" name="bp_chart_unit.png"/>
                    <pic:cNvPicPr/>
                  </pic:nvPicPr>
                  <pic:blipFill>
                    <a:blip r:embed="rId13"/>
                    <a:stretch>
                      <a:fillRect/>
                    </a:stretch>
                  </pic:blipFill>
                  <pic:spPr>
                    <a:xfrm>
                      <a:off x="0" y="0"/>
                      <a:ext cx="5220000" cy="2378938"/>
                    </a:xfrm>
                    <a:prstGeom prst="rect"/>
                  </pic:spPr>
                </pic:pic>
              </a:graphicData>
            </a:graphic>
          </wp:inline>
        </w:drawing>
      </w:r>
    </w:p>
    <w:p>
      <w:pPr>
        <w:jc w:val="center"/>
      </w:pPr>
      <w:r>
        <w:rPr>
          <w:i/>
          <w:color w:val="5A6A7A"/>
          <w:sz w:val="19"/>
        </w:rPr>
        <w:t>Рис. 27.0. Юнит-экономика: LTV, CAC, LTV/CAC, окупаемость</w:t>
      </w:r>
    </w:p>
    <w:p>
      <w:pPr>
        <w:jc w:val="center"/>
      </w:pPr>
      <w:r>
        <w:rPr>
          <w:color w:val="5A6A7A"/>
          <w:sz w:val="16"/>
        </w:rPr>
        <w:t>Источник: расчёт модели.</w:t>
      </w:r>
    </w:p>
    <w:p/>
    <w:tbl>
      <w:tblPr>
        <w:tblStyle w:val="TableGrid"/>
        <w:tblW w:type="auto" w:w="0"/>
        <w:jc w:val="center"/>
        <w:tblLook w:firstColumn="1" w:firstRow="1" w:lastColumn="0" w:lastRow="0" w:noHBand="0" w:noVBand="1" w:val="04A0"/>
      </w:tblPr>
      <w:tblGrid>
        <w:gridCol w:w="4819"/>
        <w:gridCol w:w="4819"/>
      </w:tblGrid>
      <w:tr>
        <w:tc>
          <w:tcPr>
            <w:tcW w:type="dxa" w:w="4535"/>
            <w:shd w:val="clear" w:color="auto" w:fill="0B3D5C"/>
          </w:tcPr>
          <w:p>
            <w:r/>
            <w:r>
              <w:rPr>
                <w:b/>
                <w:color w:val="FFFFFF"/>
                <w:sz w:val="20"/>
              </w:rPr>
              <w:t>Показатель</w:t>
            </w:r>
          </w:p>
        </w:tc>
        <w:tc>
          <w:tcPr>
            <w:tcW w:type="dxa" w:w="3969"/>
            <w:shd w:val="clear" w:color="auto" w:fill="0B3D5C"/>
          </w:tcPr>
          <w:p>
            <w:r/>
            <w:r>
              <w:rPr>
                <w:b/>
                <w:color w:val="FFFFFF"/>
                <w:sz w:val="20"/>
              </w:rPr>
              <w:t>Значение</w:t>
            </w:r>
          </w:p>
        </w:tc>
      </w:tr>
      <w:tr>
        <w:tc>
          <w:tcPr>
            <w:tcW w:type="dxa" w:w="4535"/>
          </w:tcPr>
          <w:p>
            <w:r/>
            <w:r>
              <w:rPr>
                <w:sz w:val="20"/>
              </w:rPr>
              <w:t>ARPU клиники (средний, 2026–2030)</w:t>
            </w:r>
          </w:p>
        </w:tc>
        <w:tc>
          <w:tcPr>
            <w:tcW w:type="dxa" w:w="3969"/>
          </w:tcPr>
          <w:p>
            <w:r/>
            <w:r>
              <w:rPr>
                <w:sz w:val="20"/>
              </w:rPr>
              <w:t>≈5,5–7,1 млн ₽/год</w:t>
            </w:r>
          </w:p>
        </w:tc>
      </w:tr>
      <w:tr>
        <w:tc>
          <w:tcPr>
            <w:tcW w:type="dxa" w:w="4535"/>
            <w:shd w:val="clear" w:color="auto" w:fill="F3F8FB"/>
          </w:tcPr>
          <w:p>
            <w:r/>
            <w:r>
              <w:rPr>
                <w:sz w:val="20"/>
              </w:rPr>
              <w:t>LTV (8 лет)</w:t>
            </w:r>
          </w:p>
        </w:tc>
        <w:tc>
          <w:tcPr>
            <w:tcW w:type="dxa" w:w="3969"/>
            <w:shd w:val="clear" w:color="auto" w:fill="F3F8FB"/>
          </w:tcPr>
          <w:p>
            <w:r/>
            <w:r>
              <w:rPr>
                <w:sz w:val="20"/>
              </w:rPr>
              <w:t>≈26–28 млн ₽</w:t>
            </w:r>
          </w:p>
        </w:tc>
      </w:tr>
      <w:tr>
        <w:tc>
          <w:tcPr>
            <w:tcW w:type="dxa" w:w="4535"/>
          </w:tcPr>
          <w:p>
            <w:r/>
            <w:r>
              <w:rPr>
                <w:sz w:val="20"/>
              </w:rPr>
              <w:t>CAC (с учётом пилота)</w:t>
            </w:r>
          </w:p>
        </w:tc>
        <w:tc>
          <w:tcPr>
            <w:tcW w:type="dxa" w:w="3969"/>
          </w:tcPr>
          <w:p>
            <w:r/>
            <w:r>
              <w:rPr>
                <w:sz w:val="20"/>
              </w:rPr>
              <w:t>0,7–3,0 млн ₽</w:t>
            </w:r>
          </w:p>
        </w:tc>
      </w:tr>
      <w:tr>
        <w:tc>
          <w:tcPr>
            <w:tcW w:type="dxa" w:w="4535"/>
            <w:shd w:val="clear" w:color="auto" w:fill="F3F8FB"/>
          </w:tcPr>
          <w:p>
            <w:r/>
            <w:r>
              <w:rPr>
                <w:sz w:val="20"/>
              </w:rPr>
              <w:t>LTV / CAC</w:t>
            </w:r>
          </w:p>
        </w:tc>
        <w:tc>
          <w:tcPr>
            <w:tcW w:type="dxa" w:w="3969"/>
            <w:shd w:val="clear" w:color="auto" w:fill="F3F8FB"/>
          </w:tcPr>
          <w:p>
            <w:r/>
            <w:r>
              <w:rPr>
                <w:sz w:val="20"/>
              </w:rPr>
              <w:t>&gt; 14×</w:t>
            </w:r>
          </w:p>
        </w:tc>
      </w:tr>
      <w:tr>
        <w:tc>
          <w:tcPr>
            <w:tcW w:type="dxa" w:w="4535"/>
          </w:tcPr>
          <w:p>
            <w:r/>
            <w:r>
              <w:rPr>
                <w:sz w:val="20"/>
              </w:rPr>
              <w:t>Окупаемость CAC</w:t>
            </w:r>
          </w:p>
        </w:tc>
        <w:tc>
          <w:tcPr>
            <w:tcW w:type="dxa" w:w="3969"/>
          </w:tcPr>
          <w:p>
            <w:r/>
            <w:r>
              <w:rPr>
                <w:sz w:val="20"/>
              </w:rPr>
              <w:t>8–10 мес.</w:t>
            </w:r>
          </w:p>
        </w:tc>
      </w:tr>
      <w:tr>
        <w:tc>
          <w:tcPr>
            <w:tcW w:type="dxa" w:w="4535"/>
            <w:shd w:val="clear" w:color="auto" w:fill="F3F8FB"/>
          </w:tcPr>
          <w:p>
            <w:r/>
            <w:r>
              <w:rPr>
                <w:sz w:val="20"/>
              </w:rPr>
              <w:t>Gross margin (чистый софт)</w:t>
            </w:r>
          </w:p>
        </w:tc>
        <w:tc>
          <w:tcPr>
            <w:tcW w:type="dxa" w:w="3969"/>
            <w:shd w:val="clear" w:color="auto" w:fill="F3F8FB"/>
          </w:tcPr>
          <w:p>
            <w:r/>
            <w:r>
              <w:rPr>
                <w:sz w:val="20"/>
              </w:rPr>
              <w:t>≈130–136%</w:t>
            </w:r>
          </w:p>
        </w:tc>
      </w:tr>
    </w:tbl>
    <w:p/>
    <w:p>
      <w:pPr>
        <w:pStyle w:val="Heading2"/>
      </w:pPr>
      <w:r>
        <w:t>12.8. Сценарии и чувствительность</w:t>
      </w:r>
    </w:p>
    <w:p>
      <w:r>
        <w:drawing>
          <wp:inline xmlns:a="http://schemas.openxmlformats.org/drawingml/2006/main" xmlns:pic="http://schemas.openxmlformats.org/drawingml/2006/picture">
            <wp:extent cx="5580000" cy="2428941"/>
            <wp:docPr id="10" name="Picture 10"/>
            <wp:cNvGraphicFramePr>
              <a:graphicFrameLocks noChangeAspect="1"/>
            </wp:cNvGraphicFramePr>
            <a:graphic>
              <a:graphicData uri="http://schemas.openxmlformats.org/drawingml/2006/picture">
                <pic:pic>
                  <pic:nvPicPr>
                    <pic:cNvPr id="0" name="bp_chart_scen.png"/>
                    <pic:cNvPicPr/>
                  </pic:nvPicPr>
                  <pic:blipFill>
                    <a:blip r:embed="rId18"/>
                    <a:stretch>
                      <a:fillRect/>
                    </a:stretch>
                  </pic:blipFill>
                  <pic:spPr>
                    <a:xfrm>
                      <a:off x="0" y="0"/>
                      <a:ext cx="5580000" cy="2428941"/>
                    </a:xfrm>
                    <a:prstGeom prst="rect"/>
                  </pic:spPr>
                </pic:pic>
              </a:graphicData>
            </a:graphic>
          </wp:inline>
        </w:drawing>
      </w:r>
    </w:p>
    <w:p>
      <w:pPr>
        <w:jc w:val="center"/>
      </w:pPr>
      <w:r>
        <w:rPr>
          <w:i/>
          <w:color w:val="5A6A7A"/>
          <w:sz w:val="19"/>
        </w:rPr>
        <w:t>Рис. 11.0. Сценарии (пессимистичный / базовый / оптимистичный) по EBITDA год к году</w:t>
      </w:r>
    </w:p>
    <w:p>
      <w:pPr>
        <w:jc w:val="center"/>
      </w:pPr>
      <w:r>
        <w:rPr>
          <w:color w:val="5A6A7A"/>
          <w:sz w:val="16"/>
        </w:rPr>
        <w:t>Источник: расчёт модели.</w:t>
      </w:r>
    </w:p>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928"/>
            <w:shd w:val="clear" w:color="auto" w:fill="0B3D5C"/>
          </w:tcPr>
          <w:p>
            <w:r/>
            <w:r>
              <w:rPr>
                <w:b/>
                <w:color w:val="FFFFFF"/>
                <w:sz w:val="20"/>
              </w:rPr>
              <w:t>Сценарий</w:t>
            </w:r>
          </w:p>
        </w:tc>
        <w:tc>
          <w:tcPr>
            <w:tcW w:type="dxa" w:w="4535"/>
            <w:shd w:val="clear" w:color="auto" w:fill="0B3D5C"/>
          </w:tcPr>
          <w:p>
            <w:r/>
            <w:r>
              <w:rPr>
                <w:b/>
                <w:color w:val="FFFFFF"/>
                <w:sz w:val="20"/>
              </w:rPr>
              <w:t>Ключевые допущения</w:t>
            </w:r>
          </w:p>
        </w:tc>
        <w:tc>
          <w:tcPr>
            <w:tcW w:type="dxa" w:w="1361"/>
            <w:shd w:val="clear" w:color="auto" w:fill="0B3D5C"/>
          </w:tcPr>
          <w:p>
            <w:r/>
            <w:r>
              <w:rPr>
                <w:b/>
                <w:color w:val="FFFFFF"/>
                <w:sz w:val="20"/>
              </w:rPr>
              <w:t>Выручка 2030</w:t>
            </w:r>
          </w:p>
        </w:tc>
        <w:tc>
          <w:tcPr>
            <w:tcW w:type="dxa" w:w="1361"/>
            <w:shd w:val="clear" w:color="auto" w:fill="0B3D5C"/>
          </w:tcPr>
          <w:p>
            <w:r/>
            <w:r>
              <w:rPr>
                <w:b/>
                <w:color w:val="FFFFFF"/>
                <w:sz w:val="20"/>
              </w:rPr>
              <w:t>EBITDA 2030</w:t>
            </w:r>
          </w:p>
        </w:tc>
      </w:tr>
      <w:tr>
        <w:tc>
          <w:tcPr>
            <w:tcW w:type="dxa" w:w="1928"/>
          </w:tcPr>
          <w:p>
            <w:r/>
            <w:r>
              <w:rPr>
                <w:sz w:val="20"/>
              </w:rPr>
              <w:t>Пессимистичный</w:t>
            </w:r>
          </w:p>
        </w:tc>
        <w:tc>
          <w:tcPr>
            <w:tcW w:type="dxa" w:w="4535"/>
          </w:tcPr>
          <w:p>
            <w:r/>
            <w:r>
              <w:rPr>
                <w:sz w:val="20"/>
              </w:rPr>
              <w:t>медленный пилот, −58% клиентов; средний ARPU без модулей</w:t>
            </w:r>
          </w:p>
        </w:tc>
        <w:tc>
          <w:tcPr>
            <w:tcW w:type="dxa" w:w="1361"/>
          </w:tcPr>
          <w:p>
            <w:r/>
            <w:r>
              <w:rPr>
                <w:sz w:val="20"/>
              </w:rPr>
              <w:t>≈546 млн ₽</w:t>
            </w:r>
          </w:p>
        </w:tc>
        <w:tc>
          <w:tcPr>
            <w:tcW w:type="dxa" w:w="1361"/>
          </w:tcPr>
          <w:p>
            <w:r/>
            <w:r>
              <w:rPr>
                <w:sz w:val="20"/>
              </w:rPr>
              <w:t>≈131 млн ₽</w:t>
            </w:r>
          </w:p>
        </w:tc>
      </w:tr>
      <w:tr>
        <w:tc>
          <w:tcPr>
            <w:tcW w:type="dxa" w:w="1928"/>
            <w:shd w:val="clear" w:color="auto" w:fill="F3F8FB"/>
          </w:tcPr>
          <w:p>
            <w:r/>
            <w:r>
              <w:rPr>
                <w:sz w:val="20"/>
              </w:rPr>
              <w:t>Базовый</w:t>
            </w:r>
          </w:p>
        </w:tc>
        <w:tc>
          <w:tcPr>
            <w:tcW w:type="dxa" w:w="4535"/>
            <w:shd w:val="clear" w:color="auto" w:fill="F3F8FB"/>
          </w:tcPr>
          <w:p>
            <w:r/>
            <w:r>
              <w:rPr>
                <w:sz w:val="20"/>
              </w:rPr>
              <w:t>как в модельном плане</w:t>
            </w:r>
          </w:p>
        </w:tc>
        <w:tc>
          <w:tcPr>
            <w:tcW w:type="dxa" w:w="1361"/>
            <w:shd w:val="clear" w:color="auto" w:fill="F3F8FB"/>
          </w:tcPr>
          <w:p>
            <w:r/>
            <w:r>
              <w:rPr>
                <w:sz w:val="20"/>
              </w:rPr>
              <w:t>1352 млн ₽</w:t>
            </w:r>
          </w:p>
        </w:tc>
        <w:tc>
          <w:tcPr>
            <w:tcW w:type="dxa" w:w="1361"/>
            <w:shd w:val="clear" w:color="auto" w:fill="F3F8FB"/>
          </w:tcPr>
          <w:p>
            <w:r/>
            <w:r>
              <w:rPr>
                <w:sz w:val="20"/>
              </w:rPr>
              <w:t>+963 млн ₽</w:t>
            </w:r>
          </w:p>
        </w:tc>
      </w:tr>
      <w:tr>
        <w:tc>
          <w:tcPr>
            <w:tcW w:type="dxa" w:w="1928"/>
          </w:tcPr>
          <w:p>
            <w:r/>
            <w:r>
              <w:rPr>
                <w:sz w:val="20"/>
              </w:rPr>
              <w:t>Оптимистичный</w:t>
            </w:r>
          </w:p>
        </w:tc>
        <w:tc>
          <w:tcPr>
            <w:tcW w:type="dxa" w:w="4535"/>
          </w:tcPr>
          <w:p>
            <w:r/>
            <w:r>
              <w:rPr>
                <w:sz w:val="20"/>
              </w:rPr>
              <w:t>ранние B2G-контракты, ускоренная АТР-экспансия</w:t>
            </w:r>
          </w:p>
        </w:tc>
        <w:tc>
          <w:tcPr>
            <w:tcW w:type="dxa" w:w="1361"/>
          </w:tcPr>
          <w:p>
            <w:r/>
            <w:r>
              <w:rPr>
                <w:sz w:val="20"/>
              </w:rPr>
              <w:t>≈1048 млн ₽</w:t>
            </w:r>
          </w:p>
        </w:tc>
        <w:tc>
          <w:tcPr>
            <w:tcW w:type="dxa" w:w="1361"/>
          </w:tcPr>
          <w:p>
            <w:r/>
            <w:r>
              <w:rPr>
                <w:sz w:val="20"/>
              </w:rPr>
              <w:t>≈160 млн ₽</w:t>
            </w:r>
          </w:p>
        </w:tc>
      </w:tr>
    </w:tbl>
    <w:p/>
    <w:p>
      <w:r>
        <w:rPr>
          <w:b w:val="0"/>
          <w:i w:val="0"/>
          <w:sz w:val="22"/>
        </w:rPr>
        <w:t>Сценарии управляются единым переключателем в листе «Допущения» расширенной модели — чувствительность по тарифам, числу клиентов и ARPU рассчитывается автоматически.</w:t>
      </w:r>
    </w:p>
    <w:p>
      <w:r>
        <w:drawing>
          <wp:inline xmlns:a="http://schemas.openxmlformats.org/drawingml/2006/main" xmlns:pic="http://schemas.openxmlformats.org/drawingml/2006/picture">
            <wp:extent cx="5580000" cy="2428941"/>
            <wp:docPr id="11" name="Picture 11"/>
            <wp:cNvGraphicFramePr>
              <a:graphicFrameLocks noChangeAspect="1"/>
            </wp:cNvGraphicFramePr>
            <a:graphic>
              <a:graphicData uri="http://schemas.openxmlformats.org/drawingml/2006/picture">
                <pic:pic>
                  <pic:nvPicPr>
                    <pic:cNvPr id="0" name="bp_chart_scen_rev.png"/>
                    <pic:cNvPicPr/>
                  </pic:nvPicPr>
                  <pic:blipFill>
                    <a:blip r:embed="rId19"/>
                    <a:stretch>
                      <a:fillRect/>
                    </a:stretch>
                  </pic:blipFill>
                  <pic:spPr>
                    <a:xfrm>
                      <a:off x="0" y="0"/>
                      <a:ext cx="5580000" cy="2428941"/>
                    </a:xfrm>
                    <a:prstGeom prst="rect"/>
                  </pic:spPr>
                </pic:pic>
              </a:graphicData>
            </a:graphic>
          </wp:inline>
        </w:drawing>
      </w:r>
    </w:p>
    <w:p>
      <w:pPr>
        <w:jc w:val="center"/>
      </w:pPr>
      <w:r>
        <w:rPr>
          <w:i/>
          <w:color w:val="5A6A7A"/>
          <w:sz w:val="19"/>
        </w:rPr>
        <w:t>Рис. 24.0. Траектории выручки по сценариям 2026–2030</w:t>
      </w:r>
    </w:p>
    <w:p>
      <w:pPr>
        <w:jc w:val="center"/>
      </w:pPr>
      <w:r>
        <w:rPr>
          <w:color w:val="5A6A7A"/>
          <w:sz w:val="16"/>
        </w:rPr>
        <w:t>Источник: расчёт модели (лист Сценарии).</w:t>
      </w:r>
    </w:p>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3061"/>
            <w:shd w:val="clear" w:color="auto" w:fill="0B3D5C"/>
          </w:tcPr>
          <w:p>
            <w:r/>
            <w:r>
              <w:rPr>
                <w:b/>
                <w:color w:val="FFFFFF"/>
                <w:sz w:val="20"/>
              </w:rPr>
              <w:t>Фактор чувствительности</w:t>
            </w:r>
          </w:p>
        </w:tc>
        <w:tc>
          <w:tcPr>
            <w:tcW w:type="dxa" w:w="1701"/>
            <w:shd w:val="clear" w:color="auto" w:fill="0B3D5C"/>
          </w:tcPr>
          <w:p>
            <w:r/>
            <w:r>
              <w:rPr>
                <w:b/>
                <w:color w:val="FFFFFF"/>
                <w:sz w:val="20"/>
              </w:rPr>
              <w:t>−12%</w:t>
            </w:r>
          </w:p>
        </w:tc>
        <w:tc>
          <w:tcPr>
            <w:tcW w:type="dxa" w:w="1814"/>
            <w:shd w:val="clear" w:color="auto" w:fill="0B3D5C"/>
          </w:tcPr>
          <w:p>
            <w:r/>
            <w:r>
              <w:rPr>
                <w:b/>
                <w:color w:val="FFFFFF"/>
                <w:sz w:val="20"/>
              </w:rPr>
              <w:t>База</w:t>
            </w:r>
          </w:p>
        </w:tc>
        <w:tc>
          <w:tcPr>
            <w:tcW w:type="dxa" w:w="2494"/>
            <w:shd w:val="clear" w:color="auto" w:fill="0B3D5C"/>
          </w:tcPr>
          <w:p>
            <w:r/>
            <w:r>
              <w:rPr>
                <w:b/>
                <w:color w:val="FFFFFF"/>
                <w:sz w:val="20"/>
              </w:rPr>
              <w:t>+12%</w:t>
            </w:r>
          </w:p>
        </w:tc>
      </w:tr>
      <w:tr>
        <w:tc>
          <w:tcPr>
            <w:tcW w:type="dxa" w:w="3061"/>
          </w:tcPr>
          <w:p>
            <w:r/>
            <w:r>
              <w:rPr>
                <w:sz w:val="20"/>
              </w:rPr>
              <w:t>ARPU (подписки)</w:t>
            </w:r>
          </w:p>
        </w:tc>
        <w:tc>
          <w:tcPr>
            <w:tcW w:type="dxa" w:w="1701"/>
          </w:tcPr>
          <w:p>
            <w:r/>
            <w:r>
              <w:rPr>
                <w:sz w:val="20"/>
              </w:rPr>
              <w:t>≈354 млн ₽</w:t>
            </w:r>
          </w:p>
        </w:tc>
        <w:tc>
          <w:tcPr>
            <w:tcW w:type="dxa" w:w="1814"/>
          </w:tcPr>
          <w:p>
            <w:r/>
            <w:r>
              <w:rPr>
                <w:sz w:val="20"/>
              </w:rPr>
              <w:t>1352 млн ₽</w:t>
            </w:r>
          </w:p>
        </w:tc>
        <w:tc>
          <w:tcPr>
            <w:tcW w:type="dxa" w:w="2494"/>
          </w:tcPr>
          <w:p>
            <w:r/>
            <w:r>
              <w:rPr>
                <w:sz w:val="20"/>
              </w:rPr>
              <w:t>≈929 млн ₽ (EBITDA 2030: база ±≈28%)</w:t>
            </w:r>
          </w:p>
        </w:tc>
      </w:tr>
      <w:tr>
        <w:tc>
          <w:tcPr>
            <w:tcW w:type="dxa" w:w="3061"/>
            <w:shd w:val="clear" w:color="auto" w:fill="F3F8FB"/>
          </w:tcPr>
          <w:p>
            <w:r/>
            <w:r>
              <w:rPr>
                <w:sz w:val="20"/>
              </w:rPr>
              <w:t>Число клиентов (уровень 2030)</w:t>
            </w:r>
          </w:p>
        </w:tc>
        <w:tc>
          <w:tcPr>
            <w:tcW w:type="dxa" w:w="1701"/>
            <w:shd w:val="clear" w:color="auto" w:fill="F3F8FB"/>
          </w:tcPr>
          <w:p>
            <w:r/>
            <w:r>
              <w:rPr>
                <w:sz w:val="20"/>
              </w:rPr>
              <w:t>75 клиник</w:t>
            </w:r>
          </w:p>
        </w:tc>
        <w:tc>
          <w:tcPr>
            <w:tcW w:type="dxa" w:w="1814"/>
            <w:shd w:val="clear" w:color="auto" w:fill="F3F8FB"/>
          </w:tcPr>
          <w:p>
            <w:r/>
            <w:r>
              <w:rPr>
                <w:sz w:val="20"/>
              </w:rPr>
              <w:t>130 клиник</w:t>
            </w:r>
          </w:p>
        </w:tc>
        <w:tc>
          <w:tcPr>
            <w:tcW w:type="dxa" w:w="2494"/>
            <w:shd w:val="clear" w:color="auto" w:fill="F3F8FB"/>
          </w:tcPr>
          <w:p>
            <w:r/>
            <w:r>
              <w:rPr>
                <w:sz w:val="20"/>
              </w:rPr>
              <w:t>242 клиники</w:t>
            </w:r>
          </w:p>
        </w:tc>
      </w:tr>
      <w:tr>
        <w:tc>
          <w:tcPr>
            <w:tcW w:type="dxa" w:w="3061"/>
          </w:tcPr>
          <w:p>
            <w:r/>
            <w:r>
              <w:rPr>
                <w:sz w:val="20"/>
              </w:rPr>
              <w:t>Влияние на EBITDA 2030</w:t>
            </w:r>
          </w:p>
        </w:tc>
        <w:tc>
          <w:tcPr>
            <w:tcW w:type="dxa" w:w="1701"/>
          </w:tcPr>
          <w:p>
            <w:r/>
            <w:r>
              <w:rPr>
                <w:sz w:val="20"/>
              </w:rPr>
              <w:t>−17…−61 млн ₽</w:t>
            </w:r>
          </w:p>
        </w:tc>
        <w:tc>
          <w:tcPr>
            <w:tcW w:type="dxa" w:w="1814"/>
          </w:tcPr>
          <w:p>
            <w:r/>
            <w:r>
              <w:rPr>
                <w:sz w:val="20"/>
              </w:rPr>
              <w:t>963 млн ₽</w:t>
            </w:r>
          </w:p>
        </w:tc>
        <w:tc>
          <w:tcPr>
            <w:tcW w:type="dxa" w:w="2494"/>
          </w:tcPr>
          <w:p>
            <w:r/>
            <w:r>
              <w:rPr>
                <w:sz w:val="20"/>
              </w:rPr>
              <w:t>+17…61 млн ₽</w:t>
            </w:r>
          </w:p>
        </w:tc>
      </w:tr>
    </w:tbl>
    <w:p/>
    <w:p>
      <w:pPr>
        <w:pStyle w:val="Heading3"/>
      </w:pPr>
      <w:r>
        <w:t>Ключевые операционные KPI плана</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3628"/>
            <w:shd w:val="clear" w:color="auto" w:fill="0B3D5C"/>
          </w:tcPr>
          <w:p>
            <w:r/>
            <w:r>
              <w:rPr>
                <w:b/>
                <w:color w:val="FFFFFF"/>
                <w:sz w:val="20"/>
              </w:rPr>
              <w:t>Показатель</w:t>
            </w:r>
          </w:p>
        </w:tc>
        <w:tc>
          <w:tcPr>
            <w:tcW w:type="dxa" w:w="1134"/>
            <w:shd w:val="clear" w:color="auto" w:fill="0B3D5C"/>
          </w:tcPr>
          <w:p>
            <w:r/>
            <w:r>
              <w:rPr>
                <w:b/>
                <w:color w:val="FFFFFF"/>
                <w:sz w:val="20"/>
              </w:rPr>
              <w:t>2026</w:t>
            </w:r>
          </w:p>
        </w:tc>
        <w:tc>
          <w:tcPr>
            <w:tcW w:type="dxa" w:w="1134"/>
            <w:shd w:val="clear" w:color="auto" w:fill="0B3D5C"/>
          </w:tcPr>
          <w:p>
            <w:r/>
            <w:r>
              <w:rPr>
                <w:b/>
                <w:color w:val="FFFFFF"/>
                <w:sz w:val="20"/>
              </w:rPr>
              <w:t>2027</w:t>
            </w:r>
          </w:p>
        </w:tc>
        <w:tc>
          <w:tcPr>
            <w:tcW w:type="dxa" w:w="1134"/>
            <w:shd w:val="clear" w:color="auto" w:fill="0B3D5C"/>
          </w:tcPr>
          <w:p>
            <w:r/>
            <w:r>
              <w:rPr>
                <w:b/>
                <w:color w:val="FFFFFF"/>
                <w:sz w:val="20"/>
              </w:rPr>
              <w:t>2028</w:t>
            </w:r>
          </w:p>
        </w:tc>
        <w:tc>
          <w:tcPr>
            <w:tcW w:type="dxa" w:w="1134"/>
            <w:shd w:val="clear" w:color="auto" w:fill="0B3D5C"/>
          </w:tcPr>
          <w:p>
            <w:r/>
            <w:r>
              <w:rPr>
                <w:b/>
                <w:color w:val="FFFFFF"/>
                <w:sz w:val="20"/>
              </w:rPr>
              <w:t>2029</w:t>
            </w:r>
          </w:p>
        </w:tc>
        <w:tc>
          <w:tcPr>
            <w:tcW w:type="dxa" w:w="1134"/>
            <w:shd w:val="clear" w:color="auto" w:fill="0B3D5C"/>
          </w:tcPr>
          <w:p>
            <w:r/>
            <w:r>
              <w:rPr>
                <w:b/>
                <w:color w:val="FFFFFF"/>
                <w:sz w:val="20"/>
              </w:rPr>
              <w:t>2030</w:t>
            </w:r>
          </w:p>
        </w:tc>
      </w:tr>
      <w:tr>
        <w:tc>
          <w:tcPr>
            <w:tcW w:type="dxa" w:w="3628"/>
          </w:tcPr>
          <w:p>
            <w:r/>
            <w:r>
              <w:rPr>
                <w:sz w:val="20"/>
              </w:rPr>
              <w:t>Клиники-абоненты</w:t>
            </w:r>
          </w:p>
        </w:tc>
        <w:tc>
          <w:tcPr>
            <w:tcW w:type="dxa" w:w="1134"/>
          </w:tcPr>
          <w:p>
            <w:r/>
            <w:r>
              <w:rPr>
                <w:sz w:val="20"/>
              </w:rPr>
              <w:t>7</w:t>
            </w:r>
          </w:p>
        </w:tc>
        <w:tc>
          <w:tcPr>
            <w:tcW w:type="dxa" w:w="1134"/>
          </w:tcPr>
          <w:p>
            <w:r/>
            <w:r>
              <w:rPr>
                <w:sz w:val="20"/>
              </w:rPr>
              <w:t>26</w:t>
            </w:r>
          </w:p>
        </w:tc>
        <w:tc>
          <w:tcPr>
            <w:tcW w:type="dxa" w:w="1134"/>
          </w:tcPr>
          <w:p>
            <w:r/>
            <w:r>
              <w:rPr>
                <w:sz w:val="20"/>
              </w:rPr>
              <w:t>58</w:t>
            </w:r>
          </w:p>
        </w:tc>
        <w:tc>
          <w:tcPr>
            <w:tcW w:type="dxa" w:w="1134"/>
          </w:tcPr>
          <w:p>
            <w:r/>
            <w:r>
              <w:rPr>
                <w:sz w:val="20"/>
              </w:rPr>
              <w:t>92</w:t>
            </w:r>
          </w:p>
        </w:tc>
        <w:tc>
          <w:tcPr>
            <w:tcW w:type="dxa" w:w="1134"/>
          </w:tcPr>
          <w:p>
            <w:r/>
            <w:r>
              <w:rPr>
                <w:sz w:val="20"/>
              </w:rPr>
              <w:t>130</w:t>
            </w:r>
          </w:p>
        </w:tc>
      </w:tr>
      <w:tr>
        <w:tc>
          <w:tcPr>
            <w:tcW w:type="dxa" w:w="3628"/>
            <w:shd w:val="clear" w:color="auto" w:fill="F3F8FB"/>
          </w:tcPr>
          <w:p>
            <w:r/>
            <w:r>
              <w:rPr>
                <w:sz w:val="20"/>
              </w:rPr>
              <w:t>Средний ARPU на клинику, млн ₽/год</w:t>
            </w:r>
          </w:p>
        </w:tc>
        <w:tc>
          <w:tcPr>
            <w:tcW w:type="dxa" w:w="1134"/>
            <w:shd w:val="clear" w:color="auto" w:fill="F3F8FB"/>
          </w:tcPr>
          <w:p>
            <w:r/>
            <w:r>
              <w:rPr>
                <w:sz w:val="20"/>
              </w:rPr>
              <w:t>5.0</w:t>
            </w:r>
          </w:p>
        </w:tc>
        <w:tc>
          <w:tcPr>
            <w:tcW w:type="dxa" w:w="1134"/>
            <w:shd w:val="clear" w:color="auto" w:fill="F3F8FB"/>
          </w:tcPr>
          <w:p>
            <w:r/>
            <w:r>
              <w:rPr>
                <w:sz w:val="20"/>
              </w:rPr>
              <w:t>5.40</w:t>
            </w:r>
          </w:p>
        </w:tc>
        <w:tc>
          <w:tcPr>
            <w:tcW w:type="dxa" w:w="1134"/>
            <w:shd w:val="clear" w:color="auto" w:fill="F3F8FB"/>
          </w:tcPr>
          <w:p>
            <w:r/>
            <w:r>
              <w:rPr>
                <w:sz w:val="20"/>
              </w:rPr>
              <w:t>5.0</w:t>
            </w:r>
          </w:p>
        </w:tc>
        <w:tc>
          <w:tcPr>
            <w:tcW w:type="dxa" w:w="1134"/>
            <w:shd w:val="clear" w:color="auto" w:fill="F3F8FB"/>
          </w:tcPr>
          <w:p>
            <w:r/>
            <w:r>
              <w:rPr>
                <w:sz w:val="20"/>
              </w:rPr>
              <w:t>5.3</w:t>
            </w:r>
          </w:p>
        </w:tc>
        <w:tc>
          <w:tcPr>
            <w:tcW w:type="dxa" w:w="1134"/>
            <w:shd w:val="clear" w:color="auto" w:fill="F3F8FB"/>
          </w:tcPr>
          <w:p>
            <w:r/>
            <w:r>
              <w:rPr>
                <w:sz w:val="20"/>
              </w:rPr>
              <w:t>6.4</w:t>
            </w:r>
          </w:p>
        </w:tc>
      </w:tr>
      <w:tr>
        <w:tc>
          <w:tcPr>
            <w:tcW w:type="dxa" w:w="3628"/>
          </w:tcPr>
          <w:p>
            <w:r/>
            <w:r>
              <w:rPr>
                <w:sz w:val="20"/>
              </w:rPr>
              <w:t>Gross margin, %</w:t>
            </w:r>
          </w:p>
        </w:tc>
        <w:tc>
          <w:tcPr>
            <w:tcW w:type="dxa" w:w="1134"/>
          </w:tcPr>
          <w:p>
            <w:r/>
            <w:r>
              <w:rPr>
                <w:sz w:val="20"/>
              </w:rPr>
              <w:t>~136</w:t>
            </w:r>
          </w:p>
        </w:tc>
        <w:tc>
          <w:tcPr>
            <w:tcW w:type="dxa" w:w="1134"/>
          </w:tcPr>
          <w:p>
            <w:r/>
            <w:r>
              <w:rPr>
                <w:sz w:val="20"/>
              </w:rPr>
              <w:t>~88</w:t>
            </w:r>
          </w:p>
        </w:tc>
        <w:tc>
          <w:tcPr>
            <w:tcW w:type="dxa" w:w="1134"/>
          </w:tcPr>
          <w:p>
            <w:r/>
            <w:r>
              <w:rPr>
                <w:sz w:val="20"/>
              </w:rPr>
              <w:t>~108</w:t>
            </w:r>
          </w:p>
        </w:tc>
        <w:tc>
          <w:tcPr>
            <w:tcW w:type="dxa" w:w="1134"/>
          </w:tcPr>
          <w:p>
            <w:r/>
            <w:r>
              <w:rPr>
                <w:sz w:val="20"/>
              </w:rPr>
              <w:t>~204</w:t>
            </w:r>
          </w:p>
        </w:tc>
        <w:tc>
          <w:tcPr>
            <w:tcW w:type="dxa" w:w="1134"/>
          </w:tcPr>
          <w:p>
            <w:r/>
            <w:r>
              <w:rPr>
                <w:sz w:val="20"/>
              </w:rPr>
              <w:t>~165</w:t>
            </w:r>
          </w:p>
        </w:tc>
      </w:tr>
      <w:tr>
        <w:tc>
          <w:tcPr>
            <w:tcW w:type="dxa" w:w="3628"/>
            <w:shd w:val="clear" w:color="auto" w:fill="F3F8FB"/>
          </w:tcPr>
          <w:p>
            <w:r/>
            <w:r>
              <w:rPr>
                <w:sz w:val="20"/>
              </w:rPr>
              <w:t>Расходы на 1 ₽ выручки</w:t>
            </w:r>
          </w:p>
        </w:tc>
        <w:tc>
          <w:tcPr>
            <w:tcW w:type="dxa" w:w="1134"/>
            <w:shd w:val="clear" w:color="auto" w:fill="F3F8FB"/>
          </w:tcPr>
          <w:p>
            <w:r/>
            <w:r>
              <w:rPr>
                <w:sz w:val="20"/>
              </w:rPr>
              <w:t>10,00</w:t>
            </w:r>
          </w:p>
        </w:tc>
        <w:tc>
          <w:tcPr>
            <w:tcW w:type="dxa" w:w="1134"/>
            <w:shd w:val="clear" w:color="auto" w:fill="F3F8FB"/>
          </w:tcPr>
          <w:p>
            <w:r/>
            <w:r>
              <w:rPr>
                <w:sz w:val="20"/>
              </w:rPr>
              <w:t>3,60</w:t>
            </w:r>
          </w:p>
        </w:tc>
        <w:tc>
          <w:tcPr>
            <w:tcW w:type="dxa" w:w="1134"/>
            <w:shd w:val="clear" w:color="auto" w:fill="F3F8FB"/>
          </w:tcPr>
          <w:p>
            <w:r/>
            <w:r>
              <w:rPr>
                <w:sz w:val="20"/>
              </w:rPr>
              <w:t>0,57</w:t>
            </w:r>
          </w:p>
        </w:tc>
        <w:tc>
          <w:tcPr>
            <w:tcW w:type="dxa" w:w="1134"/>
            <w:shd w:val="clear" w:color="auto" w:fill="F3F8FB"/>
          </w:tcPr>
          <w:p>
            <w:r/>
            <w:r>
              <w:rPr>
                <w:sz w:val="20"/>
              </w:rPr>
              <w:t>0,58</w:t>
            </w:r>
          </w:p>
        </w:tc>
        <w:tc>
          <w:tcPr>
            <w:tcW w:type="dxa" w:w="1134"/>
            <w:shd w:val="clear" w:color="auto" w:fill="F3F8FB"/>
          </w:tcPr>
          <w:p>
            <w:r/>
            <w:r>
              <w:rPr>
                <w:sz w:val="20"/>
              </w:rPr>
              <w:t>0,44</w:t>
            </w:r>
          </w:p>
        </w:tc>
      </w:tr>
      <w:tr>
        <w:tc>
          <w:tcPr>
            <w:tcW w:type="dxa" w:w="3628"/>
          </w:tcPr>
          <w:p>
            <w:r/>
            <w:r>
              <w:rPr>
                <w:sz w:val="20"/>
              </w:rPr>
              <w:t>Доля модулей и матчинга в выручке</w:t>
            </w:r>
          </w:p>
        </w:tc>
        <w:tc>
          <w:tcPr>
            <w:tcW w:type="dxa" w:w="1134"/>
          </w:tcPr>
          <w:p>
            <w:r/>
            <w:r>
              <w:rPr>
                <w:sz w:val="20"/>
              </w:rPr>
              <w:t>1%</w:t>
            </w:r>
          </w:p>
        </w:tc>
        <w:tc>
          <w:tcPr>
            <w:tcW w:type="dxa" w:w="1134"/>
          </w:tcPr>
          <w:p>
            <w:r/>
            <w:r>
              <w:rPr>
                <w:sz w:val="20"/>
              </w:rPr>
              <w:t>3%</w:t>
            </w:r>
          </w:p>
        </w:tc>
        <w:tc>
          <w:tcPr>
            <w:tcW w:type="dxa" w:w="1134"/>
          </w:tcPr>
          <w:p>
            <w:r/>
            <w:r>
              <w:rPr>
                <w:sz w:val="20"/>
              </w:rPr>
              <w:t>8%</w:t>
            </w:r>
          </w:p>
        </w:tc>
        <w:tc>
          <w:tcPr>
            <w:tcW w:type="dxa" w:w="1134"/>
          </w:tcPr>
          <w:p>
            <w:r/>
            <w:r>
              <w:rPr>
                <w:sz w:val="20"/>
              </w:rPr>
              <w:t>10%</w:t>
            </w:r>
          </w:p>
        </w:tc>
        <w:tc>
          <w:tcPr>
            <w:tcW w:type="dxa" w:w="1134"/>
          </w:tcPr>
          <w:p>
            <w:r/>
            <w:r>
              <w:rPr>
                <w:sz w:val="20"/>
              </w:rPr>
              <w:t>17%</w:t>
            </w:r>
          </w:p>
        </w:tc>
      </w:tr>
    </w:tbl>
    <w:p/>
    <w:p>
      <w:r>
        <w:rPr>
          <w:i/>
          <w:color w:val="5A6A7A"/>
          <w:sz w:val="18"/>
        </w:rPr>
        <w:t>Gross margin и ARPU — расчётные структурные показатели модели; контроль — на листе Юнит_экономика.</w:t>
      </w:r>
    </w:p>
    <w:p>
      <w:pPr>
        <w:pStyle w:val="Heading3"/>
      </w:pPr>
      <w:r>
        <w:t>Инвестиционные метрики (IRR / NPV) по раундам</w:t>
      </w:r>
    </w:p>
    <w:tbl>
      <w:tblPr>
        <w:tblStyle w:val="TableGrid"/>
        <w:tblW w:type="auto" w:w="0"/>
        <w:jc w:val="center"/>
        <w:tblLook w:firstColumn="1" w:firstRow="1" w:lastColumn="0" w:lastRow="0" w:noHBand="0" w:noVBand="1" w:val="04A0"/>
      </w:tblPr>
      <w:tblGrid>
        <w:gridCol w:w="3213"/>
        <w:gridCol w:w="3213"/>
        <w:gridCol w:w="3213"/>
      </w:tblGrid>
      <w:tr>
        <w:tc>
          <w:tcPr>
            <w:tcW w:type="dxa" w:w="4649"/>
            <w:shd w:val="clear" w:color="auto" w:fill="0B3D5C"/>
          </w:tcPr>
          <w:p>
            <w:r/>
            <w:r>
              <w:rPr>
                <w:b/>
                <w:color w:val="FFFFFF"/>
                <w:sz w:val="20"/>
              </w:rPr>
              <w:t>Показатель</w:t>
            </w:r>
          </w:p>
        </w:tc>
        <w:tc>
          <w:tcPr>
            <w:tcW w:type="dxa" w:w="2154"/>
            <w:shd w:val="clear" w:color="auto" w:fill="0B3D5C"/>
          </w:tcPr>
          <w:p>
            <w:r/>
            <w:r>
              <w:rPr>
                <w:b/>
                <w:color w:val="FFFFFF"/>
                <w:sz w:val="20"/>
              </w:rPr>
              <w:t>Инвестор Seed (2026)</w:t>
            </w:r>
          </w:p>
        </w:tc>
        <w:tc>
          <w:tcPr>
            <w:tcW w:type="dxa" w:w="2154"/>
            <w:shd w:val="clear" w:color="auto" w:fill="0B3D5C"/>
          </w:tcPr>
          <w:p>
            <w:r/>
            <w:r>
              <w:rPr>
                <w:b/>
                <w:color w:val="FFFFFF"/>
                <w:sz w:val="20"/>
              </w:rPr>
              <w:t>Инвестор Series A (2027)</w:t>
            </w:r>
          </w:p>
        </w:tc>
      </w:tr>
      <w:tr>
        <w:tc>
          <w:tcPr>
            <w:tcW w:type="dxa" w:w="4649"/>
          </w:tcPr>
          <w:p>
            <w:r/>
            <w:r>
              <w:rPr>
                <w:sz w:val="20"/>
              </w:rPr>
              <w:t>Вклад</w:t>
            </w:r>
          </w:p>
        </w:tc>
        <w:tc>
          <w:tcPr>
            <w:tcW w:type="dxa" w:w="2154"/>
          </w:tcPr>
          <w:p>
            <w:r/>
            <w:r>
              <w:rPr>
                <w:sz w:val="20"/>
              </w:rPr>
              <w:t>58 млн ₽</w:t>
            </w:r>
          </w:p>
        </w:tc>
        <w:tc>
          <w:tcPr>
            <w:tcW w:type="dxa" w:w="2154"/>
          </w:tcPr>
          <w:p>
            <w:r/>
            <w:r>
              <w:rPr>
                <w:sz w:val="20"/>
              </w:rPr>
              <w:t>78 млн ₽</w:t>
            </w:r>
          </w:p>
        </w:tc>
      </w:tr>
      <w:tr>
        <w:tc>
          <w:tcPr>
            <w:tcW w:type="dxa" w:w="4649"/>
            <w:shd w:val="clear" w:color="auto" w:fill="F3F8FB"/>
          </w:tcPr>
          <w:p>
            <w:r/>
            <w:r>
              <w:rPr>
                <w:sz w:val="20"/>
              </w:rPr>
              <w:t>Доля после размытия (к exit)</w:t>
            </w:r>
          </w:p>
        </w:tc>
        <w:tc>
          <w:tcPr>
            <w:tcW w:type="dxa" w:w="2154"/>
            <w:shd w:val="clear" w:color="auto" w:fill="F3F8FB"/>
          </w:tcPr>
          <w:p>
            <w:r/>
            <w:r>
              <w:rPr>
                <w:sz w:val="20"/>
              </w:rPr>
              <w:t>≈38,0%</w:t>
            </w:r>
          </w:p>
        </w:tc>
        <w:tc>
          <w:tcPr>
            <w:tcW w:type="dxa" w:w="2154"/>
            <w:shd w:val="clear" w:color="auto" w:fill="F3F8FB"/>
          </w:tcPr>
          <w:p>
            <w:r/>
            <w:r>
              <w:rPr>
                <w:sz w:val="20"/>
              </w:rPr>
              <w:t>≈18,0%</w:t>
            </w:r>
          </w:p>
        </w:tc>
      </w:tr>
      <w:tr>
        <w:tc>
          <w:tcPr>
            <w:tcW w:type="dxa" w:w="4649"/>
          </w:tcPr>
          <w:p>
            <w:r/>
            <w:r>
              <w:rPr>
                <w:sz w:val="20"/>
              </w:rPr>
              <w:t>Выручка инвестора при exit 2031 (6,5×)</w:t>
            </w:r>
          </w:p>
        </w:tc>
        <w:tc>
          <w:tcPr>
            <w:tcW w:type="dxa" w:w="2154"/>
          </w:tcPr>
          <w:p>
            <w:r/>
            <w:r>
              <w:rPr>
                <w:sz w:val="20"/>
              </w:rPr>
              <w:t>≈626 млн ₽</w:t>
            </w:r>
          </w:p>
        </w:tc>
        <w:tc>
          <w:tcPr>
            <w:tcW w:type="dxa" w:w="2154"/>
          </w:tcPr>
          <w:p>
            <w:r/>
            <w:r>
              <w:rPr>
                <w:sz w:val="20"/>
              </w:rPr>
              <w:t>≈365 млн ₽</w:t>
            </w:r>
          </w:p>
        </w:tc>
      </w:tr>
      <w:tr>
        <w:tc>
          <w:tcPr>
            <w:tcW w:type="dxa" w:w="4649"/>
            <w:shd w:val="clear" w:color="auto" w:fill="F3F8FB"/>
          </w:tcPr>
          <w:p>
            <w:r/>
            <w:r>
              <w:rPr>
                <w:sz w:val="20"/>
              </w:rPr>
              <w:t>MOIC</w:t>
            </w:r>
          </w:p>
        </w:tc>
        <w:tc>
          <w:tcPr>
            <w:tcW w:type="dxa" w:w="2154"/>
            <w:shd w:val="clear" w:color="auto" w:fill="F3F8FB"/>
          </w:tcPr>
          <w:p>
            <w:r/>
            <w:r>
              <w:rPr>
                <w:sz w:val="20"/>
              </w:rPr>
              <w:t>≈6,1×</w:t>
            </w:r>
          </w:p>
        </w:tc>
        <w:tc>
          <w:tcPr>
            <w:tcW w:type="dxa" w:w="2154"/>
            <w:shd w:val="clear" w:color="auto" w:fill="F3F8FB"/>
          </w:tcPr>
          <w:p>
            <w:r/>
            <w:r>
              <w:rPr>
                <w:sz w:val="20"/>
              </w:rPr>
              <w:t>≈6,9×</w:t>
            </w:r>
          </w:p>
        </w:tc>
      </w:tr>
      <w:tr>
        <w:tc>
          <w:tcPr>
            <w:tcW w:type="dxa" w:w="4649"/>
          </w:tcPr>
          <w:p>
            <w:r/>
            <w:r>
              <w:rPr>
                <w:sz w:val="20"/>
              </w:rPr>
              <w:t>IRR (к 2031)</w:t>
            </w:r>
          </w:p>
        </w:tc>
        <w:tc>
          <w:tcPr>
            <w:tcW w:type="dxa" w:w="2154"/>
          </w:tcPr>
          <w:p>
            <w:r/>
            <w:r>
              <w:rPr>
                <w:sz w:val="20"/>
              </w:rPr>
              <w:t>≈34%</w:t>
            </w:r>
          </w:p>
        </w:tc>
        <w:tc>
          <w:tcPr>
            <w:tcW w:type="dxa" w:w="2154"/>
          </w:tcPr>
          <w:p>
            <w:r/>
            <w:r>
              <w:rPr>
                <w:sz w:val="20"/>
              </w:rPr>
              <w:t>≈27%</w:t>
            </w:r>
          </w:p>
        </w:tc>
      </w:tr>
      <w:tr>
        <w:tc>
          <w:tcPr>
            <w:tcW w:type="dxa" w:w="4649"/>
            <w:shd w:val="clear" w:color="auto" w:fill="F3F8FB"/>
          </w:tcPr>
          <w:p>
            <w:r/>
            <w:r>
              <w:rPr>
                <w:sz w:val="20"/>
              </w:rPr>
              <w:t>NPV @ 25%</w:t>
            </w:r>
          </w:p>
        </w:tc>
        <w:tc>
          <w:tcPr>
            <w:tcW w:type="dxa" w:w="2154"/>
            <w:shd w:val="clear" w:color="auto" w:fill="F3F8FB"/>
          </w:tcPr>
          <w:p>
            <w:r/>
            <w:r>
              <w:rPr>
                <w:sz w:val="20"/>
              </w:rPr>
              <w:t>≈94,0 млн ₽</w:t>
            </w:r>
          </w:p>
        </w:tc>
        <w:tc>
          <w:tcPr>
            <w:tcW w:type="dxa" w:w="2154"/>
            <w:shd w:val="clear" w:color="auto" w:fill="F3F8FB"/>
          </w:tcPr>
          <w:p>
            <w:r/>
            <w:r>
              <w:rPr>
                <w:sz w:val="20"/>
              </w:rPr>
              <w:t>≈37,0 млн ₽</w:t>
            </w:r>
          </w:p>
        </w:tc>
      </w:tr>
    </w:tbl>
    <w:p/>
    <w:p>
      <w:r>
        <w:rPr>
          <w:i/>
          <w:color w:val="5A6A7A"/>
          <w:sz w:val="18"/>
        </w:rPr>
        <w:t>Пересчёт — на листе «Инвестор» расширенной модели; мультипликатор 6,5× выбран консервативно (рыночный диапазон для ИИ-платформ в сфере медицины, 2026 г.).</w:t>
      </w:r>
    </w:p>
    <w:p>
      <w:r>
        <w:br w:type="page"/>
      </w:r>
    </w:p>
    <w:p>
      <w:pPr>
        <w:pStyle w:val="Heading1"/>
        <w:shd w:val="clear" w:color="auto" w:fill="EAF4F8"/>
      </w:pPr>
      <w:r>
        <w:t>13. ФИНАНСИРОВАНИЕ И СТРУКТУРА СДЕЛКИ</w:t>
      </w:r>
    </w:p>
    <w:p>
      <w:pPr>
        <w:pStyle w:val="Heading2"/>
      </w:pPr>
      <w:r>
        <w:t>13.1. Потребность в капитале</w:t>
      </w:r>
    </w:p>
    <w:tbl>
      <w:tblPr>
        <w:tblW w:type="auto" w:w="0"/>
        <w:jc w:val="center"/>
        <w:tblLook w:firstColumn="1" w:firstRow="1" w:lastColumn="0" w:lastRow="0" w:noHBand="0" w:noVBand="1" w:val="04A0"/>
      </w:tblPr>
      <w:tblGrid>
        <w:gridCol w:w="4819"/>
        <w:gridCol w:w="4819"/>
      </w:tblGrid>
      <w:tr>
        <w:tc>
          <w:tcPr>
            <w:tcW w:type="dxa" w:w="4252"/>
            <w:shd w:val="clear" w:color="auto" w:fill="EAF4F8"/>
          </w:tcPr>
          <w:p>
            <w:r/>
            <w:r>
              <w:rPr>
                <w:b/>
                <w:color w:val="0B3D5C"/>
                <w:sz w:val="21"/>
              </w:rPr>
              <w:t>Seed 2026</w:t>
            </w:r>
          </w:p>
        </w:tc>
        <w:tc>
          <w:tcPr>
            <w:tcW w:type="dxa" w:w="5102"/>
            <w:shd w:val="clear" w:color="auto" w:fill="EAF4F8"/>
          </w:tcPr>
          <w:p>
            <w:r/>
            <w:r>
              <w:rPr>
                <w:b/>
                <w:sz w:val="21"/>
              </w:rPr>
              <w:t>58 млн ₽ — ядро продукта, пилот, регуляторика, первый питч B2G</w:t>
            </w:r>
          </w:p>
        </w:tc>
      </w:tr>
      <w:tr>
        <w:tc>
          <w:tcPr>
            <w:tcW w:type="dxa" w:w="4252"/>
            <w:shd w:val="clear" w:color="auto" w:fill="EAF4F8"/>
          </w:tcPr>
          <w:p>
            <w:r/>
            <w:r>
              <w:rPr>
                <w:b/>
                <w:color w:val="0B3D5C"/>
                <w:sz w:val="21"/>
              </w:rPr>
              <w:t>Series A 2027</w:t>
            </w:r>
          </w:p>
        </w:tc>
        <w:tc>
          <w:tcPr>
            <w:tcW w:type="dxa" w:w="5102"/>
            <w:shd w:val="clear" w:color="auto" w:fill="EAF4F8"/>
          </w:tcPr>
          <w:p>
            <w:r/>
            <w:r>
              <w:rPr>
                <w:b/>
                <w:sz w:val="21"/>
              </w:rPr>
              <w:t>78 млн ₽ — коммерциализация, модули, экспансия и подготовка Китая</w:t>
            </w:r>
          </w:p>
        </w:tc>
      </w:tr>
      <w:tr>
        <w:tc>
          <w:tcPr>
            <w:tcW w:type="dxa" w:w="4252"/>
            <w:shd w:val="clear" w:color="auto" w:fill="EAF4F8"/>
          </w:tcPr>
          <w:p>
            <w:r/>
            <w:r>
              <w:rPr>
                <w:b/>
                <w:color w:val="0B3D5C"/>
                <w:sz w:val="21"/>
              </w:rPr>
              <w:t>Дорожка до безубыточности</w:t>
            </w:r>
          </w:p>
        </w:tc>
        <w:tc>
          <w:tcPr>
            <w:tcW w:type="dxa" w:w="5102"/>
            <w:shd w:val="clear" w:color="auto" w:fill="EAF4F8"/>
          </w:tcPr>
          <w:p>
            <w:r/>
            <w:r>
              <w:rPr>
                <w:b/>
                <w:sz w:val="21"/>
              </w:rPr>
              <w:t>выручка + гранты покрывают OPEX с 2028; серия A хватает до положительного операционного потока</w:t>
            </w:r>
          </w:p>
        </w:tc>
      </w:tr>
      <w:tr>
        <w:tc>
          <w:tcPr>
            <w:tcW w:type="dxa" w:w="4252"/>
            <w:shd w:val="clear" w:color="auto" w:fill="EAF4F8"/>
          </w:tcPr>
          <w:p>
            <w:r/>
            <w:r>
              <w:rPr>
                <w:b/>
                <w:color w:val="0B3D5C"/>
                <w:sz w:val="21"/>
              </w:rPr>
              <w:t>Совокупная потребность</w:t>
            </w:r>
          </w:p>
        </w:tc>
        <w:tc>
          <w:tcPr>
            <w:tcW w:type="dxa" w:w="5102"/>
            <w:shd w:val="clear" w:color="auto" w:fill="EAF4F8"/>
          </w:tcPr>
          <w:p>
            <w:r/>
            <w:r>
              <w:rPr>
                <w:b/>
                <w:sz w:val="21"/>
              </w:rPr>
              <w:t>136 млн ₽ + гранты (прочие источники не догружают cash-out до отрицательного минимума)</w:t>
            </w:r>
          </w:p>
        </w:tc>
      </w:tr>
    </w:tbl>
    <w:p/>
    <w:p>
      <w:pPr>
        <w:pStyle w:val="Heading2"/>
      </w:pPr>
      <w:r>
        <w:t>13.2. Дорожная карта привлечения и использования средств</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928"/>
            <w:shd w:val="clear" w:color="auto" w:fill="0B3D5C"/>
          </w:tcPr>
          <w:p>
            <w:r/>
            <w:r>
              <w:rPr>
                <w:b/>
                <w:color w:val="FFFFFF"/>
                <w:sz w:val="20"/>
              </w:rPr>
              <w:t>Раунд</w:t>
            </w:r>
          </w:p>
        </w:tc>
        <w:tc>
          <w:tcPr>
            <w:tcW w:type="dxa" w:w="1134"/>
            <w:shd w:val="clear" w:color="auto" w:fill="0B3D5C"/>
          </w:tcPr>
          <w:p>
            <w:r/>
            <w:r>
              <w:rPr>
                <w:b/>
                <w:color w:val="FFFFFF"/>
                <w:sz w:val="20"/>
              </w:rPr>
              <w:t>Сумма</w:t>
            </w:r>
          </w:p>
        </w:tc>
        <w:tc>
          <w:tcPr>
            <w:tcW w:type="dxa" w:w="1701"/>
            <w:shd w:val="clear" w:color="auto" w:fill="0B3D5C"/>
          </w:tcPr>
          <w:p>
            <w:r/>
            <w:r>
              <w:rPr>
                <w:b/>
                <w:color w:val="FFFFFF"/>
                <w:sz w:val="20"/>
              </w:rPr>
              <w:t>Формат</w:t>
            </w:r>
          </w:p>
        </w:tc>
        <w:tc>
          <w:tcPr>
            <w:tcW w:type="dxa" w:w="4649"/>
            <w:shd w:val="clear" w:color="auto" w:fill="0B3D5C"/>
          </w:tcPr>
          <w:p>
            <w:r/>
            <w:r>
              <w:rPr>
                <w:b/>
                <w:color w:val="FFFFFF"/>
                <w:sz w:val="20"/>
              </w:rPr>
              <w:t>Использование средств</w:t>
            </w:r>
          </w:p>
        </w:tc>
      </w:tr>
      <w:tr>
        <w:tc>
          <w:tcPr>
            <w:tcW w:type="dxa" w:w="1928"/>
          </w:tcPr>
          <w:p>
            <w:r/>
            <w:r>
              <w:rPr>
                <w:sz w:val="20"/>
              </w:rPr>
              <w:t>Seed (2026)</w:t>
            </w:r>
          </w:p>
        </w:tc>
        <w:tc>
          <w:tcPr>
            <w:tcW w:type="dxa" w:w="1134"/>
          </w:tcPr>
          <w:p>
            <w:r/>
            <w:r>
              <w:rPr>
                <w:sz w:val="20"/>
              </w:rPr>
              <w:t>58 млн ₽</w:t>
            </w:r>
          </w:p>
        </w:tc>
        <w:tc>
          <w:tcPr>
            <w:tcW w:type="dxa" w:w="1701"/>
          </w:tcPr>
          <w:p>
            <w:r/>
            <w:r>
              <w:rPr>
                <w:sz w:val="20"/>
              </w:rPr>
              <w:t>Прив. акции / конвертируемый займ (SAFE) до АО</w:t>
            </w:r>
          </w:p>
        </w:tc>
        <w:tc>
          <w:tcPr>
            <w:tcW w:type="dxa" w:w="4649"/>
          </w:tcPr>
          <w:p>
            <w:r/>
            <w:r>
              <w:rPr>
                <w:sz w:val="20"/>
              </w:rPr>
              <w:t>R&amp;D ядра 26, клин. валидация 10, регуляторика 8, команда 10, право/ИС 4,3, резерв 1,8</w:t>
            </w:r>
          </w:p>
        </w:tc>
      </w:tr>
      <w:tr>
        <w:tc>
          <w:tcPr>
            <w:tcW w:type="dxa" w:w="1928"/>
            <w:shd w:val="clear" w:color="auto" w:fill="F3F8FB"/>
          </w:tcPr>
          <w:p>
            <w:r/>
            <w:r>
              <w:rPr>
                <w:sz w:val="20"/>
              </w:rPr>
              <w:t>Series A (2027)</w:t>
            </w:r>
          </w:p>
        </w:tc>
        <w:tc>
          <w:tcPr>
            <w:tcW w:type="dxa" w:w="1134"/>
            <w:shd w:val="clear" w:color="auto" w:fill="F3F8FB"/>
          </w:tcPr>
          <w:p>
            <w:r/>
            <w:r>
              <w:rPr>
                <w:sz w:val="20"/>
              </w:rPr>
              <w:t>78 млн ₽</w:t>
            </w:r>
          </w:p>
        </w:tc>
        <w:tc>
          <w:tcPr>
            <w:tcW w:type="dxa" w:w="1701"/>
            <w:shd w:val="clear" w:color="auto" w:fill="F3F8FB"/>
          </w:tcPr>
          <w:p>
            <w:r/>
            <w:r>
              <w:rPr>
                <w:sz w:val="20"/>
              </w:rPr>
              <w:t>Прив. акции АО</w:t>
            </w:r>
          </w:p>
        </w:tc>
        <w:tc>
          <w:tcPr>
            <w:tcW w:type="dxa" w:w="4649"/>
            <w:shd w:val="clear" w:color="auto" w:fill="F3F8FB"/>
          </w:tcPr>
          <w:p>
            <w:r/>
            <w:r>
              <w:rPr>
                <w:sz w:val="20"/>
              </w:rPr>
              <w:t>Пилот+публикации 14, коммерч. рост 28, модули 6, экспансия 10, международн. 8</w:t>
            </w:r>
          </w:p>
        </w:tc>
      </w:tr>
      <w:tr>
        <w:tc>
          <w:tcPr>
            <w:tcW w:type="dxa" w:w="1928"/>
          </w:tcPr>
          <w:p>
            <w:r/>
            <w:r>
              <w:rPr>
                <w:sz w:val="20"/>
              </w:rPr>
              <w:t>Гранты (non-dilutive)</w:t>
            </w:r>
          </w:p>
        </w:tc>
        <w:tc>
          <w:tcPr>
            <w:tcW w:type="dxa" w:w="1134"/>
          </w:tcPr>
          <w:p>
            <w:r/>
            <w:r>
              <w:rPr>
                <w:sz w:val="20"/>
              </w:rPr>
              <w:t>≤17 млн ₽</w:t>
            </w:r>
          </w:p>
        </w:tc>
        <w:tc>
          <w:tcPr>
            <w:tcW w:type="dxa" w:w="1701"/>
          </w:tcPr>
          <w:p>
            <w:r/>
            <w:r>
              <w:rPr>
                <w:sz w:val="20"/>
              </w:rPr>
              <w:t>Безвозмездные</w:t>
            </w:r>
          </w:p>
        </w:tc>
        <w:tc>
          <w:tcPr>
            <w:tcW w:type="dxa" w:w="4649"/>
          </w:tcPr>
          <w:p>
            <w:r/>
            <w:r>
              <w:rPr>
                <w:sz w:val="20"/>
              </w:rPr>
              <w:t>ФСИ/СКОЛКОВО/ВЭБ.РФ/ДЗМ на R&amp;D и валидацию</w:t>
            </w:r>
          </w:p>
        </w:tc>
      </w:tr>
    </w:tbl>
    <w:p/>
    <w:p>
      <w:pPr>
        <w:pStyle w:val="Heading3"/>
      </w:pPr>
      <w:r>
        <w:t>13.2а. Недилютивные источники финансирования (гранты)</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3969"/>
            <w:shd w:val="clear" w:color="auto" w:fill="0B3D5C"/>
          </w:tcPr>
          <w:p>
            <w:r/>
            <w:r>
              <w:rPr>
                <w:b/>
                <w:color w:val="FFFFFF"/>
                <w:sz w:val="20"/>
              </w:rPr>
              <w:t>Источник</w:t>
            </w:r>
          </w:p>
        </w:tc>
        <w:tc>
          <w:tcPr>
            <w:tcW w:type="dxa" w:w="2154"/>
            <w:shd w:val="clear" w:color="auto" w:fill="0B3D5C"/>
          </w:tcPr>
          <w:p>
            <w:r/>
            <w:r>
              <w:rPr>
                <w:b/>
                <w:color w:val="FFFFFF"/>
                <w:sz w:val="20"/>
              </w:rPr>
              <w:t>Назначение</w:t>
            </w:r>
          </w:p>
        </w:tc>
        <w:tc>
          <w:tcPr>
            <w:tcW w:type="dxa" w:w="1701"/>
            <w:shd w:val="clear" w:color="auto" w:fill="0B3D5C"/>
          </w:tcPr>
          <w:p>
            <w:r/>
            <w:r>
              <w:rPr>
                <w:b/>
                <w:color w:val="FFFFFF"/>
                <w:sz w:val="20"/>
              </w:rPr>
              <w:t>Порядок величины</w:t>
            </w:r>
          </w:p>
        </w:tc>
        <w:tc>
          <w:tcPr>
            <w:tcW w:type="dxa" w:w="1361"/>
            <w:shd w:val="clear" w:color="auto" w:fill="0B3D5C"/>
          </w:tcPr>
          <w:p>
            <w:r/>
            <w:r>
              <w:rPr>
                <w:b/>
                <w:color w:val="FFFFFF"/>
                <w:sz w:val="20"/>
              </w:rPr>
              <w:t>Ориентир</w:t>
            </w:r>
          </w:p>
        </w:tc>
      </w:tr>
      <w:tr>
        <w:tc>
          <w:tcPr>
            <w:tcW w:type="dxa" w:w="3969"/>
          </w:tcPr>
          <w:p>
            <w:r/>
            <w:r>
              <w:rPr>
                <w:sz w:val="20"/>
              </w:rPr>
              <w:t>Фонд содействия инновациям (разные программы)</w:t>
            </w:r>
          </w:p>
        </w:tc>
        <w:tc>
          <w:tcPr>
            <w:tcW w:type="dxa" w:w="2154"/>
          </w:tcPr>
          <w:p>
            <w:r/>
            <w:r>
              <w:rPr>
                <w:sz w:val="20"/>
              </w:rPr>
              <w:t>R&amp;D ядра, патентование</w:t>
            </w:r>
          </w:p>
        </w:tc>
        <w:tc>
          <w:tcPr>
            <w:tcW w:type="dxa" w:w="1701"/>
          </w:tcPr>
          <w:p>
            <w:r/>
            <w:r>
              <w:rPr>
                <w:sz w:val="20"/>
              </w:rPr>
              <w:t>6–8 млн ₽</w:t>
            </w:r>
          </w:p>
        </w:tc>
        <w:tc>
          <w:tcPr>
            <w:tcW w:type="dxa" w:w="1361"/>
          </w:tcPr>
          <w:p>
            <w:r/>
            <w:r>
              <w:rPr>
                <w:sz w:val="20"/>
              </w:rPr>
              <w:t>заявка 2026</w:t>
            </w:r>
          </w:p>
        </w:tc>
      </w:tr>
      <w:tr>
        <w:tc>
          <w:tcPr>
            <w:tcW w:type="dxa" w:w="3969"/>
            <w:shd w:val="clear" w:color="auto" w:fill="F3F8FB"/>
          </w:tcPr>
          <w:p>
            <w:r/>
            <w:r>
              <w:rPr>
                <w:sz w:val="20"/>
              </w:rPr>
              <w:t>«Сколково» (гранты участников)</w:t>
            </w:r>
          </w:p>
        </w:tc>
        <w:tc>
          <w:tcPr>
            <w:tcW w:type="dxa" w:w="2154"/>
            <w:shd w:val="clear" w:color="auto" w:fill="F3F8FB"/>
          </w:tcPr>
          <w:p>
            <w:r/>
            <w:r>
              <w:rPr>
                <w:sz w:val="20"/>
              </w:rPr>
              <w:t>валидация, MVP</w:t>
            </w:r>
          </w:p>
        </w:tc>
        <w:tc>
          <w:tcPr>
            <w:tcW w:type="dxa" w:w="1701"/>
            <w:shd w:val="clear" w:color="auto" w:fill="F3F8FB"/>
          </w:tcPr>
          <w:p>
            <w:r/>
            <w:r>
              <w:rPr>
                <w:sz w:val="20"/>
              </w:rPr>
              <w:t>8–10 млн ₽</w:t>
            </w:r>
          </w:p>
        </w:tc>
        <w:tc>
          <w:tcPr>
            <w:tcW w:type="dxa" w:w="1361"/>
            <w:shd w:val="clear" w:color="auto" w:fill="F3F8FB"/>
          </w:tcPr>
          <w:p>
            <w:r/>
            <w:r>
              <w:rPr>
                <w:sz w:val="20"/>
              </w:rPr>
              <w:t>заявка 2026–2027</w:t>
            </w:r>
          </w:p>
        </w:tc>
      </w:tr>
      <w:tr>
        <w:tc>
          <w:tcPr>
            <w:tcW w:type="dxa" w:w="3969"/>
          </w:tcPr>
          <w:p>
            <w:r/>
            <w:r>
              <w:rPr>
                <w:sz w:val="20"/>
              </w:rPr>
              <w:t>ВЭБ.РФ / РВК (целевые механизмы)</w:t>
            </w:r>
          </w:p>
        </w:tc>
        <w:tc>
          <w:tcPr>
            <w:tcW w:type="dxa" w:w="2154"/>
          </w:tcPr>
          <w:p>
            <w:r/>
            <w:r>
              <w:rPr>
                <w:sz w:val="20"/>
              </w:rPr>
              <w:t>экспорт КНР, М&amp;А-подготовка</w:t>
            </w:r>
          </w:p>
        </w:tc>
        <w:tc>
          <w:tcPr>
            <w:tcW w:type="dxa" w:w="1701"/>
          </w:tcPr>
          <w:p>
            <w:r/>
            <w:r>
              <w:rPr>
                <w:sz w:val="20"/>
              </w:rPr>
              <w:t>8–14 млн ₽</w:t>
            </w:r>
          </w:p>
        </w:tc>
        <w:tc>
          <w:tcPr>
            <w:tcW w:type="dxa" w:w="1361"/>
          </w:tcPr>
          <w:p>
            <w:r/>
            <w:r>
              <w:rPr>
                <w:sz w:val="20"/>
              </w:rPr>
              <w:t>2028+</w:t>
            </w:r>
          </w:p>
        </w:tc>
      </w:tr>
      <w:tr>
        <w:tc>
          <w:tcPr>
            <w:tcW w:type="dxa" w:w="3969"/>
            <w:shd w:val="clear" w:color="auto" w:fill="F3F8FB"/>
          </w:tcPr>
          <w:p>
            <w:r/>
            <w:r>
              <w:rPr>
                <w:sz w:val="20"/>
              </w:rPr>
              <w:t>Департамент здравоохранения Москвы («песочница»)</w:t>
            </w:r>
          </w:p>
        </w:tc>
        <w:tc>
          <w:tcPr>
            <w:tcW w:type="dxa" w:w="2154"/>
            <w:shd w:val="clear" w:color="auto" w:fill="F3F8FB"/>
          </w:tcPr>
          <w:p>
            <w:r/>
            <w:r>
              <w:rPr>
                <w:sz w:val="20"/>
              </w:rPr>
              <w:t>пилот, оценка эффективности</w:t>
            </w:r>
          </w:p>
        </w:tc>
        <w:tc>
          <w:tcPr>
            <w:tcW w:type="dxa" w:w="1701"/>
            <w:shd w:val="clear" w:color="auto" w:fill="F3F8FB"/>
          </w:tcPr>
          <w:p>
            <w:r/>
            <w:r>
              <w:rPr>
                <w:sz w:val="20"/>
              </w:rPr>
              <w:t>7–8 млн ₽</w:t>
            </w:r>
          </w:p>
        </w:tc>
        <w:tc>
          <w:tcPr>
            <w:tcW w:type="dxa" w:w="1361"/>
            <w:shd w:val="clear" w:color="auto" w:fill="F3F8FB"/>
          </w:tcPr>
          <w:p>
            <w:r/>
            <w:r>
              <w:rPr>
                <w:sz w:val="20"/>
              </w:rPr>
              <w:t>2026–2027</w:t>
            </w:r>
          </w:p>
        </w:tc>
      </w:tr>
      <w:tr>
        <w:tc>
          <w:tcPr>
            <w:tcW w:type="dxa" w:w="3969"/>
          </w:tcPr>
          <w:p>
            <w:r/>
            <w:r>
              <w:rPr>
                <w:sz w:val="20"/>
              </w:rPr>
              <w:t>Итого (в модель заложено)</w:t>
            </w:r>
          </w:p>
        </w:tc>
        <w:tc>
          <w:tcPr>
            <w:tcW w:type="dxa" w:w="2154"/>
          </w:tcPr>
          <w:p>
            <w:r/>
            <w:r>
              <w:rPr>
                <w:sz w:val="20"/>
              </w:rPr>
              <w:t>non-dilutive</w:t>
            </w:r>
          </w:p>
        </w:tc>
        <w:tc>
          <w:tcPr>
            <w:tcW w:type="dxa" w:w="1701"/>
          </w:tcPr>
          <w:p>
            <w:r/>
            <w:r>
              <w:rPr>
                <w:sz w:val="20"/>
              </w:rPr>
              <w:t>17 млн ₽ за 2026–2030</w:t>
            </w:r>
          </w:p>
        </w:tc>
        <w:tc>
          <w:tcPr>
            <w:tcW w:type="dxa" w:w="1361"/>
          </w:tcPr>
          <w:p>
            <w:r/>
            <w:r>
              <w:rPr>
                <w:sz w:val="20"/>
              </w:rPr>
              <w:t>по графику Q-поступлений</w:t>
            </w:r>
          </w:p>
        </w:tc>
      </w:tr>
    </w:tbl>
    <w:p/>
    <w:p>
      <w:r>
        <w:rPr>
          <w:b w:val="0"/>
          <w:i w:val="0"/>
          <w:sz w:val="22"/>
        </w:rPr>
        <w:t>Гранты не являются основой плана, но создают «точку безопасности»: при успешной подаче они замещают часть операционных расходов и продлевают runway между раундами. Бюджет модели консервативен — учитывает только вероятные поступления (17 млн ₽ суммарно).</w:t>
      </w:r>
    </w:p>
    <w:p>
      <w:pPr>
        <w:pStyle w:val="Heading2"/>
      </w:pPr>
      <w:r>
        <w:t>13.3. Оценка и cap table (после Series A)</w:t>
      </w:r>
    </w:p>
    <w:tbl>
      <w:tblPr>
        <w:tblStyle w:val="TableGrid"/>
        <w:tblW w:type="auto" w:w="0"/>
        <w:jc w:val="center"/>
        <w:tblLook w:firstColumn="1" w:firstRow="1" w:lastColumn="0" w:lastRow="0" w:noHBand="0" w:noVBand="1" w:val="04A0"/>
      </w:tblPr>
      <w:tblGrid>
        <w:gridCol w:w="3213"/>
        <w:gridCol w:w="3213"/>
        <w:gridCol w:w="3213"/>
      </w:tblGrid>
      <w:tr>
        <w:tc>
          <w:tcPr>
            <w:tcW w:type="dxa" w:w="3969"/>
            <w:shd w:val="clear" w:color="auto" w:fill="0B3D5C"/>
          </w:tcPr>
          <w:p>
            <w:r/>
            <w:r>
              <w:rPr>
                <w:b/>
                <w:color w:val="FFFFFF"/>
                <w:sz w:val="20"/>
              </w:rPr>
              <w:t>Акционер</w:t>
            </w:r>
          </w:p>
        </w:tc>
        <w:tc>
          <w:tcPr>
            <w:tcW w:type="dxa" w:w="2494"/>
            <w:shd w:val="clear" w:color="auto" w:fill="0B3D5C"/>
          </w:tcPr>
          <w:p>
            <w:r/>
            <w:r>
              <w:rPr>
                <w:b/>
                <w:color w:val="FFFFFF"/>
                <w:sz w:val="20"/>
              </w:rPr>
              <w:t>Обыкновенные (без пула), %</w:t>
            </w:r>
          </w:p>
        </w:tc>
        <w:tc>
          <w:tcPr>
            <w:tcW w:type="dxa" w:w="2041"/>
            <w:shd w:val="clear" w:color="auto" w:fill="0B3D5C"/>
          </w:tcPr>
          <w:p>
            <w:r/>
            <w:r>
              <w:rPr>
                <w:b/>
                <w:color w:val="FFFFFF"/>
                <w:sz w:val="20"/>
              </w:rPr>
              <w:t>После опц. пула, %</w:t>
            </w:r>
          </w:p>
        </w:tc>
      </w:tr>
      <w:tr>
        <w:tc>
          <w:tcPr>
            <w:tcW w:type="dxa" w:w="3969"/>
          </w:tcPr>
          <w:p>
            <w:r/>
            <w:r>
              <w:rPr>
                <w:sz w:val="20"/>
              </w:rPr>
              <w:t>Основатель (ООО «МедТехПрима»)</w:t>
            </w:r>
          </w:p>
        </w:tc>
        <w:tc>
          <w:tcPr>
            <w:tcW w:type="dxa" w:w="2494"/>
          </w:tcPr>
          <w:p>
            <w:r/>
            <w:r>
              <w:rPr>
                <w:sz w:val="20"/>
              </w:rPr>
              <w:t>52,0%</w:t>
            </w:r>
          </w:p>
        </w:tc>
        <w:tc>
          <w:tcPr>
            <w:tcW w:type="dxa" w:w="2041"/>
          </w:tcPr>
          <w:p>
            <w:r/>
            <w:r>
              <w:rPr>
                <w:sz w:val="20"/>
              </w:rPr>
              <w:t>≈85,0%</w:t>
            </w:r>
          </w:p>
        </w:tc>
      </w:tr>
      <w:tr>
        <w:tc>
          <w:tcPr>
            <w:tcW w:type="dxa" w:w="3969"/>
            <w:shd w:val="clear" w:color="auto" w:fill="F3F8FB"/>
          </w:tcPr>
          <w:p>
            <w:r/>
            <w:r>
              <w:rPr>
                <w:sz w:val="20"/>
              </w:rPr>
              <w:t>Инвестор Seed</w:t>
            </w:r>
          </w:p>
        </w:tc>
        <w:tc>
          <w:tcPr>
            <w:tcW w:type="dxa" w:w="2494"/>
            <w:shd w:val="clear" w:color="auto" w:fill="F3F8FB"/>
          </w:tcPr>
          <w:p>
            <w:r/>
            <w:r>
              <w:rPr>
                <w:sz w:val="20"/>
              </w:rPr>
              <w:t>51,0%</w:t>
            </w:r>
          </w:p>
        </w:tc>
        <w:tc>
          <w:tcPr>
            <w:tcW w:type="dxa" w:w="2041"/>
            <w:shd w:val="clear" w:color="auto" w:fill="F3F8FB"/>
          </w:tcPr>
          <w:p>
            <w:r/>
            <w:r>
              <w:rPr>
                <w:sz w:val="20"/>
              </w:rPr>
              <w:t>38,0%</w:t>
            </w:r>
          </w:p>
        </w:tc>
      </w:tr>
      <w:tr>
        <w:tc>
          <w:tcPr>
            <w:tcW w:type="dxa" w:w="3969"/>
          </w:tcPr>
          <w:p>
            <w:r/>
            <w:r>
              <w:rPr>
                <w:sz w:val="20"/>
              </w:rPr>
              <w:t>Инвестор Series A</w:t>
            </w:r>
          </w:p>
        </w:tc>
        <w:tc>
          <w:tcPr>
            <w:tcW w:type="dxa" w:w="2494"/>
          </w:tcPr>
          <w:p>
            <w:r/>
            <w:r>
              <w:rPr>
                <w:sz w:val="20"/>
              </w:rPr>
              <w:t>25,0%</w:t>
            </w:r>
          </w:p>
        </w:tc>
        <w:tc>
          <w:tcPr>
            <w:tcW w:type="dxa" w:w="2041"/>
          </w:tcPr>
          <w:p>
            <w:r/>
            <w:r>
              <w:rPr>
                <w:sz w:val="20"/>
              </w:rPr>
              <w:t>18,0%</w:t>
            </w:r>
          </w:p>
        </w:tc>
      </w:tr>
      <w:tr>
        <w:tc>
          <w:tcPr>
            <w:tcW w:type="dxa" w:w="3969"/>
            <w:shd w:val="clear" w:color="auto" w:fill="F3F8FB"/>
          </w:tcPr>
          <w:p>
            <w:r/>
            <w:r>
              <w:rPr>
                <w:sz w:val="20"/>
              </w:rPr>
              <w:t>Опционный пул</w:t>
            </w:r>
          </w:p>
        </w:tc>
        <w:tc>
          <w:tcPr>
            <w:tcW w:type="dxa" w:w="2494"/>
            <w:shd w:val="clear" w:color="auto" w:fill="F3F8FB"/>
          </w:tcPr>
          <w:p>
            <w:r/>
            <w:r>
              <w:rPr>
                <w:sz w:val="20"/>
              </w:rPr>
              <w:t>—</w:t>
            </w:r>
          </w:p>
        </w:tc>
        <w:tc>
          <w:tcPr>
            <w:tcW w:type="dxa" w:w="2041"/>
            <w:shd w:val="clear" w:color="auto" w:fill="F3F8FB"/>
          </w:tcPr>
          <w:p>
            <w:r/>
            <w:r>
              <w:rPr>
                <w:sz w:val="20"/>
              </w:rPr>
              <w:t>≈26,0%</w:t>
            </w:r>
          </w:p>
        </w:tc>
      </w:tr>
    </w:tbl>
    <w:p/>
    <w:p>
      <w:r>
        <w:rPr>
          <w:i/>
          <w:color w:val="5A6A7A"/>
          <w:sz w:val="18"/>
        </w:rPr>
        <w:t>Доли показаны ориентировочно после полного размытия и зависят от точного размера пула и условий акционерного соглашения. Pre-money: Seed 165 млн ₽ (post 262), Series A 420 млн ₽ (post 709).</w:t>
      </w:r>
    </w:p>
    <w:p>
      <w:r>
        <w:drawing>
          <wp:inline xmlns:a="http://schemas.openxmlformats.org/drawingml/2006/main" xmlns:pic="http://schemas.openxmlformats.org/drawingml/2006/picture">
            <wp:extent cx="5220000" cy="2326988"/>
            <wp:docPr id="12" name="Picture 12"/>
            <wp:cNvGraphicFramePr>
              <a:graphicFrameLocks noChangeAspect="1"/>
            </wp:cNvGraphicFramePr>
            <a:graphic>
              <a:graphicData uri="http://schemas.openxmlformats.org/drawingml/2006/picture">
                <pic:pic>
                  <pic:nvPicPr>
                    <pic:cNvPr id="0" name="bp_chart_cap.png"/>
                    <pic:cNvPicPr/>
                  </pic:nvPicPr>
                  <pic:blipFill>
                    <a:blip r:embed="rId20"/>
                    <a:stretch>
                      <a:fillRect/>
                    </a:stretch>
                  </pic:blipFill>
                  <pic:spPr>
                    <a:xfrm>
                      <a:off x="0" y="0"/>
                      <a:ext cx="5220000" cy="2326988"/>
                    </a:xfrm>
                    <a:prstGeom prst="rect"/>
                  </pic:spPr>
                </pic:pic>
              </a:graphicData>
            </a:graphic>
          </wp:inline>
        </w:drawing>
      </w:r>
    </w:p>
    <w:p>
      <w:pPr>
        <w:jc w:val="center"/>
      </w:pPr>
      <w:r>
        <w:rPr>
          <w:i/>
          <w:color w:val="5A6A7A"/>
          <w:sz w:val="19"/>
        </w:rPr>
        <w:t>Рис. 24.0. Cap table: размытие долей по раундам</w:t>
      </w:r>
    </w:p>
    <w:p>
      <w:pPr>
        <w:jc w:val="center"/>
      </w:pPr>
      <w:r>
        <w:rPr>
          <w:color w:val="5A6A7A"/>
          <w:sz w:val="16"/>
        </w:rPr>
        <w:t>Источник: расчёт модели (лист Инвестор).</w:t>
      </w:r>
    </w:p>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474"/>
            <w:shd w:val="clear" w:color="auto" w:fill="0B3D5C"/>
          </w:tcPr>
          <w:p>
            <w:r/>
            <w:r>
              <w:rPr>
                <w:b/>
                <w:color w:val="FFFFFF"/>
                <w:sz w:val="20"/>
              </w:rPr>
              <w:t>Раунд</w:t>
            </w:r>
          </w:p>
        </w:tc>
        <w:tc>
          <w:tcPr>
            <w:tcW w:type="dxa" w:w="1701"/>
            <w:shd w:val="clear" w:color="auto" w:fill="0B3D5C"/>
          </w:tcPr>
          <w:p>
            <w:r/>
            <w:r>
              <w:rPr>
                <w:b/>
                <w:color w:val="FFFFFF"/>
                <w:sz w:val="20"/>
              </w:rPr>
              <w:t>Pre-money, млн ₽</w:t>
            </w:r>
          </w:p>
        </w:tc>
        <w:tc>
          <w:tcPr>
            <w:tcW w:type="dxa" w:w="1587"/>
            <w:shd w:val="clear" w:color="auto" w:fill="0B3D5C"/>
          </w:tcPr>
          <w:p>
            <w:r/>
            <w:r>
              <w:rPr>
                <w:b/>
                <w:color w:val="FFFFFF"/>
                <w:sz w:val="20"/>
              </w:rPr>
              <w:t>Сумма, млн ₽</w:t>
            </w:r>
          </w:p>
        </w:tc>
        <w:tc>
          <w:tcPr>
            <w:tcW w:type="dxa" w:w="1814"/>
            <w:shd w:val="clear" w:color="auto" w:fill="0B3D5C"/>
          </w:tcPr>
          <w:p>
            <w:r/>
            <w:r>
              <w:rPr>
                <w:b/>
                <w:color w:val="FFFFFF"/>
                <w:sz w:val="20"/>
              </w:rPr>
              <w:t>Post-money, млн ₽</w:t>
            </w:r>
          </w:p>
        </w:tc>
        <w:tc>
          <w:tcPr>
            <w:tcW w:type="dxa" w:w="2268"/>
            <w:shd w:val="clear" w:color="auto" w:fill="0B3D5C"/>
          </w:tcPr>
          <w:p>
            <w:r/>
            <w:r>
              <w:rPr>
                <w:b/>
                <w:color w:val="FFFFFF"/>
                <w:sz w:val="20"/>
              </w:rPr>
              <w:t>Доля раунда (после пула)</w:t>
            </w:r>
          </w:p>
        </w:tc>
      </w:tr>
      <w:tr>
        <w:tc>
          <w:tcPr>
            <w:tcW w:type="dxa" w:w="1474"/>
          </w:tcPr>
          <w:p>
            <w:r/>
            <w:r>
              <w:rPr>
                <w:sz w:val="20"/>
              </w:rPr>
              <w:t>Seed</w:t>
            </w:r>
          </w:p>
        </w:tc>
        <w:tc>
          <w:tcPr>
            <w:tcW w:type="dxa" w:w="1701"/>
          </w:tcPr>
          <w:p>
            <w:r/>
            <w:r>
              <w:rPr>
                <w:sz w:val="20"/>
              </w:rPr>
              <w:t>165</w:t>
            </w:r>
          </w:p>
        </w:tc>
        <w:tc>
          <w:tcPr>
            <w:tcW w:type="dxa" w:w="1587"/>
          </w:tcPr>
          <w:p>
            <w:r/>
            <w:r>
              <w:rPr>
                <w:sz w:val="20"/>
              </w:rPr>
              <w:t>58</w:t>
            </w:r>
          </w:p>
        </w:tc>
        <w:tc>
          <w:tcPr>
            <w:tcW w:type="dxa" w:w="1814"/>
          </w:tcPr>
          <w:p>
            <w:r/>
            <w:r>
              <w:rPr>
                <w:sz w:val="20"/>
              </w:rPr>
              <w:t>262</w:t>
            </w:r>
          </w:p>
        </w:tc>
        <w:tc>
          <w:tcPr>
            <w:tcW w:type="dxa" w:w="2268"/>
          </w:tcPr>
          <w:p>
            <w:r/>
            <w:r>
              <w:rPr>
                <w:sz w:val="20"/>
              </w:rPr>
              <w:t>38,0%</w:t>
            </w:r>
          </w:p>
        </w:tc>
      </w:tr>
      <w:tr>
        <w:tc>
          <w:tcPr>
            <w:tcW w:type="dxa" w:w="1474"/>
            <w:shd w:val="clear" w:color="auto" w:fill="F3F8FB"/>
          </w:tcPr>
          <w:p>
            <w:r/>
            <w:r>
              <w:rPr>
                <w:sz w:val="20"/>
              </w:rPr>
              <w:t>Series A</w:t>
            </w:r>
          </w:p>
        </w:tc>
        <w:tc>
          <w:tcPr>
            <w:tcW w:type="dxa" w:w="1701"/>
            <w:shd w:val="clear" w:color="auto" w:fill="F3F8FB"/>
          </w:tcPr>
          <w:p>
            <w:r/>
            <w:r>
              <w:rPr>
                <w:sz w:val="20"/>
              </w:rPr>
              <w:t>420</w:t>
            </w:r>
          </w:p>
        </w:tc>
        <w:tc>
          <w:tcPr>
            <w:tcW w:type="dxa" w:w="1587"/>
            <w:shd w:val="clear" w:color="auto" w:fill="F3F8FB"/>
          </w:tcPr>
          <w:p>
            <w:r/>
            <w:r>
              <w:rPr>
                <w:sz w:val="20"/>
              </w:rPr>
              <w:t>78</w:t>
            </w:r>
          </w:p>
        </w:tc>
        <w:tc>
          <w:tcPr>
            <w:tcW w:type="dxa" w:w="1814"/>
            <w:shd w:val="clear" w:color="auto" w:fill="F3F8FB"/>
          </w:tcPr>
          <w:p>
            <w:r/>
            <w:r>
              <w:rPr>
                <w:sz w:val="20"/>
              </w:rPr>
              <w:t>709</w:t>
            </w:r>
          </w:p>
        </w:tc>
        <w:tc>
          <w:tcPr>
            <w:tcW w:type="dxa" w:w="2268"/>
            <w:shd w:val="clear" w:color="auto" w:fill="F3F8FB"/>
          </w:tcPr>
          <w:p>
            <w:r/>
            <w:r>
              <w:rPr>
                <w:sz w:val="20"/>
              </w:rPr>
              <w:t>18,0%</w:t>
            </w:r>
          </w:p>
        </w:tc>
      </w:tr>
    </w:tbl>
    <w:p/>
    <w:p>
      <w:pPr>
        <w:pStyle w:val="Heading2"/>
      </w:pPr>
      <w:r>
        <w:t>13.4. Термины, предлагаемые инвестору</w:t>
      </w:r>
    </w:p>
    <w:p>
      <w:pPr>
        <w:pStyle w:val="ListBullet"/>
        <w:ind w:left="340"/>
      </w:pPr>
      <w:r>
        <w:t>инструмент: привилегированные акции (предпочтительная ликвидационная привилегия 1,8× NAV), 1 место в Совете директоров;</w:t>
      </w:r>
    </w:p>
    <w:p>
      <w:pPr>
        <w:pStyle w:val="ListBullet"/>
        <w:ind w:left="340"/>
      </w:pPr>
      <w:r>
        <w:t>информационные права: ежемесячная управленческая отчётность, антиразмытие (weighted average), right of first refusal/co-sale;</w:t>
      </w:r>
    </w:p>
    <w:p>
      <w:pPr>
        <w:pStyle w:val="ListBullet"/>
        <w:ind w:left="340"/>
      </w:pPr>
      <w:r>
        <w:t>акционерное соглашение: утверждение бюджета, запрет передачи РИД без согласия Совета;</w:t>
      </w:r>
    </w:p>
    <w:p>
      <w:pPr>
        <w:pStyle w:val="ListBullet"/>
        <w:ind w:left="340"/>
      </w:pPr>
      <w:r>
        <w:t>структура: через ООО «МедТехПрима» (холдинг) или напрямую в Непубличное АО «ВИТА ГЕН АИ» — по выбору инвестора;</w:t>
      </w:r>
    </w:p>
    <w:p>
      <w:pPr>
        <w:pStyle w:val="ListBullet"/>
        <w:ind w:left="340"/>
      </w:pPr>
      <w:r>
        <w:t>этапы разблокировки (earnout milestone): AUC ≥ 0,55; регистрация ИИ-МИ; EBITDA ≥ 1.</w:t>
      </w:r>
    </w:p>
    <w:p>
      <w:pPr>
        <w:pStyle w:val="Heading2"/>
      </w:pPr>
      <w:r>
        <w:t>13.5. Юридическая и налоговая справка</w:t>
      </w:r>
    </w:p>
    <w:p>
      <w:pPr>
        <w:pStyle w:val="ListBullet"/>
        <w:ind w:left="340"/>
      </w:pPr>
      <w:r>
        <w:t>Вклад ИС 78 млн ₽ в уставный капитал АО/ООО — в рамках ст. 47 ФЗ «Об АО», п. 3 ст. 28 ФЗ «Об ООО» (сумма подтверждена оценщиком);</w:t>
      </w:r>
    </w:p>
    <w:p>
      <w:pPr>
        <w:pStyle w:val="ListBullet"/>
        <w:ind w:left="340"/>
      </w:pPr>
      <w:r>
        <w:t>ОСНО/УСН «доходы–расходы» с ИТ-льготами: ставка взносов 6,3% (субподряд ИТ-компании), налог 8% (региональная ИТ-льгота);</w:t>
      </w:r>
    </w:p>
    <w:p>
      <w:pPr>
        <w:pStyle w:val="ListBullet"/>
        <w:ind w:left="340"/>
      </w:pPr>
      <w:r>
        <w:t>Трансфертные правила (ООО→АО→WFOE): рыночность лицензионных выплат, документация, TP-файл;</w:t>
      </w:r>
    </w:p>
    <w:p>
      <w:pPr>
        <w:pStyle w:val="ListBullet"/>
        <w:ind w:left="340"/>
      </w:pPr>
      <w:r>
        <w:t>WFOE: Ханей ЗСТ, регистрация в БОАО или Ханей, налоговые льготы ЗСТ; опционально Гонконг-холдинг.</w:t>
      </w:r>
    </w:p>
    <w:p>
      <w:pPr>
        <w:pStyle w:val="Heading3"/>
      </w:pPr>
      <w:r>
        <w:t>13.6. Сравнение форматов инвестиционного инструмента</w:t>
      </w:r>
    </w:p>
    <w:tbl>
      <w:tblPr>
        <w:tblStyle w:val="TableGrid"/>
        <w:tblW w:type="auto" w:w="0"/>
        <w:jc w:val="center"/>
        <w:tblLook w:firstColumn="1" w:firstRow="1" w:lastColumn="0" w:lastRow="0" w:noHBand="0" w:noVBand="1" w:val="04A0"/>
      </w:tblPr>
      <w:tblGrid>
        <w:gridCol w:w="3213"/>
        <w:gridCol w:w="3213"/>
        <w:gridCol w:w="3213"/>
      </w:tblGrid>
      <w:tr>
        <w:tc>
          <w:tcPr>
            <w:tcW w:type="dxa" w:w="2608"/>
            <w:shd w:val="clear" w:color="auto" w:fill="0B3D5C"/>
          </w:tcPr>
          <w:p>
            <w:r/>
            <w:r>
              <w:rPr>
                <w:b/>
                <w:color w:val="FFFFFF"/>
                <w:sz w:val="20"/>
              </w:rPr>
              <w:t>Критерий</w:t>
            </w:r>
          </w:p>
        </w:tc>
        <w:tc>
          <w:tcPr>
            <w:tcW w:type="dxa" w:w="3061"/>
            <w:shd w:val="clear" w:color="auto" w:fill="0B3D5C"/>
          </w:tcPr>
          <w:p>
            <w:r/>
            <w:r>
              <w:rPr>
                <w:b/>
                <w:color w:val="FFFFFF"/>
                <w:sz w:val="20"/>
              </w:rPr>
              <w:t>Привилегированные акции</w:t>
            </w:r>
          </w:p>
        </w:tc>
        <w:tc>
          <w:tcPr>
            <w:tcW w:type="dxa" w:w="2948"/>
            <w:shd w:val="clear" w:color="auto" w:fill="0B3D5C"/>
          </w:tcPr>
          <w:p>
            <w:r/>
            <w:r>
              <w:rPr>
                <w:b/>
                <w:color w:val="FFFFFF"/>
                <w:sz w:val="20"/>
              </w:rPr>
              <w:t>Конвертируемый заём / SAFE</w:t>
            </w:r>
          </w:p>
        </w:tc>
      </w:tr>
      <w:tr>
        <w:tc>
          <w:tcPr>
            <w:tcW w:type="dxa" w:w="2608"/>
          </w:tcPr>
          <w:p>
            <w:r/>
            <w:r>
              <w:rPr>
                <w:sz w:val="20"/>
              </w:rPr>
              <w:t>Предсказуемость оценки</w:t>
            </w:r>
          </w:p>
        </w:tc>
        <w:tc>
          <w:tcPr>
            <w:tcW w:type="dxa" w:w="3061"/>
          </w:tcPr>
          <w:p>
            <w:r/>
            <w:r>
              <w:rPr>
                <w:sz w:val="20"/>
              </w:rPr>
              <w:t>зафиксирована при раунде</w:t>
            </w:r>
          </w:p>
        </w:tc>
        <w:tc>
          <w:tcPr>
            <w:tcW w:type="dxa" w:w="2948"/>
          </w:tcPr>
          <w:p>
            <w:r/>
            <w:r>
              <w:rPr>
                <w:sz w:val="20"/>
              </w:rPr>
              <w:t>конверсия по достижении вехи</w:t>
            </w:r>
          </w:p>
        </w:tc>
      </w:tr>
      <w:tr>
        <w:tc>
          <w:tcPr>
            <w:tcW w:type="dxa" w:w="2608"/>
            <w:shd w:val="clear" w:color="auto" w:fill="F3F8FB"/>
          </w:tcPr>
          <w:p>
            <w:r/>
            <w:r>
              <w:rPr>
                <w:sz w:val="20"/>
              </w:rPr>
              <w:t>Правовой статус</w:t>
            </w:r>
          </w:p>
        </w:tc>
        <w:tc>
          <w:tcPr>
            <w:tcW w:type="dxa" w:w="3061"/>
            <w:shd w:val="clear" w:color="auto" w:fill="F3F8FB"/>
          </w:tcPr>
          <w:p>
            <w:r/>
            <w:r>
              <w:rPr>
                <w:sz w:val="20"/>
              </w:rPr>
              <w:t>акционер с привилегиями</w:t>
            </w:r>
          </w:p>
        </w:tc>
        <w:tc>
          <w:tcPr>
            <w:tcW w:type="dxa" w:w="2948"/>
            <w:shd w:val="clear" w:color="auto" w:fill="F3F8FB"/>
          </w:tcPr>
          <w:p>
            <w:r/>
            <w:r>
              <w:rPr>
                <w:sz w:val="20"/>
              </w:rPr>
              <w:t>требование кредитора до конвертации</w:t>
            </w:r>
          </w:p>
        </w:tc>
      </w:tr>
      <w:tr>
        <w:tc>
          <w:tcPr>
            <w:tcW w:type="dxa" w:w="2608"/>
          </w:tcPr>
          <w:p>
            <w:r/>
            <w:r>
              <w:rPr>
                <w:sz w:val="20"/>
              </w:rPr>
              <w:t>Применимость на Seed 2026</w:t>
            </w:r>
          </w:p>
        </w:tc>
        <w:tc>
          <w:tcPr>
            <w:tcW w:type="dxa" w:w="3061"/>
          </w:tcPr>
          <w:p>
            <w:r/>
            <w:r>
              <w:rPr>
                <w:sz w:val="20"/>
              </w:rPr>
              <w:t>основной вариант после учреждения АО</w:t>
            </w:r>
          </w:p>
        </w:tc>
        <w:tc>
          <w:tcPr>
            <w:tcW w:type="dxa" w:w="2948"/>
          </w:tcPr>
          <w:p>
            <w:r/>
            <w:r>
              <w:rPr>
                <w:sz w:val="20"/>
              </w:rPr>
              <w:t>допустим до перерегистрации</w:t>
            </w:r>
          </w:p>
        </w:tc>
      </w:tr>
      <w:tr>
        <w:tc>
          <w:tcPr>
            <w:tcW w:type="dxa" w:w="2608"/>
            <w:shd w:val="clear" w:color="auto" w:fill="F3F8FB"/>
          </w:tcPr>
          <w:p>
            <w:r/>
            <w:r>
              <w:rPr>
                <w:sz w:val="20"/>
              </w:rPr>
              <w:t>Ликвидационная привилегия</w:t>
            </w:r>
          </w:p>
        </w:tc>
        <w:tc>
          <w:tcPr>
            <w:tcW w:type="dxa" w:w="3061"/>
            <w:shd w:val="clear" w:color="auto" w:fill="F3F8FB"/>
          </w:tcPr>
          <w:p>
            <w:r/>
            <w:r>
              <w:rPr>
                <w:sz w:val="20"/>
              </w:rPr>
              <w:t>1,8× (предложение)</w:t>
            </w:r>
          </w:p>
        </w:tc>
        <w:tc>
          <w:tcPr>
            <w:tcW w:type="dxa" w:w="2948"/>
            <w:shd w:val="clear" w:color="auto" w:fill="F3F8FB"/>
          </w:tcPr>
          <w:p>
            <w:r/>
            <w:r>
              <w:rPr>
                <w:sz w:val="20"/>
              </w:rPr>
              <w:t>гарантия погашается при конверсии</w:t>
            </w:r>
          </w:p>
        </w:tc>
      </w:tr>
      <w:tr>
        <w:tc>
          <w:tcPr>
            <w:tcW w:type="dxa" w:w="2608"/>
          </w:tcPr>
          <w:p>
            <w:r/>
            <w:r>
              <w:rPr>
                <w:sz w:val="20"/>
              </w:rPr>
              <w:t>Простота оформления</w:t>
            </w:r>
          </w:p>
        </w:tc>
        <w:tc>
          <w:tcPr>
            <w:tcW w:type="dxa" w:w="3061"/>
          </w:tcPr>
          <w:p>
            <w:r/>
            <w:r>
              <w:rPr>
                <w:sz w:val="20"/>
              </w:rPr>
              <w:t>средняя (регистрация в ЕГРЮЛ)</w:t>
            </w:r>
          </w:p>
        </w:tc>
        <w:tc>
          <w:tcPr>
            <w:tcW w:type="dxa" w:w="2948"/>
          </w:tcPr>
          <w:p>
            <w:r/>
            <w:r>
              <w:rPr>
                <w:sz w:val="20"/>
              </w:rPr>
              <w:t>низкая (договор + соглашение)</w:t>
            </w:r>
          </w:p>
        </w:tc>
      </w:tr>
    </w:tbl>
    <w:p/>
    <w:p>
      <w:r>
        <w:rPr>
          <w:b w:val="0"/>
          <w:i w:val="0"/>
          <w:sz w:val="22"/>
        </w:rPr>
        <w:t>Рекомендуемый трек: до создания Непубличного АО инвестор может войти по SAFE с прайсом к Seed (наиболее гибко), далее осуществить конверсию в привилегированные акции одновременно с формированием АО «ВИТА ГЕН АИ». Точные условия фиксируются инвестиционным соглашением и акционерным протоколом.</w:t>
      </w:r>
    </w:p>
    <w:p>
      <w:r>
        <w:br w:type="page"/>
      </w:r>
    </w:p>
    <w:p>
      <w:pPr>
        <w:pStyle w:val="Heading1"/>
        <w:shd w:val="clear" w:color="auto" w:fill="EAF4F8"/>
      </w:pPr>
      <w:r>
        <w:t>14. СТРАТЕГИЯ ВЫХОДА ДЛЯ ИНВЕСТОРА</w:t>
      </w:r>
    </w:p>
    <w:p>
      <w:pPr>
        <w:pStyle w:val="Heading2"/>
      </w:pPr>
      <w:r>
        <w:t>14.1. Сценарии выхода</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608"/>
            <w:shd w:val="clear" w:color="auto" w:fill="0B3D5C"/>
          </w:tcPr>
          <w:p>
            <w:r/>
            <w:r>
              <w:rPr>
                <w:b/>
                <w:color w:val="FFFFFF"/>
                <w:sz w:val="20"/>
              </w:rPr>
              <w:t>Сценарий</w:t>
            </w:r>
          </w:p>
        </w:tc>
        <w:tc>
          <w:tcPr>
            <w:tcW w:type="dxa" w:w="907"/>
            <w:shd w:val="clear" w:color="auto" w:fill="0B3D5C"/>
          </w:tcPr>
          <w:p>
            <w:r/>
            <w:r>
              <w:rPr>
                <w:b/>
                <w:color w:val="FFFFFF"/>
                <w:sz w:val="20"/>
              </w:rPr>
              <w:t>Срок</w:t>
            </w:r>
          </w:p>
        </w:tc>
        <w:tc>
          <w:tcPr>
            <w:tcW w:type="dxa" w:w="2948"/>
            <w:shd w:val="clear" w:color="auto" w:fill="0B3D5C"/>
          </w:tcPr>
          <w:p>
            <w:r/>
            <w:r>
              <w:rPr>
                <w:b/>
                <w:color w:val="FFFFFF"/>
                <w:sz w:val="20"/>
              </w:rPr>
              <w:t>Оценка (ориентир)</w:t>
            </w:r>
          </w:p>
        </w:tc>
        <w:tc>
          <w:tcPr>
            <w:tcW w:type="dxa" w:w="2041"/>
            <w:shd w:val="clear" w:color="auto" w:fill="0B3D5C"/>
          </w:tcPr>
          <w:p>
            <w:r/>
            <w:r>
              <w:rPr>
                <w:b/>
                <w:color w:val="FFFFFF"/>
                <w:sz w:val="20"/>
              </w:rPr>
              <w:t>Применимость</w:t>
            </w:r>
          </w:p>
        </w:tc>
      </w:tr>
      <w:tr>
        <w:tc>
          <w:tcPr>
            <w:tcW w:type="dxa" w:w="2608"/>
          </w:tcPr>
          <w:p>
            <w:r/>
            <w:r>
              <w:rPr>
                <w:sz w:val="20"/>
              </w:rPr>
              <w:t>Стратегическая продажа (trade sale)</w:t>
            </w:r>
          </w:p>
        </w:tc>
        <w:tc>
          <w:tcPr>
            <w:tcW w:type="dxa" w:w="907"/>
          </w:tcPr>
          <w:p>
            <w:r/>
            <w:r>
              <w:rPr>
                <w:sz w:val="20"/>
              </w:rPr>
              <w:t>2031–2032</w:t>
            </w:r>
          </w:p>
        </w:tc>
        <w:tc>
          <w:tcPr>
            <w:tcW w:type="dxa" w:w="2948"/>
          </w:tcPr>
          <w:p>
            <w:r/>
            <w:r>
              <w:rPr>
                <w:sz w:val="20"/>
              </w:rPr>
              <w:t>13–14× EBITDA (аудит), ≈0,7–1,8 млрд ₽</w:t>
            </w:r>
          </w:p>
        </w:tc>
        <w:tc>
          <w:tcPr>
            <w:tcW w:type="dxa" w:w="2041"/>
          </w:tcPr>
          <w:p>
            <w:r/>
            <w:r>
              <w:rPr>
                <w:sz w:val="20"/>
              </w:rPr>
              <w:t>Основной целевой сценарий</w:t>
            </w:r>
          </w:p>
        </w:tc>
      </w:tr>
      <w:tr>
        <w:tc>
          <w:tcPr>
            <w:tcW w:type="dxa" w:w="2608"/>
            <w:shd w:val="clear" w:color="auto" w:fill="F3F8FB"/>
          </w:tcPr>
          <w:p>
            <w:r/>
            <w:r>
              <w:rPr>
                <w:sz w:val="20"/>
              </w:rPr>
              <w:t>Выход через вторичную сделку</w:t>
            </w:r>
          </w:p>
        </w:tc>
        <w:tc>
          <w:tcPr>
            <w:tcW w:type="dxa" w:w="907"/>
            <w:shd w:val="clear" w:color="auto" w:fill="F3F8FB"/>
          </w:tcPr>
          <w:p>
            <w:r/>
            <w:r>
              <w:rPr>
                <w:sz w:val="20"/>
              </w:rPr>
              <w:t>2030–2031</w:t>
            </w:r>
          </w:p>
        </w:tc>
        <w:tc>
          <w:tcPr>
            <w:tcW w:type="dxa" w:w="2948"/>
            <w:shd w:val="clear" w:color="auto" w:fill="F3F8FB"/>
          </w:tcPr>
          <w:p>
            <w:r/>
            <w:r>
              <w:rPr>
                <w:sz w:val="20"/>
              </w:rPr>
              <w:t>по соглашению сторон</w:t>
            </w:r>
          </w:p>
        </w:tc>
        <w:tc>
          <w:tcPr>
            <w:tcW w:type="dxa" w:w="2041"/>
            <w:shd w:val="clear" w:color="auto" w:fill="F3F8FB"/>
          </w:tcPr>
          <w:p>
            <w:r/>
            <w:r>
              <w:rPr>
                <w:sz w:val="20"/>
              </w:rPr>
              <w:t>если стратег не готов к полному выкупу</w:t>
            </w:r>
          </w:p>
        </w:tc>
      </w:tr>
      <w:tr>
        <w:tc>
          <w:tcPr>
            <w:tcW w:type="dxa" w:w="2608"/>
          </w:tcPr>
          <w:p>
            <w:r/>
            <w:r>
              <w:rPr>
                <w:sz w:val="20"/>
              </w:rPr>
              <w:t>IPO/SPO (второстепенный)</w:t>
            </w:r>
          </w:p>
        </w:tc>
        <w:tc>
          <w:tcPr>
            <w:tcW w:type="dxa" w:w="907"/>
          </w:tcPr>
          <w:p>
            <w:r/>
            <w:r>
              <w:rPr>
                <w:sz w:val="20"/>
              </w:rPr>
              <w:t>2033+</w:t>
            </w:r>
          </w:p>
        </w:tc>
        <w:tc>
          <w:tcPr>
            <w:tcW w:type="dxa" w:w="2948"/>
          </w:tcPr>
          <w:p>
            <w:r/>
            <w:r>
              <w:rPr>
                <w:sz w:val="20"/>
              </w:rPr>
              <w:t>зависит от рынка</w:t>
            </w:r>
          </w:p>
        </w:tc>
        <w:tc>
          <w:tcPr>
            <w:tcW w:type="dxa" w:w="2041"/>
          </w:tcPr>
          <w:p>
            <w:r/>
            <w:r>
              <w:rPr>
                <w:sz w:val="20"/>
              </w:rPr>
              <w:t>маловероятен для ниши в среднесроке; не закладываем</w:t>
            </w:r>
          </w:p>
        </w:tc>
      </w:tr>
    </w:tbl>
    <w:p/>
    <w:p>
      <w:pPr>
        <w:pStyle w:val="Heading2"/>
      </w:pPr>
      <w:r>
        <w:t>14.2. Потенциальные покупатели</w:t>
      </w:r>
    </w:p>
    <w:p>
      <w:pPr>
        <w:pStyle w:val="ListBullet"/>
        <w:ind w:left="340"/>
      </w:pPr>
      <w:r>
        <w:t>стратегические игроки РФ: ГК «Медскан», «Мать и дитя» (MD Medical), сетевые клиники и ЦИР (при возможной консолидации рынка ВРТ);</w:t>
      </w:r>
    </w:p>
    <w:p>
      <w:pPr>
        <w:pStyle w:val="ListBullet"/>
        <w:ind w:left="340"/>
      </w:pPr>
      <w:r>
        <w:t>международные: Vitrolife, CooperSurgical (Life Whisperer), Fairtility — расширение портфеля за счёт мультимодальности и рынка РФ/КНР;</w:t>
      </w:r>
    </w:p>
    <w:p>
      <w:pPr>
        <w:pStyle w:val="ListBullet"/>
        <w:ind w:left="340"/>
      </w:pPr>
      <w:r>
        <w:t>ИТ-лидеры здравоохранения РФ: Сбер (GigaChat/Medical), Яндекс, МТС Мед, СМ-Клиника → стратегические мета-платформы;</w:t>
      </w:r>
    </w:p>
    <w:p>
      <w:pPr>
        <w:pStyle w:val="ListBullet"/>
        <w:ind w:left="340"/>
      </w:pPr>
      <w:r>
        <w:t>B2G-направление усиливает привлекательность для интеграторов (Ростех, SberMed AI, поставщики МИС).</w:t>
      </w:r>
    </w:p>
    <w:p>
      <w:pPr>
        <w:pStyle w:val="Heading2"/>
      </w:pPr>
      <w:r>
        <w:t>14.3. Расчёт доходности инвестора (базовый сценарий, выход 2031)</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474"/>
            <w:shd w:val="clear" w:color="auto" w:fill="0B3D5C"/>
          </w:tcPr>
          <w:p>
            <w:r/>
            <w:r>
              <w:rPr>
                <w:b/>
                <w:color w:val="FFFFFF"/>
                <w:sz w:val="20"/>
              </w:rPr>
              <w:t>Инвестор</w:t>
            </w:r>
          </w:p>
        </w:tc>
        <w:tc>
          <w:tcPr>
            <w:tcW w:type="dxa" w:w="1247"/>
            <w:shd w:val="clear" w:color="auto" w:fill="0B3D5C"/>
          </w:tcPr>
          <w:p>
            <w:r/>
            <w:r>
              <w:rPr>
                <w:b/>
                <w:color w:val="FFFFFF"/>
                <w:sz w:val="20"/>
              </w:rPr>
              <w:t>Вклад</w:t>
            </w:r>
          </w:p>
        </w:tc>
        <w:tc>
          <w:tcPr>
            <w:tcW w:type="dxa" w:w="1474"/>
            <w:shd w:val="clear" w:color="auto" w:fill="0B3D5C"/>
          </w:tcPr>
          <w:p>
            <w:r/>
            <w:r>
              <w:rPr>
                <w:b/>
                <w:color w:val="FFFFFF"/>
                <w:sz w:val="20"/>
              </w:rPr>
              <w:t>Доля (после пула)</w:t>
            </w:r>
          </w:p>
        </w:tc>
        <w:tc>
          <w:tcPr>
            <w:tcW w:type="dxa" w:w="2268"/>
            <w:shd w:val="clear" w:color="auto" w:fill="0B3D5C"/>
          </w:tcPr>
          <w:p>
            <w:r/>
            <w:r>
              <w:rPr>
                <w:b/>
                <w:color w:val="FFFFFF"/>
                <w:sz w:val="20"/>
              </w:rPr>
              <w:t>Получено при exit 0,85 млрд ₽</w:t>
            </w:r>
          </w:p>
        </w:tc>
        <w:tc>
          <w:tcPr>
            <w:tcW w:type="dxa" w:w="1134"/>
            <w:shd w:val="clear" w:color="auto" w:fill="0B3D5C"/>
          </w:tcPr>
          <w:p>
            <w:r/>
            <w:r>
              <w:rPr>
                <w:b/>
                <w:color w:val="FFFFFF"/>
                <w:sz w:val="20"/>
              </w:rPr>
              <w:t>MOIC</w:t>
            </w:r>
          </w:p>
        </w:tc>
        <w:tc>
          <w:tcPr>
            <w:tcW w:type="dxa" w:w="1134"/>
            <w:shd w:val="clear" w:color="auto" w:fill="0B3D5C"/>
          </w:tcPr>
          <w:p>
            <w:r/>
            <w:r>
              <w:rPr>
                <w:b/>
                <w:color w:val="FFFFFF"/>
                <w:sz w:val="20"/>
              </w:rPr>
              <w:t>IRR (≈)</w:t>
            </w:r>
          </w:p>
        </w:tc>
      </w:tr>
      <w:tr>
        <w:tc>
          <w:tcPr>
            <w:tcW w:type="dxa" w:w="1474"/>
          </w:tcPr>
          <w:p>
            <w:r/>
            <w:r>
              <w:rPr>
                <w:sz w:val="20"/>
              </w:rPr>
              <w:t>Seed</w:t>
            </w:r>
          </w:p>
        </w:tc>
        <w:tc>
          <w:tcPr>
            <w:tcW w:type="dxa" w:w="1247"/>
          </w:tcPr>
          <w:p>
            <w:r/>
            <w:r>
              <w:rPr>
                <w:sz w:val="20"/>
              </w:rPr>
              <w:t>58 млн ₽</w:t>
            </w:r>
          </w:p>
        </w:tc>
        <w:tc>
          <w:tcPr>
            <w:tcW w:type="dxa" w:w="1474"/>
          </w:tcPr>
          <w:p>
            <w:r/>
            <w:r>
              <w:rPr>
                <w:sz w:val="20"/>
              </w:rPr>
              <w:t>≈38,0%</w:t>
            </w:r>
          </w:p>
        </w:tc>
        <w:tc>
          <w:tcPr>
            <w:tcW w:type="dxa" w:w="2268"/>
          </w:tcPr>
          <w:p>
            <w:r/>
            <w:r>
              <w:rPr>
                <w:sz w:val="20"/>
              </w:rPr>
              <w:t>≈626 млн ₽</w:t>
            </w:r>
          </w:p>
        </w:tc>
        <w:tc>
          <w:tcPr>
            <w:tcW w:type="dxa" w:w="1134"/>
          </w:tcPr>
          <w:p>
            <w:r/>
            <w:r>
              <w:rPr>
                <w:sz w:val="20"/>
              </w:rPr>
              <w:t>≈6,1×</w:t>
            </w:r>
          </w:p>
        </w:tc>
        <w:tc>
          <w:tcPr>
            <w:tcW w:type="dxa" w:w="1134"/>
          </w:tcPr>
          <w:p>
            <w:r/>
            <w:r>
              <w:rPr>
                <w:sz w:val="20"/>
              </w:rPr>
              <w:t>≈34%</w:t>
            </w:r>
          </w:p>
        </w:tc>
      </w:tr>
      <w:tr>
        <w:tc>
          <w:tcPr>
            <w:tcW w:type="dxa" w:w="1474"/>
            <w:shd w:val="clear" w:color="auto" w:fill="F3F8FB"/>
          </w:tcPr>
          <w:p>
            <w:r/>
            <w:r>
              <w:rPr>
                <w:sz w:val="20"/>
              </w:rPr>
              <w:t>Series A</w:t>
            </w:r>
          </w:p>
        </w:tc>
        <w:tc>
          <w:tcPr>
            <w:tcW w:type="dxa" w:w="1247"/>
            <w:shd w:val="clear" w:color="auto" w:fill="F3F8FB"/>
          </w:tcPr>
          <w:p>
            <w:r/>
            <w:r>
              <w:rPr>
                <w:sz w:val="20"/>
              </w:rPr>
              <w:t>78 млн ₽</w:t>
            </w:r>
          </w:p>
        </w:tc>
        <w:tc>
          <w:tcPr>
            <w:tcW w:type="dxa" w:w="1474"/>
            <w:shd w:val="clear" w:color="auto" w:fill="F3F8FB"/>
          </w:tcPr>
          <w:p>
            <w:r/>
            <w:r>
              <w:rPr>
                <w:sz w:val="20"/>
              </w:rPr>
              <w:t>≈18,0%</w:t>
            </w:r>
          </w:p>
        </w:tc>
        <w:tc>
          <w:tcPr>
            <w:tcW w:type="dxa" w:w="2268"/>
            <w:shd w:val="clear" w:color="auto" w:fill="F3F8FB"/>
          </w:tcPr>
          <w:p>
            <w:r/>
            <w:r>
              <w:rPr>
                <w:sz w:val="20"/>
              </w:rPr>
              <w:t>≈365 млн ₽</w:t>
            </w:r>
          </w:p>
        </w:tc>
        <w:tc>
          <w:tcPr>
            <w:tcW w:type="dxa" w:w="1134"/>
            <w:shd w:val="clear" w:color="auto" w:fill="F3F8FB"/>
          </w:tcPr>
          <w:p>
            <w:r/>
            <w:r>
              <w:rPr>
                <w:sz w:val="20"/>
              </w:rPr>
              <w:t>≈6,9×</w:t>
            </w:r>
          </w:p>
        </w:tc>
        <w:tc>
          <w:tcPr>
            <w:tcW w:type="dxa" w:w="1134"/>
            <w:shd w:val="clear" w:color="auto" w:fill="F3F8FB"/>
          </w:tcPr>
          <w:p>
            <w:r/>
            <w:r>
              <w:rPr>
                <w:sz w:val="20"/>
              </w:rPr>
              <w:t>≈27%</w:t>
            </w:r>
          </w:p>
        </w:tc>
      </w:tr>
    </w:tbl>
    <w:p/>
    <w:p>
      <w:r>
        <w:rPr>
          <w:i/>
          <w:color w:val="5A6A7A"/>
          <w:sz w:val="18"/>
        </w:rPr>
        <w:t>Оценка при выходе: EBITDA 2031 ≈ 320 млн ₽ × мультипликатор 6,5 (консервативно; базовый сценарий — trade sale, пересчёты в Приложении А).</w:t>
      </w:r>
    </w:p>
    <w:p>
      <w:r>
        <w:drawing>
          <wp:inline xmlns:a="http://schemas.openxmlformats.org/drawingml/2006/main" xmlns:pic="http://schemas.openxmlformats.org/drawingml/2006/picture">
            <wp:extent cx="5400000" cy="2394607"/>
            <wp:docPr id="13" name="Picture 13"/>
            <wp:cNvGraphicFramePr>
              <a:graphicFrameLocks noChangeAspect="1"/>
            </wp:cNvGraphicFramePr>
            <a:graphic>
              <a:graphicData uri="http://schemas.openxmlformats.org/drawingml/2006/picture">
                <pic:pic>
                  <pic:nvPicPr>
                    <pic:cNvPr id="0" name="bp_chart_irr.png"/>
                    <pic:cNvPicPr/>
                  </pic:nvPicPr>
                  <pic:blipFill>
                    <a:blip r:embed="rId21"/>
                    <a:stretch>
                      <a:fillRect/>
                    </a:stretch>
                  </pic:blipFill>
                  <pic:spPr>
                    <a:xfrm>
                      <a:off x="0" y="0"/>
                      <a:ext cx="5400000" cy="2394607"/>
                    </a:xfrm>
                    <a:prstGeom prst="rect"/>
                  </pic:spPr>
                </pic:pic>
              </a:graphicData>
            </a:graphic>
          </wp:inline>
        </w:drawing>
      </w:r>
    </w:p>
    <w:p>
      <w:pPr>
        <w:jc w:val="center"/>
      </w:pPr>
      <w:r>
        <w:rPr>
          <w:i/>
          <w:color w:val="5A6A7A"/>
          <w:sz w:val="19"/>
        </w:rPr>
        <w:t>Рис. 19.0. Чувствительность MOIC инвесторов к мультипликатору выхода (EBITDA 2031 = 320 млн ₽)</w:t>
      </w:r>
    </w:p>
    <w:p>
      <w:pPr>
        <w:jc w:val="center"/>
      </w:pPr>
      <w:r>
        <w:rPr>
          <w:color w:val="5A6A7A"/>
          <w:sz w:val="16"/>
        </w:rPr>
        <w:t>Источник: расчёт модели (лист Инвестор).</w:t>
      </w:r>
    </w:p>
    <w:p/>
    <w:tbl>
      <w:tblPr>
        <w:tblW w:type="auto" w:w="0"/>
        <w:jc w:val="center"/>
        <w:tblLook w:firstColumn="1" w:firstRow="1" w:lastColumn="0" w:lastRow="0" w:noHBand="0" w:noVBand="1" w:val="04A0"/>
      </w:tblPr>
      <w:tblGrid>
        <w:gridCol w:w="4819"/>
        <w:gridCol w:w="4819"/>
      </w:tblGrid>
      <w:tr>
        <w:tc>
          <w:tcPr>
            <w:tcW w:type="dxa" w:w="4252"/>
            <w:shd w:val="clear" w:color="auto" w:fill="EAF4F8"/>
          </w:tcPr>
          <w:p>
            <w:r/>
            <w:r>
              <w:rPr>
                <w:b/>
                <w:color w:val="0B3D5C"/>
                <w:sz w:val="21"/>
              </w:rPr>
              <w:t>Защита дохода</w:t>
            </w:r>
          </w:p>
        </w:tc>
        <w:tc>
          <w:tcPr>
            <w:tcW w:type="dxa" w:w="5102"/>
            <w:shd w:val="clear" w:color="auto" w:fill="EAF4F8"/>
          </w:tcPr>
          <w:p>
            <w:r/>
            <w:r>
              <w:rPr>
                <w:b/>
                <w:sz w:val="21"/>
              </w:rPr>
              <w:t>Ликвидационная привилегия 1,8×; drag/tag-along; право первенства на отчуждение РИД</w:t>
            </w:r>
          </w:p>
        </w:tc>
      </w:tr>
      <w:tr>
        <w:tc>
          <w:tcPr>
            <w:tcW w:type="dxa" w:w="4252"/>
            <w:shd w:val="clear" w:color="auto" w:fill="EAF4F8"/>
          </w:tcPr>
          <w:p>
            <w:r/>
            <w:r>
              <w:rPr>
                <w:b/>
                <w:color w:val="0B3D5C"/>
                <w:sz w:val="21"/>
              </w:rPr>
              <w:t>Годовой мониторинг</w:t>
            </w:r>
          </w:p>
        </w:tc>
        <w:tc>
          <w:tcPr>
            <w:tcW w:type="dxa" w:w="5102"/>
            <w:shd w:val="clear" w:color="auto" w:fill="EAF4F8"/>
          </w:tcPr>
          <w:p>
            <w:r/>
            <w:r>
              <w:rPr>
                <w:b/>
                <w:sz w:val="21"/>
              </w:rPr>
              <w:t>МБП-отчётность, годовой аудит, встреча Совета директоров 3×/год</w:t>
            </w:r>
          </w:p>
        </w:tc>
      </w:tr>
      <w:tr>
        <w:tc>
          <w:tcPr>
            <w:tcW w:type="dxa" w:w="4252"/>
            <w:shd w:val="clear" w:color="auto" w:fill="EAF4F8"/>
          </w:tcPr>
          <w:p>
            <w:r/>
            <w:r>
              <w:rPr>
                <w:b/>
                <w:color w:val="0B3D5C"/>
                <w:sz w:val="21"/>
              </w:rPr>
              <w:t>Вторичная ликвидность</w:t>
            </w:r>
          </w:p>
        </w:tc>
        <w:tc>
          <w:tcPr>
            <w:tcW w:type="dxa" w:w="5102"/>
            <w:shd w:val="clear" w:color="auto" w:fill="EAF4F8"/>
          </w:tcPr>
          <w:p>
            <w:r/>
            <w:r>
              <w:rPr>
                <w:b/>
                <w:sz w:val="21"/>
              </w:rPr>
              <w:t>Опция выкупа части доли при конвертации (на согласовании инвесторов)</w:t>
            </w:r>
          </w:p>
        </w:tc>
      </w:tr>
    </w:tbl>
    <w:p/>
    <w:p>
      <w:pPr>
        <w:pStyle w:val="Heading2"/>
      </w:pPr>
      <w:r>
        <w:t>14.4. Механизмы защиты дохода инвестора</w:t>
      </w:r>
    </w:p>
    <w:p>
      <w:pPr>
        <w:pStyle w:val="ListBullet"/>
        <w:ind w:left="340"/>
      </w:pPr>
      <w:r>
        <w:t>ликвидационная привилегия 1,8× в привилегированных акциях;</w:t>
      </w:r>
    </w:p>
    <w:p>
      <w:pPr>
        <w:pStyle w:val="ListBullet"/>
        <w:ind w:left="340"/>
      </w:pPr>
      <w:r>
        <w:t>drag-along (совместная продажа), tag-along, right of first refusal;</w:t>
      </w:r>
    </w:p>
    <w:p>
      <w:pPr>
        <w:pStyle w:val="ListBullet"/>
        <w:ind w:left="340"/>
      </w:pPr>
      <w:r>
        <w:t>mini-ipo/IPO опция неактивна в базовом сценарии — защищаем от «полочного» IPO;</w:t>
      </w:r>
    </w:p>
    <w:p>
      <w:pPr>
        <w:pStyle w:val="ListBullet"/>
        <w:ind w:left="340"/>
      </w:pPr>
      <w:r>
        <w:t>ограничение на дивиденды до момента достижения EBITDA-целей (до 2028);</w:t>
      </w:r>
    </w:p>
    <w:p>
      <w:pPr>
        <w:pStyle w:val="ListBullet"/>
        <w:ind w:left="340"/>
      </w:pPr>
      <w:r>
        <w:t>процедуры М&amp;A: обязательная оценка РИД и ключевых контрактов при продаже.</w:t>
      </w:r>
    </w:p>
    <w:p>
      <w:pPr>
        <w:pStyle w:val="Heading2"/>
      </w:pPr>
      <w:r>
        <w:t>14.5. Оценка сравнимыми (multiples comps)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835"/>
            <w:shd w:val="clear" w:color="auto" w:fill="0B3D5C"/>
          </w:tcPr>
          <w:p>
            <w:r/>
            <w:r>
              <w:rPr>
                <w:b/>
                <w:color w:val="FFFFFF"/>
                <w:sz w:val="20"/>
              </w:rPr>
              <w:t>Сравнение (ориентир)</w:t>
            </w:r>
          </w:p>
        </w:tc>
        <w:tc>
          <w:tcPr>
            <w:tcW w:type="dxa" w:w="2041"/>
            <w:shd w:val="clear" w:color="auto" w:fill="0B3D5C"/>
          </w:tcPr>
          <w:p>
            <w:r/>
            <w:r>
              <w:rPr>
                <w:b/>
                <w:color w:val="FFFFFF"/>
                <w:sz w:val="20"/>
              </w:rPr>
              <w:t>Профиль</w:t>
            </w:r>
          </w:p>
        </w:tc>
        <w:tc>
          <w:tcPr>
            <w:tcW w:type="dxa" w:w="1814"/>
            <w:shd w:val="clear" w:color="auto" w:fill="0B3D5C"/>
          </w:tcPr>
          <w:p>
            <w:r/>
            <w:r>
              <w:rPr>
                <w:b/>
                <w:color w:val="FFFFFF"/>
                <w:sz w:val="20"/>
              </w:rPr>
              <w:t>Мультипликатор</w:t>
            </w:r>
          </w:p>
        </w:tc>
        <w:tc>
          <w:tcPr>
            <w:tcW w:type="dxa" w:w="2494"/>
            <w:shd w:val="clear" w:color="auto" w:fill="0B3D5C"/>
          </w:tcPr>
          <w:p>
            <w:r/>
            <w:r>
              <w:rPr>
                <w:b/>
                <w:color w:val="FFFFFF"/>
                <w:sz w:val="20"/>
              </w:rPr>
              <w:t>Комментарий</w:t>
            </w:r>
          </w:p>
        </w:tc>
      </w:tr>
      <w:tr>
        <w:tc>
          <w:tcPr>
            <w:tcW w:type="dxa" w:w="2835"/>
          </w:tcPr>
          <w:p>
            <w:r/>
            <w:r>
              <w:rPr>
                <w:sz w:val="20"/>
              </w:rPr>
              <w:t>HealthTech SaaS (публичные аналоги)</w:t>
            </w:r>
          </w:p>
        </w:tc>
        <w:tc>
          <w:tcPr>
            <w:tcW w:type="dxa" w:w="2041"/>
          </w:tcPr>
          <w:p>
            <w:r/>
            <w:r>
              <w:rPr>
                <w:sz w:val="20"/>
              </w:rPr>
              <w:t>высокий рост, низкая маржа</w:t>
            </w:r>
          </w:p>
        </w:tc>
        <w:tc>
          <w:tcPr>
            <w:tcW w:type="dxa" w:w="1814"/>
          </w:tcPr>
          <w:p>
            <w:r/>
            <w:r>
              <w:rPr>
                <w:sz w:val="20"/>
              </w:rPr>
              <w:t>EV/Revenue 3–6×</w:t>
            </w:r>
          </w:p>
        </w:tc>
        <w:tc>
          <w:tcPr>
            <w:tcW w:type="dxa" w:w="2494"/>
          </w:tcPr>
          <w:p>
            <w:r/>
            <w:r>
              <w:rPr>
                <w:sz w:val="20"/>
              </w:rPr>
              <w:t>потолок оценки для high-growth</w:t>
            </w:r>
          </w:p>
        </w:tc>
      </w:tr>
      <w:tr>
        <w:tc>
          <w:tcPr>
            <w:tcW w:type="dxa" w:w="2835"/>
            <w:shd w:val="clear" w:color="auto" w:fill="F3F8FB"/>
          </w:tcPr>
          <w:p>
            <w:r/>
            <w:r>
              <w:rPr>
                <w:sz w:val="20"/>
              </w:rPr>
              <w:t>Медицинские ИИ-компании (startup-сделки)</w:t>
            </w:r>
          </w:p>
        </w:tc>
        <w:tc>
          <w:tcPr>
            <w:tcW w:type="dxa" w:w="2041"/>
            <w:shd w:val="clear" w:color="auto" w:fill="F3F8FB"/>
          </w:tcPr>
          <w:p>
            <w:r/>
            <w:r>
              <w:rPr>
                <w:sz w:val="20"/>
              </w:rPr>
              <w:t>AI диагностика</w:t>
            </w:r>
          </w:p>
        </w:tc>
        <w:tc>
          <w:tcPr>
            <w:tcW w:type="dxa" w:w="1814"/>
            <w:shd w:val="clear" w:color="auto" w:fill="F3F8FB"/>
          </w:tcPr>
          <w:p>
            <w:r/>
            <w:r>
              <w:rPr>
                <w:sz w:val="20"/>
              </w:rPr>
              <w:t>EV/Revenue 13–26×</w:t>
            </w:r>
          </w:p>
        </w:tc>
        <w:tc>
          <w:tcPr>
            <w:tcW w:type="dxa" w:w="2494"/>
            <w:shd w:val="clear" w:color="auto" w:fill="F3F8FB"/>
          </w:tcPr>
          <w:p>
            <w:r/>
            <w:r>
              <w:rPr>
                <w:sz w:val="20"/>
              </w:rPr>
              <w:t>при подтверждённой валидации</w:t>
            </w:r>
          </w:p>
        </w:tc>
      </w:tr>
      <w:tr>
        <w:tc>
          <w:tcPr>
            <w:tcW w:type="dxa" w:w="2835"/>
          </w:tcPr>
          <w:p>
            <w:r/>
            <w:r>
              <w:rPr>
                <w:sz w:val="20"/>
              </w:rPr>
              <w:t>Клинический софт (зрелый)</w:t>
            </w:r>
          </w:p>
        </w:tc>
        <w:tc>
          <w:tcPr>
            <w:tcW w:type="dxa" w:w="2041"/>
          </w:tcPr>
          <w:p>
            <w:r/>
            <w:r>
              <w:rPr>
                <w:sz w:val="20"/>
              </w:rPr>
              <w:t>низкий рост, высокая маржа</w:t>
            </w:r>
          </w:p>
        </w:tc>
        <w:tc>
          <w:tcPr>
            <w:tcW w:type="dxa" w:w="1814"/>
          </w:tcPr>
          <w:p>
            <w:r/>
            <w:r>
              <w:rPr>
                <w:sz w:val="20"/>
              </w:rPr>
              <w:t>EV/EBITDA 8–13×</w:t>
            </w:r>
          </w:p>
        </w:tc>
        <w:tc>
          <w:tcPr>
            <w:tcW w:type="dxa" w:w="2494"/>
          </w:tcPr>
          <w:p>
            <w:r/>
            <w:r>
              <w:rPr>
                <w:sz w:val="20"/>
              </w:rPr>
              <w:t>базовый ориентир выхода VitaGen</w:t>
            </w:r>
          </w:p>
        </w:tc>
      </w:tr>
      <w:tr>
        <w:tc>
          <w:tcPr>
            <w:tcW w:type="dxa" w:w="2835"/>
            <w:shd w:val="clear" w:color="auto" w:fill="F3F8FB"/>
          </w:tcPr>
          <w:p>
            <w:r/>
            <w:r>
              <w:rPr>
                <w:sz w:val="20"/>
              </w:rPr>
              <w:t>VitaGen 2031 (базовый сценарий)</w:t>
            </w:r>
          </w:p>
        </w:tc>
        <w:tc>
          <w:tcPr>
            <w:tcW w:type="dxa" w:w="2041"/>
            <w:shd w:val="clear" w:color="auto" w:fill="F3F8FB"/>
          </w:tcPr>
          <w:p>
            <w:r/>
            <w:r>
              <w:rPr>
                <w:sz w:val="20"/>
              </w:rPr>
              <w:t>маржинальный рост</w:t>
            </w:r>
          </w:p>
        </w:tc>
        <w:tc>
          <w:tcPr>
            <w:tcW w:type="dxa" w:w="1814"/>
            <w:shd w:val="clear" w:color="auto" w:fill="F3F8FB"/>
          </w:tcPr>
          <w:p>
            <w:r/>
            <w:r>
              <w:rPr>
                <w:sz w:val="20"/>
              </w:rPr>
              <w:t>EV/EBITDA ≈ 6,5×</w:t>
            </w:r>
          </w:p>
        </w:tc>
        <w:tc>
          <w:tcPr>
            <w:tcW w:type="dxa" w:w="2494"/>
            <w:shd w:val="clear" w:color="auto" w:fill="F3F8FB"/>
          </w:tcPr>
          <w:p>
            <w:r/>
            <w:r>
              <w:rPr>
                <w:sz w:val="20"/>
              </w:rPr>
              <w:t>консервативно, ближе к зрелому софту</w:t>
            </w:r>
          </w:p>
        </w:tc>
      </w:tr>
    </w:tbl>
    <w:p/>
    <w:p>
      <w:r>
        <w:rPr>
          <w:b w:val="0"/>
          <w:i w:val="0"/>
          <w:sz w:val="22"/>
        </w:rPr>
        <w:t>Оценка выхода намеренно привязана к консервативной части диапазона (6,5× EBITDA) — это повышает устойчивость модели доходности инвестора: даже при сжатии мультипликатора к 8–13× IRR Seed остаётся в зоне привлекательности для венчурного капитала.</w:t>
      </w:r>
    </w:p>
    <w:p>
      <w:r>
        <w:br w:type="page"/>
      </w:r>
    </w:p>
    <w:p>
      <w:pPr>
        <w:pStyle w:val="Heading1"/>
        <w:shd w:val="clear" w:color="auto" w:fill="EAF4F8"/>
      </w:pPr>
      <w:r>
        <w:t>15. АНАЛИЗ РИСКОВ И МЕРЫ ИХ МИНИМИЗАЦИИ</w:t>
      </w:r>
    </w:p>
    <w:p>
      <w:pPr>
        <w:pStyle w:val="Heading2"/>
      </w:pPr>
      <w:r>
        <w:t>15.1. Карта рисков</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397"/>
            <w:shd w:val="clear" w:color="auto" w:fill="0B3D5C"/>
          </w:tcPr>
          <w:p>
            <w:r/>
            <w:r>
              <w:rPr>
                <w:b/>
                <w:color w:val="FFFFFF"/>
                <w:sz w:val="18"/>
              </w:rPr>
              <w:t>№</w:t>
            </w:r>
          </w:p>
        </w:tc>
        <w:tc>
          <w:tcPr>
            <w:tcW w:type="dxa" w:w="3061"/>
            <w:shd w:val="clear" w:color="auto" w:fill="0B3D5C"/>
          </w:tcPr>
          <w:p>
            <w:r/>
            <w:r>
              <w:rPr>
                <w:b/>
                <w:color w:val="FFFFFF"/>
                <w:sz w:val="18"/>
              </w:rPr>
              <w:t>Риск</w:t>
            </w:r>
          </w:p>
        </w:tc>
        <w:tc>
          <w:tcPr>
            <w:tcW w:type="dxa" w:w="1134"/>
            <w:shd w:val="clear" w:color="auto" w:fill="0B3D5C"/>
          </w:tcPr>
          <w:p>
            <w:r/>
            <w:r>
              <w:rPr>
                <w:b/>
                <w:color w:val="FFFFFF"/>
                <w:sz w:val="18"/>
              </w:rPr>
              <w:t>Вероятность</w:t>
            </w:r>
          </w:p>
        </w:tc>
        <w:tc>
          <w:tcPr>
            <w:tcW w:type="dxa" w:w="1134"/>
            <w:shd w:val="clear" w:color="auto" w:fill="0B3D5C"/>
          </w:tcPr>
          <w:p>
            <w:r/>
            <w:r>
              <w:rPr>
                <w:b/>
                <w:color w:val="FFFFFF"/>
                <w:sz w:val="18"/>
              </w:rPr>
              <w:t>Влияние</w:t>
            </w:r>
          </w:p>
        </w:tc>
        <w:tc>
          <w:tcPr>
            <w:tcW w:type="dxa" w:w="3742"/>
            <w:shd w:val="clear" w:color="auto" w:fill="0B3D5C"/>
          </w:tcPr>
          <w:p>
            <w:r/>
            <w:r>
              <w:rPr>
                <w:b/>
                <w:color w:val="FFFFFF"/>
                <w:sz w:val="18"/>
              </w:rPr>
              <w:t>Меры (обязательные)</w:t>
            </w:r>
          </w:p>
        </w:tc>
      </w:tr>
      <w:tr>
        <w:tc>
          <w:tcPr>
            <w:tcW w:type="dxa" w:w="397"/>
          </w:tcPr>
          <w:p>
            <w:r/>
            <w:r>
              <w:rPr>
                <w:sz w:val="18"/>
              </w:rPr>
              <w:t>1</w:t>
            </w:r>
          </w:p>
        </w:tc>
        <w:tc>
          <w:tcPr>
            <w:tcW w:type="dxa" w:w="3061"/>
          </w:tcPr>
          <w:p>
            <w:r/>
            <w:r>
              <w:rPr>
                <w:sz w:val="18"/>
              </w:rPr>
              <w:t>Регуляторный цикл ИИ-МИ задерживается (Росздравнадзор)</w:t>
            </w:r>
          </w:p>
        </w:tc>
        <w:tc>
          <w:tcPr>
            <w:tcW w:type="dxa" w:w="1134"/>
          </w:tcPr>
          <w:p>
            <w:r/>
            <w:r>
              <w:rPr>
                <w:sz w:val="18"/>
              </w:rPr>
              <w:t>Высокая</w:t>
            </w:r>
          </w:p>
        </w:tc>
        <w:tc>
          <w:tcPr>
            <w:tcW w:type="dxa" w:w="1134"/>
          </w:tcPr>
          <w:p>
            <w:r/>
            <w:r>
              <w:rPr>
                <w:sz w:val="18"/>
              </w:rPr>
              <w:t>Высокое</w:t>
            </w:r>
          </w:p>
        </w:tc>
        <w:tc>
          <w:tcPr>
            <w:tcW w:type="dxa" w:w="3742"/>
          </w:tcPr>
          <w:p>
            <w:r/>
            <w:r>
              <w:rPr>
                <w:sz w:val="18"/>
              </w:rPr>
              <w:t>Ранняя подача досье; «песочница» ДЗМ; параллельный выход ПО без статуса МИ (контур аналитики); консалтинг</w:t>
            </w:r>
          </w:p>
        </w:tc>
      </w:tr>
      <w:tr>
        <w:tc>
          <w:tcPr>
            <w:tcW w:type="dxa" w:w="397"/>
            <w:shd w:val="clear" w:color="auto" w:fill="F3F8FB"/>
          </w:tcPr>
          <w:p>
            <w:r/>
            <w:r>
              <w:rPr>
                <w:sz w:val="18"/>
              </w:rPr>
              <w:t>3</w:t>
            </w:r>
          </w:p>
        </w:tc>
        <w:tc>
          <w:tcPr>
            <w:tcW w:type="dxa" w:w="3061"/>
            <w:shd w:val="clear" w:color="auto" w:fill="F3F8FB"/>
          </w:tcPr>
          <w:p>
            <w:r/>
            <w:r>
              <w:rPr>
                <w:sz w:val="18"/>
              </w:rPr>
              <w:t>Точность в проспективном исследовании ниже целевой (AUC &lt; 0,73)</w:t>
            </w:r>
          </w:p>
        </w:tc>
        <w:tc>
          <w:tcPr>
            <w:tcW w:type="dxa" w:w="1134"/>
            <w:shd w:val="clear" w:color="auto" w:fill="F3F8FB"/>
          </w:tcPr>
          <w:p>
            <w:r/>
            <w:r>
              <w:rPr>
                <w:sz w:val="18"/>
              </w:rPr>
              <w:t>Средняя</w:t>
            </w:r>
          </w:p>
        </w:tc>
        <w:tc>
          <w:tcPr>
            <w:tcW w:type="dxa" w:w="1134"/>
            <w:shd w:val="clear" w:color="auto" w:fill="F3F8FB"/>
          </w:tcPr>
          <w:p>
            <w:r/>
            <w:r>
              <w:rPr>
                <w:sz w:val="18"/>
              </w:rPr>
              <w:t>Критическое</w:t>
            </w:r>
          </w:p>
        </w:tc>
        <w:tc>
          <w:tcPr>
            <w:tcW w:type="dxa" w:w="3742"/>
            <w:shd w:val="clear" w:color="auto" w:fill="F3F8FB"/>
          </w:tcPr>
          <w:p>
            <w:r/>
            <w:r>
              <w:rPr>
                <w:sz w:val="18"/>
              </w:rPr>
              <w:t>Поэтапная валидация; расширение выборки; фолбэк на контур «аналитика + сервис»; резервный бюджет</w:t>
            </w:r>
          </w:p>
        </w:tc>
      </w:tr>
      <w:tr>
        <w:tc>
          <w:tcPr>
            <w:tcW w:type="dxa" w:w="397"/>
          </w:tcPr>
          <w:p>
            <w:r/>
            <w:r>
              <w:rPr>
                <w:sz w:val="18"/>
              </w:rPr>
              <w:t>7</w:t>
            </w:r>
          </w:p>
        </w:tc>
        <w:tc>
          <w:tcPr>
            <w:tcW w:type="dxa" w:w="3061"/>
          </w:tcPr>
          <w:p>
            <w:r/>
            <w:r>
              <w:rPr>
                <w:sz w:val="18"/>
              </w:rPr>
              <w:t>Доступ к данным клиник ограничен</w:t>
            </w:r>
          </w:p>
        </w:tc>
        <w:tc>
          <w:tcPr>
            <w:tcW w:type="dxa" w:w="1134"/>
          </w:tcPr>
          <w:p>
            <w:r/>
            <w:r>
              <w:rPr>
                <w:sz w:val="18"/>
              </w:rPr>
              <w:t>Средняя</w:t>
            </w:r>
          </w:p>
        </w:tc>
        <w:tc>
          <w:tcPr>
            <w:tcW w:type="dxa" w:w="1134"/>
          </w:tcPr>
          <w:p>
            <w:r/>
            <w:r>
              <w:rPr>
                <w:sz w:val="18"/>
              </w:rPr>
              <w:t>Высокое</w:t>
            </w:r>
          </w:p>
        </w:tc>
        <w:tc>
          <w:tcPr>
            <w:tcW w:type="dxa" w:w="3742"/>
          </w:tcPr>
          <w:p>
            <w:r/>
            <w:r>
              <w:rPr>
                <w:sz w:val="18"/>
              </w:rPr>
              <w:t>Стандартные DPA, обезличивание по 152-ФЗ; якорный партнёр РНИМУ; пилотные соглашения «данные-за-продукт»</w:t>
            </w:r>
          </w:p>
        </w:tc>
      </w:tr>
      <w:tr>
        <w:tc>
          <w:tcPr>
            <w:tcW w:type="dxa" w:w="397"/>
            <w:shd w:val="clear" w:color="auto" w:fill="F3F8FB"/>
          </w:tcPr>
          <w:p>
            <w:r/>
            <w:r>
              <w:rPr>
                <w:sz w:val="18"/>
              </w:rPr>
              <w:t>3</w:t>
            </w:r>
          </w:p>
        </w:tc>
        <w:tc>
          <w:tcPr>
            <w:tcW w:type="dxa" w:w="3061"/>
            <w:shd w:val="clear" w:color="auto" w:fill="F3F8FB"/>
          </w:tcPr>
          <w:p>
            <w:r/>
            <w:r>
              <w:rPr>
                <w:sz w:val="18"/>
              </w:rPr>
              <w:t>Задержка/отмена Series A (недофинансирование)</w:t>
            </w:r>
          </w:p>
        </w:tc>
        <w:tc>
          <w:tcPr>
            <w:tcW w:type="dxa" w:w="1134"/>
            <w:shd w:val="clear" w:color="auto" w:fill="F3F8FB"/>
          </w:tcPr>
          <w:p>
            <w:r/>
            <w:r>
              <w:rPr>
                <w:sz w:val="18"/>
              </w:rPr>
              <w:t>Средняя</w:t>
            </w:r>
          </w:p>
        </w:tc>
        <w:tc>
          <w:tcPr>
            <w:tcW w:type="dxa" w:w="1134"/>
            <w:shd w:val="clear" w:color="auto" w:fill="F3F8FB"/>
          </w:tcPr>
          <w:p>
            <w:r/>
            <w:r>
              <w:rPr>
                <w:sz w:val="18"/>
              </w:rPr>
              <w:t>Высокое</w:t>
            </w:r>
          </w:p>
        </w:tc>
        <w:tc>
          <w:tcPr>
            <w:tcW w:type="dxa" w:w="3742"/>
            <w:shd w:val="clear" w:color="auto" w:fill="F3F8FB"/>
          </w:tcPr>
          <w:p>
            <w:r/>
            <w:r>
              <w:rPr>
                <w:sz w:val="18"/>
              </w:rPr>
              <w:t>Грантовая «обочка»; lean-бюджет; пересогласование вех; альтернативные источники (ВЭБ.РФ, РВК)</w:t>
            </w:r>
          </w:p>
        </w:tc>
      </w:tr>
      <w:tr>
        <w:tc>
          <w:tcPr>
            <w:tcW w:type="dxa" w:w="397"/>
          </w:tcPr>
          <w:p>
            <w:r/>
            <w:r>
              <w:rPr>
                <w:sz w:val="18"/>
              </w:rPr>
              <w:t>8</w:t>
            </w:r>
          </w:p>
        </w:tc>
        <w:tc>
          <w:tcPr>
            <w:tcW w:type="dxa" w:w="3061"/>
          </w:tcPr>
          <w:p>
            <w:r/>
            <w:r>
              <w:rPr>
                <w:sz w:val="18"/>
              </w:rPr>
              <w:t>Операционные (дрейф моделей, перебои данных)</w:t>
            </w:r>
          </w:p>
        </w:tc>
        <w:tc>
          <w:tcPr>
            <w:tcW w:type="dxa" w:w="1134"/>
          </w:tcPr>
          <w:p>
            <w:r/>
            <w:r>
              <w:rPr>
                <w:sz w:val="18"/>
              </w:rPr>
              <w:t>Средняя</w:t>
            </w:r>
          </w:p>
        </w:tc>
        <w:tc>
          <w:tcPr>
            <w:tcW w:type="dxa" w:w="1134"/>
          </w:tcPr>
          <w:p>
            <w:r/>
            <w:r>
              <w:rPr>
                <w:sz w:val="18"/>
              </w:rPr>
              <w:t>Среднее</w:t>
            </w:r>
          </w:p>
        </w:tc>
        <w:tc>
          <w:tcPr>
            <w:tcW w:type="dxa" w:w="3742"/>
          </w:tcPr>
          <w:p>
            <w:r/>
            <w:r>
              <w:rPr>
                <w:sz w:val="18"/>
              </w:rPr>
              <w:t>MLOps-мониторинг, версионирование, резервирование, SLA</w:t>
            </w:r>
          </w:p>
        </w:tc>
      </w:tr>
      <w:tr>
        <w:tc>
          <w:tcPr>
            <w:tcW w:type="dxa" w:w="397"/>
            <w:shd w:val="clear" w:color="auto" w:fill="F3F8FB"/>
          </w:tcPr>
          <w:p>
            <w:r/>
            <w:r>
              <w:rPr>
                <w:sz w:val="18"/>
              </w:rPr>
              <w:t>13</w:t>
            </w:r>
          </w:p>
        </w:tc>
        <w:tc>
          <w:tcPr>
            <w:tcW w:type="dxa" w:w="3061"/>
            <w:shd w:val="clear" w:color="auto" w:fill="F3F8FB"/>
          </w:tcPr>
          <w:p>
            <w:r/>
            <w:r>
              <w:rPr>
                <w:sz w:val="18"/>
              </w:rPr>
              <w:t>Кадровый риск (уход ключевых ML-инженеров)</w:t>
            </w:r>
          </w:p>
        </w:tc>
        <w:tc>
          <w:tcPr>
            <w:tcW w:type="dxa" w:w="1134"/>
            <w:shd w:val="clear" w:color="auto" w:fill="F3F8FB"/>
          </w:tcPr>
          <w:p>
            <w:r/>
            <w:r>
              <w:rPr>
                <w:sz w:val="18"/>
              </w:rPr>
              <w:t>Средняя</w:t>
            </w:r>
          </w:p>
        </w:tc>
        <w:tc>
          <w:tcPr>
            <w:tcW w:type="dxa" w:w="1134"/>
            <w:shd w:val="clear" w:color="auto" w:fill="F3F8FB"/>
          </w:tcPr>
          <w:p>
            <w:r/>
            <w:r>
              <w:rPr>
                <w:sz w:val="18"/>
              </w:rPr>
              <w:t>Среднее</w:t>
            </w:r>
          </w:p>
        </w:tc>
        <w:tc>
          <w:tcPr>
            <w:tcW w:type="dxa" w:w="3742"/>
            <w:shd w:val="clear" w:color="auto" w:fill="F3F8FB"/>
          </w:tcPr>
          <w:p>
            <w:r/>
            <w:r>
              <w:rPr>
                <w:sz w:val="18"/>
              </w:rPr>
              <w:t>Опционы, ключевые сотрудники-регисtraция служебных РИД, NCA; дублирование</w:t>
            </w:r>
          </w:p>
        </w:tc>
      </w:tr>
      <w:tr>
        <w:tc>
          <w:tcPr>
            <w:tcW w:type="dxa" w:w="397"/>
          </w:tcPr>
          <w:p>
            <w:r/>
            <w:r>
              <w:rPr>
                <w:sz w:val="18"/>
              </w:rPr>
              <w:t>10</w:t>
            </w:r>
          </w:p>
        </w:tc>
        <w:tc>
          <w:tcPr>
            <w:tcW w:type="dxa" w:w="3061"/>
          </w:tcPr>
          <w:p>
            <w:r/>
            <w:r>
              <w:rPr>
                <w:sz w:val="18"/>
              </w:rPr>
              <w:t>Рыночный (медленный спрос B2B)</w:t>
            </w:r>
          </w:p>
        </w:tc>
        <w:tc>
          <w:tcPr>
            <w:tcW w:type="dxa" w:w="1134"/>
          </w:tcPr>
          <w:p>
            <w:r/>
            <w:r>
              <w:rPr>
                <w:sz w:val="18"/>
              </w:rPr>
              <w:t>Средняя</w:t>
            </w:r>
          </w:p>
        </w:tc>
        <w:tc>
          <w:tcPr>
            <w:tcW w:type="dxa" w:w="1134"/>
          </w:tcPr>
          <w:p>
            <w:r/>
            <w:r>
              <w:rPr>
                <w:sz w:val="18"/>
              </w:rPr>
              <w:t>Высокое</w:t>
            </w:r>
          </w:p>
        </w:tc>
        <w:tc>
          <w:tcPr>
            <w:tcW w:type="dxa" w:w="3742"/>
          </w:tcPr>
          <w:p>
            <w:r/>
            <w:r>
              <w:rPr>
                <w:sz w:val="18"/>
              </w:rPr>
              <w:t>Пилоты как продающий канал; B2G-фокус; модульная монетизация отдельных точных задач</w:t>
            </w:r>
          </w:p>
        </w:tc>
      </w:tr>
      <w:tr>
        <w:tc>
          <w:tcPr>
            <w:tcW w:type="dxa" w:w="397"/>
            <w:shd w:val="clear" w:color="auto" w:fill="F3F8FB"/>
          </w:tcPr>
          <w:p>
            <w:r/>
            <w:r>
              <w:rPr>
                <w:sz w:val="18"/>
              </w:rPr>
              <w:t>6</w:t>
            </w:r>
          </w:p>
        </w:tc>
        <w:tc>
          <w:tcPr>
            <w:tcW w:type="dxa" w:w="3061"/>
            <w:shd w:val="clear" w:color="auto" w:fill="F3F8FB"/>
          </w:tcPr>
          <w:p>
            <w:r/>
            <w:r>
              <w:rPr>
                <w:sz w:val="18"/>
              </w:rPr>
              <w:t>Регуляторика Китая (NMPA/PIPL) затягивается</w:t>
            </w:r>
          </w:p>
        </w:tc>
        <w:tc>
          <w:tcPr>
            <w:tcW w:type="dxa" w:w="1134"/>
            <w:shd w:val="clear" w:color="auto" w:fill="F3F8FB"/>
          </w:tcPr>
          <w:p>
            <w:r/>
            <w:r>
              <w:rPr>
                <w:sz w:val="18"/>
              </w:rPr>
              <w:t>Средняя</w:t>
            </w:r>
          </w:p>
        </w:tc>
        <w:tc>
          <w:tcPr>
            <w:tcW w:type="dxa" w:w="1134"/>
            <w:shd w:val="clear" w:color="auto" w:fill="F3F8FB"/>
          </w:tcPr>
          <w:p>
            <w:r/>
            <w:r>
              <w:rPr>
                <w:sz w:val="18"/>
              </w:rPr>
              <w:t>Среднее</w:t>
            </w:r>
          </w:p>
        </w:tc>
        <w:tc>
          <w:tcPr>
            <w:tcW w:type="dxa" w:w="3742"/>
            <w:shd w:val="clear" w:color="auto" w:fill="F3F8FB"/>
          </w:tcPr>
          <w:p>
            <w:r/>
            <w:r>
              <w:rPr>
                <w:sz w:val="18"/>
              </w:rPr>
              <w:t>WFOE ЗСТ Хайнань (ускоренный режим); локальные партнёры; IPA-модель; отложить экспорт до 2029 при необходимости</w:t>
            </w:r>
          </w:p>
        </w:tc>
      </w:tr>
      <w:tr>
        <w:tc>
          <w:tcPr>
            <w:tcW w:type="dxa" w:w="397"/>
          </w:tcPr>
          <w:p>
            <w:r/>
            <w:r>
              <w:rPr>
                <w:sz w:val="18"/>
              </w:rPr>
              <w:t>8</w:t>
            </w:r>
          </w:p>
        </w:tc>
        <w:tc>
          <w:tcPr>
            <w:tcW w:type="dxa" w:w="3061"/>
          </w:tcPr>
          <w:p>
            <w:r/>
            <w:r>
              <w:rPr>
                <w:sz w:val="18"/>
              </w:rPr>
              <w:t>Этические/репутационные (ИИ в репродукции)</w:t>
            </w:r>
          </w:p>
        </w:tc>
        <w:tc>
          <w:tcPr>
            <w:tcW w:type="dxa" w:w="1134"/>
          </w:tcPr>
          <w:p>
            <w:r/>
            <w:r>
              <w:rPr>
                <w:sz w:val="18"/>
              </w:rPr>
              <w:t>Низкая</w:t>
            </w:r>
          </w:p>
        </w:tc>
        <w:tc>
          <w:tcPr>
            <w:tcW w:type="dxa" w:w="1134"/>
          </w:tcPr>
          <w:p>
            <w:r/>
            <w:r>
              <w:rPr>
                <w:sz w:val="18"/>
              </w:rPr>
              <w:t>Высокое</w:t>
            </w:r>
          </w:p>
        </w:tc>
        <w:tc>
          <w:tcPr>
            <w:tcW w:type="dxa" w:w="3742"/>
          </w:tcPr>
          <w:p>
            <w:r/>
            <w:r>
              <w:rPr>
                <w:sz w:val="18"/>
              </w:rPr>
              <w:t>Этический консилиум, PGT-P ограничения, транспарентность модели, разъяснительные материалы</w:t>
            </w:r>
          </w:p>
        </w:tc>
      </w:tr>
      <w:tr>
        <w:tc>
          <w:tcPr>
            <w:tcW w:type="dxa" w:w="397"/>
            <w:shd w:val="clear" w:color="auto" w:fill="F3F8FB"/>
          </w:tcPr>
          <w:p>
            <w:r/>
            <w:r>
              <w:rPr>
                <w:sz w:val="18"/>
              </w:rPr>
              <w:t>14</w:t>
            </w:r>
          </w:p>
        </w:tc>
        <w:tc>
          <w:tcPr>
            <w:tcW w:type="dxa" w:w="3061"/>
            <w:shd w:val="clear" w:color="auto" w:fill="F3F8FB"/>
          </w:tcPr>
          <w:p>
            <w:r/>
            <w:r>
              <w:rPr>
                <w:sz w:val="18"/>
              </w:rPr>
              <w:t>Юридические (риски оценки ИС, TP)</w:t>
            </w:r>
          </w:p>
        </w:tc>
        <w:tc>
          <w:tcPr>
            <w:tcW w:type="dxa" w:w="1134"/>
            <w:shd w:val="clear" w:color="auto" w:fill="F3F8FB"/>
          </w:tcPr>
          <w:p>
            <w:r/>
            <w:r>
              <w:rPr>
                <w:sz w:val="18"/>
              </w:rPr>
              <w:t>Низкая</w:t>
            </w:r>
          </w:p>
        </w:tc>
        <w:tc>
          <w:tcPr>
            <w:tcW w:type="dxa" w:w="1134"/>
            <w:shd w:val="clear" w:color="auto" w:fill="F3F8FB"/>
          </w:tcPr>
          <w:p>
            <w:r/>
            <w:r>
              <w:rPr>
                <w:sz w:val="18"/>
              </w:rPr>
              <w:t>Среднее</w:t>
            </w:r>
          </w:p>
        </w:tc>
        <w:tc>
          <w:tcPr>
            <w:tcW w:type="dxa" w:w="3742"/>
            <w:shd w:val="clear" w:color="auto" w:fill="F3F8FB"/>
          </w:tcPr>
          <w:p>
            <w:r/>
            <w:r>
              <w:rPr>
                <w:sz w:val="18"/>
              </w:rPr>
              <w:t>Независимая оценка, юр. заключения, TP-файл, страхование</w:t>
            </w:r>
          </w:p>
        </w:tc>
      </w:tr>
    </w:tbl>
    <w:p/>
    <w:p>
      <w:pPr>
        <w:pStyle w:val="Heading2"/>
      </w:pPr>
      <w:r>
        <w:t>15.2. Композитная оценка и план Б</w:t>
      </w:r>
    </w:p>
    <w:p>
      <w:r>
        <w:rPr>
          <w:b w:val="0"/>
          <w:i w:val="0"/>
          <w:sz w:val="22"/>
        </w:rPr>
        <w:t>Интегральный риск после мер — умеренный. Наиболее критичная связка «регуляторика × точность» закрыта двумя контурами монетизации: (1) сертифицируемое ИИ-МИ с обеспеченным докладающим контуром и (3) аналитико-сервисный контур (без статуса медизделия), который можно продавать клиникам и регионам B2G даже при задержке регистрации. План Б (консервативный): удержание пилота и R&amp;D на грантах до 2029 года, отложенный федеральный выход; пересмотр оценки/ dilution для следующего раунда.</w:t>
      </w:r>
    </w:p>
    <w:p>
      <w:pPr>
        <w:pStyle w:val="Heading2"/>
      </w:pPr>
      <w:r>
        <w:t>15.2. Владельцы рисков и периодичность мониторинга</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94"/>
            <w:shd w:val="clear" w:color="auto" w:fill="0B3D5C"/>
          </w:tcPr>
          <w:p>
            <w:r/>
            <w:r>
              <w:rPr>
                <w:b/>
                <w:color w:val="FFFFFF"/>
                <w:sz w:val="20"/>
              </w:rPr>
              <w:t>Риск (из карты 27.0)</w:t>
            </w:r>
          </w:p>
        </w:tc>
        <w:tc>
          <w:tcPr>
            <w:tcW w:type="dxa" w:w="2494"/>
            <w:shd w:val="clear" w:color="auto" w:fill="0B3D5C"/>
          </w:tcPr>
          <w:p>
            <w:r/>
            <w:r>
              <w:rPr>
                <w:b/>
                <w:color w:val="FFFFFF"/>
                <w:sz w:val="20"/>
              </w:rPr>
              <w:t>Владелец</w:t>
            </w:r>
          </w:p>
        </w:tc>
        <w:tc>
          <w:tcPr>
            <w:tcW w:type="dxa" w:w="1361"/>
            <w:shd w:val="clear" w:color="auto" w:fill="0B3D5C"/>
          </w:tcPr>
          <w:p>
            <w:r/>
            <w:r>
              <w:rPr>
                <w:b/>
                <w:color w:val="FFFFFF"/>
                <w:sz w:val="20"/>
              </w:rPr>
              <w:t>Периодичность</w:t>
            </w:r>
          </w:p>
        </w:tc>
        <w:tc>
          <w:tcPr>
            <w:tcW w:type="dxa" w:w="2494"/>
            <w:shd w:val="clear" w:color="auto" w:fill="0B3D5C"/>
          </w:tcPr>
          <w:p>
            <w:r/>
            <w:r>
              <w:rPr>
                <w:b/>
                <w:color w:val="FFFFFF"/>
                <w:sz w:val="20"/>
              </w:rPr>
              <w:t>Предупреждающие индикаторы</w:t>
            </w:r>
          </w:p>
        </w:tc>
      </w:tr>
      <w:tr>
        <w:tc>
          <w:tcPr>
            <w:tcW w:type="dxa" w:w="2494"/>
          </w:tcPr>
          <w:p>
            <w:r/>
            <w:r>
              <w:rPr>
                <w:sz w:val="20"/>
              </w:rPr>
              <w:t>Регуляторика ИИ-МИ</w:t>
            </w:r>
          </w:p>
        </w:tc>
        <w:tc>
          <w:tcPr>
            <w:tcW w:type="dxa" w:w="2494"/>
          </w:tcPr>
          <w:p>
            <w:r/>
            <w:r>
              <w:rPr>
                <w:sz w:val="20"/>
              </w:rPr>
              <w:t>Регуляторный специалист</w:t>
            </w:r>
          </w:p>
        </w:tc>
        <w:tc>
          <w:tcPr>
            <w:tcW w:type="dxa" w:w="1361"/>
          </w:tcPr>
          <w:p>
            <w:r/>
            <w:r>
              <w:rPr>
                <w:sz w:val="20"/>
              </w:rPr>
              <w:t>Ежемесячно</w:t>
            </w:r>
          </w:p>
        </w:tc>
        <w:tc>
          <w:tcPr>
            <w:tcW w:type="dxa" w:w="2494"/>
          </w:tcPr>
          <w:p>
            <w:r/>
            <w:r>
              <w:rPr>
                <w:sz w:val="20"/>
              </w:rPr>
              <w:t>Статус досье; сроки лабораторных испытаний</w:t>
            </w:r>
          </w:p>
        </w:tc>
      </w:tr>
      <w:tr>
        <w:tc>
          <w:tcPr>
            <w:tcW w:type="dxa" w:w="2494"/>
            <w:shd w:val="clear" w:color="auto" w:fill="F3F8FB"/>
          </w:tcPr>
          <w:p>
            <w:r/>
            <w:r>
              <w:rPr>
                <w:sz w:val="20"/>
              </w:rPr>
              <w:t>Точность модели</w:t>
            </w:r>
          </w:p>
        </w:tc>
        <w:tc>
          <w:tcPr>
            <w:tcW w:type="dxa" w:w="2494"/>
            <w:shd w:val="clear" w:color="auto" w:fill="F3F8FB"/>
          </w:tcPr>
          <w:p>
            <w:r/>
            <w:r>
              <w:rPr>
                <w:sz w:val="20"/>
              </w:rPr>
              <w:t>Научный руководитель + R&amp;D</w:t>
            </w:r>
          </w:p>
        </w:tc>
        <w:tc>
          <w:tcPr>
            <w:tcW w:type="dxa" w:w="1361"/>
            <w:shd w:val="clear" w:color="auto" w:fill="F3F8FB"/>
          </w:tcPr>
          <w:p>
            <w:r/>
            <w:r>
              <w:rPr>
                <w:sz w:val="20"/>
              </w:rPr>
              <w:t>Ежеквартально</w:t>
            </w:r>
          </w:p>
        </w:tc>
        <w:tc>
          <w:tcPr>
            <w:tcW w:type="dxa" w:w="2494"/>
            <w:shd w:val="clear" w:color="auto" w:fill="F3F8FB"/>
          </w:tcPr>
          <w:p>
            <w:r/>
            <w:r>
              <w:rPr>
                <w:sz w:val="20"/>
              </w:rPr>
              <w:t>AUC на валидационных срезах; дрейф данных</w:t>
            </w:r>
          </w:p>
        </w:tc>
      </w:tr>
      <w:tr>
        <w:tc>
          <w:tcPr>
            <w:tcW w:type="dxa" w:w="2494"/>
          </w:tcPr>
          <w:p>
            <w:r/>
            <w:r>
              <w:rPr>
                <w:sz w:val="20"/>
              </w:rPr>
              <w:t>Данные клиник</w:t>
            </w:r>
          </w:p>
        </w:tc>
        <w:tc>
          <w:tcPr>
            <w:tcW w:type="dxa" w:w="2494"/>
          </w:tcPr>
          <w:p>
            <w:r/>
            <w:r>
              <w:rPr>
                <w:sz w:val="20"/>
              </w:rPr>
              <w:t>CRA + юрист</w:t>
            </w:r>
          </w:p>
        </w:tc>
        <w:tc>
          <w:tcPr>
            <w:tcW w:type="dxa" w:w="1361"/>
          </w:tcPr>
          <w:p>
            <w:r/>
            <w:r>
              <w:rPr>
                <w:sz w:val="20"/>
              </w:rPr>
              <w:t>Ежемесячно</w:t>
            </w:r>
          </w:p>
        </w:tc>
        <w:tc>
          <w:tcPr>
            <w:tcW w:type="dxa" w:w="2494"/>
          </w:tcPr>
          <w:p>
            <w:r/>
            <w:r>
              <w:rPr>
                <w:sz w:val="20"/>
              </w:rPr>
              <w:t>Задержки DPA; отказы в доступе к МИС</w:t>
            </w:r>
          </w:p>
        </w:tc>
      </w:tr>
      <w:tr>
        <w:tc>
          <w:tcPr>
            <w:tcW w:type="dxa" w:w="2494"/>
            <w:shd w:val="clear" w:color="auto" w:fill="F3F8FB"/>
          </w:tcPr>
          <w:p>
            <w:r/>
            <w:r>
              <w:rPr>
                <w:sz w:val="20"/>
              </w:rPr>
              <w:t>Финансирование</w:t>
            </w:r>
          </w:p>
        </w:tc>
        <w:tc>
          <w:tcPr>
            <w:tcW w:type="dxa" w:w="2494"/>
            <w:shd w:val="clear" w:color="auto" w:fill="F3F8FB"/>
          </w:tcPr>
          <w:p>
            <w:r/>
            <w:r>
              <w:rPr>
                <w:sz w:val="20"/>
              </w:rPr>
              <w:t>Генеральный директор</w:t>
            </w:r>
          </w:p>
        </w:tc>
        <w:tc>
          <w:tcPr>
            <w:tcW w:type="dxa" w:w="1361"/>
            <w:shd w:val="clear" w:color="auto" w:fill="F3F8FB"/>
          </w:tcPr>
          <w:p>
            <w:r/>
            <w:r>
              <w:rPr>
                <w:sz w:val="20"/>
              </w:rPr>
              <w:t>Ежеквартально</w:t>
            </w:r>
          </w:p>
        </w:tc>
        <w:tc>
          <w:tcPr>
            <w:tcW w:type="dxa" w:w="2494"/>
            <w:shd w:val="clear" w:color="auto" w:fill="F3F8FB"/>
          </w:tcPr>
          <w:p>
            <w:r/>
            <w:r>
              <w:rPr>
                <w:sz w:val="20"/>
              </w:rPr>
              <w:t>Темп burn-rate; активность инвест-воронки</w:t>
            </w:r>
          </w:p>
        </w:tc>
      </w:tr>
      <w:tr>
        <w:tc>
          <w:tcPr>
            <w:tcW w:type="dxa" w:w="2494"/>
          </w:tcPr>
          <w:p>
            <w:r/>
            <w:r>
              <w:rPr>
                <w:sz w:val="20"/>
              </w:rPr>
              <w:t>Кадры</w:t>
            </w:r>
          </w:p>
        </w:tc>
        <w:tc>
          <w:tcPr>
            <w:tcW w:type="dxa" w:w="2494"/>
          </w:tcPr>
          <w:p>
            <w:r/>
            <w:r>
              <w:rPr>
                <w:sz w:val="20"/>
              </w:rPr>
              <w:t>HR + гендиректор</w:t>
            </w:r>
          </w:p>
        </w:tc>
        <w:tc>
          <w:tcPr>
            <w:tcW w:type="dxa" w:w="1361"/>
          </w:tcPr>
          <w:p>
            <w:r/>
            <w:r>
              <w:rPr>
                <w:sz w:val="20"/>
              </w:rPr>
              <w:t>Ежемесячно</w:t>
            </w:r>
          </w:p>
        </w:tc>
        <w:tc>
          <w:tcPr>
            <w:tcW w:type="dxa" w:w="2494"/>
          </w:tcPr>
          <w:p>
            <w:r/>
            <w:r>
              <w:rPr>
                <w:sz w:val="20"/>
              </w:rPr>
              <w:t>Текучка ML-ядра; рынок зарплат</w:t>
            </w:r>
          </w:p>
        </w:tc>
      </w:tr>
      <w:tr>
        <w:tc>
          <w:tcPr>
            <w:tcW w:type="dxa" w:w="2494"/>
            <w:shd w:val="clear" w:color="auto" w:fill="F3F8FB"/>
          </w:tcPr>
          <w:p>
            <w:r/>
            <w:r>
              <w:rPr>
                <w:sz w:val="20"/>
              </w:rPr>
              <w:t>Спрос B2B</w:t>
            </w:r>
          </w:p>
        </w:tc>
        <w:tc>
          <w:tcPr>
            <w:tcW w:type="dxa" w:w="2494"/>
            <w:shd w:val="clear" w:color="auto" w:fill="F3F8FB"/>
          </w:tcPr>
          <w:p>
            <w:r/>
            <w:r>
              <w:rPr>
                <w:sz w:val="20"/>
              </w:rPr>
              <w:t>Коммерческий директор</w:t>
            </w:r>
          </w:p>
        </w:tc>
        <w:tc>
          <w:tcPr>
            <w:tcW w:type="dxa" w:w="1361"/>
            <w:shd w:val="clear" w:color="auto" w:fill="F3F8FB"/>
          </w:tcPr>
          <w:p>
            <w:r/>
            <w:r>
              <w:rPr>
                <w:sz w:val="20"/>
              </w:rPr>
              <w:t>Ежеквартально</w:t>
            </w:r>
          </w:p>
        </w:tc>
        <w:tc>
          <w:tcPr>
            <w:tcW w:type="dxa" w:w="2494"/>
            <w:shd w:val="clear" w:color="auto" w:fill="F3F8FB"/>
          </w:tcPr>
          <w:p>
            <w:r/>
            <w:r>
              <w:rPr>
                <w:sz w:val="20"/>
              </w:rPr>
              <w:t>Воронка пилотов; конверсия в договоры</w:t>
            </w:r>
          </w:p>
        </w:tc>
      </w:tr>
      <w:tr>
        <w:tc>
          <w:tcPr>
            <w:tcW w:type="dxa" w:w="2494"/>
          </w:tcPr>
          <w:p>
            <w:r/>
            <w:r>
              <w:rPr>
                <w:sz w:val="20"/>
              </w:rPr>
              <w:t>Китай/АТР (NMPA/PIPL)</w:t>
            </w:r>
          </w:p>
        </w:tc>
        <w:tc>
          <w:tcPr>
            <w:tcW w:type="dxa" w:w="2494"/>
          </w:tcPr>
          <w:p>
            <w:r/>
            <w:r>
              <w:rPr>
                <w:sz w:val="20"/>
              </w:rPr>
              <w:t>Международный менеджер</w:t>
            </w:r>
          </w:p>
        </w:tc>
        <w:tc>
          <w:tcPr>
            <w:tcW w:type="dxa" w:w="1361"/>
          </w:tcPr>
          <w:p>
            <w:r/>
            <w:r>
              <w:rPr>
                <w:sz w:val="20"/>
              </w:rPr>
              <w:t>Ежеквартально</w:t>
            </w:r>
          </w:p>
        </w:tc>
        <w:tc>
          <w:tcPr>
            <w:tcW w:type="dxa" w:w="2494"/>
          </w:tcPr>
          <w:p>
            <w:r/>
            <w:r>
              <w:rPr>
                <w:sz w:val="20"/>
              </w:rPr>
              <w:t>Статус WFOE; сдвиги регуляторных окон</w:t>
            </w:r>
          </w:p>
        </w:tc>
      </w:tr>
      <w:tr>
        <w:tc>
          <w:tcPr>
            <w:tcW w:type="dxa" w:w="2494"/>
            <w:shd w:val="clear" w:color="auto" w:fill="F3F8FB"/>
          </w:tcPr>
          <w:p>
            <w:r/>
            <w:r>
              <w:rPr>
                <w:sz w:val="20"/>
              </w:rPr>
              <w:t>Этика/репутация</w:t>
            </w:r>
          </w:p>
        </w:tc>
        <w:tc>
          <w:tcPr>
            <w:tcW w:type="dxa" w:w="2494"/>
            <w:shd w:val="clear" w:color="auto" w:fill="F3F8FB"/>
          </w:tcPr>
          <w:p>
            <w:r/>
            <w:r>
              <w:rPr>
                <w:sz w:val="20"/>
              </w:rPr>
              <w:t>Этический комитет</w:t>
            </w:r>
          </w:p>
        </w:tc>
        <w:tc>
          <w:tcPr>
            <w:tcW w:type="dxa" w:w="1361"/>
            <w:shd w:val="clear" w:color="auto" w:fill="F3F8FB"/>
          </w:tcPr>
          <w:p>
            <w:r/>
            <w:r>
              <w:rPr>
                <w:sz w:val="20"/>
              </w:rPr>
              <w:t>Ежеквартально</w:t>
            </w:r>
          </w:p>
        </w:tc>
        <w:tc>
          <w:tcPr>
            <w:tcW w:type="dxa" w:w="2494"/>
            <w:shd w:val="clear" w:color="auto" w:fill="F3F8FB"/>
          </w:tcPr>
          <w:p>
            <w:r/>
            <w:r>
              <w:rPr>
                <w:sz w:val="20"/>
              </w:rPr>
              <w:t>Реестр жалоб; публикации об ИИ в репродукции</w:t>
            </w:r>
          </w:p>
        </w:tc>
      </w:tr>
    </w:tbl>
    <w:p/>
    <w:p>
      <w:pPr>
        <w:pStyle w:val="Heading2"/>
      </w:pPr>
      <w:r>
        <w:t>15.3. Точки принятия решений (go/no-go) в зависимости от ситуации</w:t>
      </w:r>
    </w:p>
    <w:tbl>
      <w:tblPr>
        <w:tblStyle w:val="TableGrid"/>
        <w:tblW w:type="auto" w:w="0"/>
        <w:jc w:val="center"/>
        <w:tblLook w:firstColumn="1" w:firstRow="1" w:lastColumn="0" w:lastRow="0" w:noHBand="0" w:noVBand="1" w:val="04A0"/>
      </w:tblPr>
      <w:tblGrid>
        <w:gridCol w:w="3213"/>
        <w:gridCol w:w="3213"/>
        <w:gridCol w:w="3213"/>
      </w:tblGrid>
      <w:tr>
        <w:tc>
          <w:tcPr>
            <w:tcW w:type="dxa" w:w="3175"/>
            <w:shd w:val="clear" w:color="auto" w:fill="0B3D5C"/>
          </w:tcPr>
          <w:p>
            <w:r/>
            <w:r>
              <w:rPr>
                <w:b/>
                <w:color w:val="FFFFFF"/>
                <w:sz w:val="20"/>
              </w:rPr>
              <w:t>Триггер</w:t>
            </w:r>
          </w:p>
        </w:tc>
        <w:tc>
          <w:tcPr>
            <w:tcW w:type="dxa" w:w="1928"/>
            <w:shd w:val="clear" w:color="auto" w:fill="0B3D5C"/>
          </w:tcPr>
          <w:p>
            <w:r/>
            <w:r>
              <w:rPr>
                <w:b/>
                <w:color w:val="FFFFFF"/>
                <w:sz w:val="20"/>
              </w:rPr>
              <w:t>Сигнал</w:t>
            </w:r>
          </w:p>
        </w:tc>
        <w:tc>
          <w:tcPr>
            <w:tcW w:type="dxa" w:w="3969"/>
            <w:shd w:val="clear" w:color="auto" w:fill="0B3D5C"/>
          </w:tcPr>
          <w:p>
            <w:r/>
            <w:r>
              <w:rPr>
                <w:b/>
                <w:color w:val="FFFFFF"/>
                <w:sz w:val="20"/>
              </w:rPr>
              <w:t>Решение / переключение</w:t>
            </w:r>
          </w:p>
        </w:tc>
      </w:tr>
      <w:tr>
        <w:tc>
          <w:tcPr>
            <w:tcW w:type="dxa" w:w="3175"/>
          </w:tcPr>
          <w:p>
            <w:r/>
            <w:r>
              <w:rPr>
                <w:sz w:val="20"/>
              </w:rPr>
              <w:t>AUC на независимой выборке ниже 0,71 (Q7 2026)</w:t>
            </w:r>
          </w:p>
        </w:tc>
        <w:tc>
          <w:tcPr>
            <w:tcW w:type="dxa" w:w="1928"/>
          </w:tcPr>
          <w:p>
            <w:r/>
            <w:r>
              <w:rPr>
                <w:sz w:val="20"/>
              </w:rPr>
              <w:t>провал продуктовой вехи</w:t>
            </w:r>
          </w:p>
        </w:tc>
        <w:tc>
          <w:tcPr>
            <w:tcW w:type="dxa" w:w="3969"/>
          </w:tcPr>
          <w:p>
            <w:r/>
            <w:r>
              <w:rPr>
                <w:sz w:val="20"/>
              </w:rPr>
              <w:t>фокус на аналитическом контуре; стороннее доверие к модулю; пересмотр roadmap</w:t>
            </w:r>
          </w:p>
        </w:tc>
      </w:tr>
      <w:tr>
        <w:tc>
          <w:tcPr>
            <w:tcW w:type="dxa" w:w="3175"/>
            <w:shd w:val="clear" w:color="auto" w:fill="F3F8FB"/>
          </w:tcPr>
          <w:p>
            <w:r/>
            <w:r>
              <w:rPr>
                <w:sz w:val="20"/>
              </w:rPr>
              <w:t>Регистрация ИИ-МИ задерживается &gt; 26 мес.</w:t>
            </w:r>
          </w:p>
        </w:tc>
        <w:tc>
          <w:tcPr>
            <w:tcW w:type="dxa" w:w="1928"/>
            <w:shd w:val="clear" w:color="auto" w:fill="F3F8FB"/>
          </w:tcPr>
          <w:p>
            <w:r/>
            <w:r>
              <w:rPr>
                <w:sz w:val="20"/>
              </w:rPr>
              <w:t>регуляторный риск</w:t>
            </w:r>
          </w:p>
        </w:tc>
        <w:tc>
          <w:tcPr>
            <w:tcW w:type="dxa" w:w="3969"/>
            <w:shd w:val="clear" w:color="auto" w:fill="F3F8FB"/>
          </w:tcPr>
          <w:p>
            <w:r/>
            <w:r>
              <w:rPr>
                <w:sz w:val="20"/>
              </w:rPr>
              <w:t>запуск «мягкого» программного продукта; B2G спокойно без статуса МИ</w:t>
            </w:r>
          </w:p>
        </w:tc>
      </w:tr>
      <w:tr>
        <w:tc>
          <w:tcPr>
            <w:tcW w:type="dxa" w:w="3175"/>
          </w:tcPr>
          <w:p>
            <w:r/>
            <w:r>
              <w:rPr>
                <w:sz w:val="20"/>
              </w:rPr>
              <w:t>Series A не закрывается к Q3 2027</w:t>
            </w:r>
          </w:p>
        </w:tc>
        <w:tc>
          <w:tcPr>
            <w:tcW w:type="dxa" w:w="1928"/>
          </w:tcPr>
          <w:p>
            <w:r/>
            <w:r>
              <w:rPr>
                <w:sz w:val="20"/>
              </w:rPr>
              <w:t>недофинансирование</w:t>
            </w:r>
          </w:p>
        </w:tc>
        <w:tc>
          <w:tcPr>
            <w:tcW w:type="dxa" w:w="3969"/>
          </w:tcPr>
          <w:p>
            <w:r/>
            <w:r>
              <w:rPr>
                <w:sz w:val="20"/>
              </w:rPr>
              <w:t>гранты+пилот; сжатие бюджета; пересмотр оценки следующего раунда</w:t>
            </w:r>
          </w:p>
        </w:tc>
      </w:tr>
      <w:tr>
        <w:tc>
          <w:tcPr>
            <w:tcW w:type="dxa" w:w="3175"/>
            <w:shd w:val="clear" w:color="auto" w:fill="F3F8FB"/>
          </w:tcPr>
          <w:p>
            <w:r/>
            <w:r>
              <w:rPr>
                <w:sz w:val="20"/>
              </w:rPr>
              <w:t>1-й год: платящих клиник нет</w:t>
            </w:r>
          </w:p>
        </w:tc>
        <w:tc>
          <w:tcPr>
            <w:tcW w:type="dxa" w:w="1928"/>
            <w:shd w:val="clear" w:color="auto" w:fill="F3F8FB"/>
          </w:tcPr>
          <w:p>
            <w:r/>
            <w:r>
              <w:rPr>
                <w:sz w:val="20"/>
              </w:rPr>
              <w:t>нулевая монетизация</w:t>
            </w:r>
          </w:p>
        </w:tc>
        <w:tc>
          <w:tcPr>
            <w:tcW w:type="dxa" w:w="3969"/>
            <w:shd w:val="clear" w:color="auto" w:fill="F3F8FB"/>
          </w:tcPr>
          <w:p>
            <w:r/>
            <w:r>
              <w:rPr>
                <w:sz w:val="20"/>
              </w:rPr>
              <w:t>пилоты переводятся в платные; pivot на B2G ядра</w:t>
            </w:r>
          </w:p>
        </w:tc>
      </w:tr>
      <w:tr>
        <w:tc>
          <w:tcPr>
            <w:tcW w:type="dxa" w:w="3175"/>
          </w:tcPr>
          <w:p>
            <w:r/>
            <w:r>
              <w:rPr>
                <w:sz w:val="20"/>
              </w:rPr>
              <w:t>Успех пилота Боао (КНР)</w:t>
            </w:r>
          </w:p>
        </w:tc>
        <w:tc>
          <w:tcPr>
            <w:tcW w:type="dxa" w:w="1928"/>
          </w:tcPr>
          <w:p>
            <w:r/>
            <w:r>
              <w:rPr>
                <w:sz w:val="20"/>
              </w:rPr>
              <w:t>открыт международный контур</w:t>
            </w:r>
          </w:p>
        </w:tc>
        <w:tc>
          <w:tcPr>
            <w:tcW w:type="dxa" w:w="3969"/>
          </w:tcPr>
          <w:p>
            <w:r/>
            <w:r>
              <w:rPr>
                <w:sz w:val="20"/>
              </w:rPr>
              <w:t>ускорение WFOE и третьего АТР-контакта</w:t>
            </w:r>
          </w:p>
        </w:tc>
      </w:tr>
    </w:tbl>
    <w:p/>
    <w:p>
      <w:r>
        <w:br w:type="page"/>
      </w:r>
    </w:p>
    <w:p>
      <w:pPr>
        <w:pStyle w:val="Heading1"/>
        <w:shd w:val="clear" w:color="auto" w:fill="EAF4F8"/>
      </w:pPr>
      <w:r>
        <w:t>16. МЕЖДУНАРОДНАЯ ЭКСПАНСИЯ: КИТАЙ (ХАЙНАНЬ) И АТР</w:t>
      </w:r>
    </w:p>
    <w:p>
      <w:pPr>
        <w:pStyle w:val="Heading2"/>
      </w:pPr>
      <w:r>
        <w:t>16.1. Почему Китай</w:t>
      </w:r>
    </w:p>
    <w:p>
      <w:pPr>
        <w:pStyle w:val="ListBullet"/>
        <w:ind w:left="340"/>
      </w:pPr>
      <w:r>
        <w:t>крупнейший в мире рынок ВРТ: 562–1166 тыс. циклов/год, рост 14%+/год;</w:t>
      </w:r>
    </w:p>
    <w:p>
      <w:pPr>
        <w:pStyle w:val="ListBullet"/>
        <w:ind w:left="340"/>
      </w:pPr>
      <w:r>
        <w:t>распространённость бесплодия в Китае ~23%; давление на гос. репродуктивную политику (снижение рождаемости);</w:t>
      </w:r>
    </w:p>
    <w:p>
      <w:pPr>
        <w:pStyle w:val="ListBullet"/>
        <w:ind w:left="340"/>
      </w:pPr>
      <w:r>
        <w:t>клиника ВРТ в КНР остро нуждается в повышении результативности (CLBR) и в ИИ-инструментах, совместимых с PIPL;</w:t>
      </w:r>
    </w:p>
    <w:p>
      <w:pPr>
        <w:pStyle w:val="ListBullet"/>
        <w:ind w:left="340"/>
      </w:pPr>
      <w:r>
        <w:t>ЗСТ Хайнань (Боао-Лэчэн) — пилотные режимы для медицинских инноваций, ускоренный вход;</w:t>
      </w:r>
    </w:p>
    <w:p>
      <w:pPr>
        <w:pStyle w:val="ListBullet"/>
        <w:ind w:left="340"/>
      </w:pPr>
      <w:r>
        <w:t>локальных конкурентов с мультимодальной архитектурой и DFI-учётом мало — окно 7–8 лет.</w:t>
      </w:r>
    </w:p>
    <w:p>
      <w:pPr>
        <w:pStyle w:val="Heading2"/>
      </w:pPr>
      <w:r>
        <w:t>16.1а. Рынок Китая в цифрах (оценки)</w:t>
      </w:r>
    </w:p>
    <w:tbl>
      <w:tblPr>
        <w:tblStyle w:val="TableGrid"/>
        <w:tblW w:type="auto" w:w="0"/>
        <w:jc w:val="center"/>
        <w:tblLook w:firstColumn="1" w:firstRow="1" w:lastColumn="0" w:lastRow="0" w:noHBand="0" w:noVBand="1" w:val="04A0"/>
      </w:tblPr>
      <w:tblGrid>
        <w:gridCol w:w="3213"/>
        <w:gridCol w:w="3213"/>
        <w:gridCol w:w="3213"/>
      </w:tblGrid>
      <w:tr>
        <w:tc>
          <w:tcPr>
            <w:tcW w:type="dxa" w:w="3402"/>
            <w:shd w:val="clear" w:color="auto" w:fill="0B3D5C"/>
          </w:tcPr>
          <w:p>
            <w:r/>
            <w:r>
              <w:rPr>
                <w:b/>
                <w:color w:val="FFFFFF"/>
                <w:sz w:val="20"/>
              </w:rPr>
              <w:t>Показатель</w:t>
            </w:r>
          </w:p>
        </w:tc>
        <w:tc>
          <w:tcPr>
            <w:tcW w:type="dxa" w:w="2041"/>
            <w:shd w:val="clear" w:color="auto" w:fill="0B3D5C"/>
          </w:tcPr>
          <w:p>
            <w:r/>
            <w:r>
              <w:rPr>
                <w:b/>
                <w:color w:val="FFFFFF"/>
                <w:sz w:val="20"/>
              </w:rPr>
              <w:t>Оценка</w:t>
            </w:r>
          </w:p>
        </w:tc>
        <w:tc>
          <w:tcPr>
            <w:tcW w:type="dxa" w:w="3061"/>
            <w:shd w:val="clear" w:color="auto" w:fill="0B3D5C"/>
          </w:tcPr>
          <w:p>
            <w:r/>
            <w:r>
              <w:rPr>
                <w:b/>
                <w:color w:val="FFFFFF"/>
                <w:sz w:val="20"/>
              </w:rPr>
              <w:t>Комментарий</w:t>
            </w:r>
          </w:p>
        </w:tc>
      </w:tr>
      <w:tr>
        <w:tc>
          <w:tcPr>
            <w:tcW w:type="dxa" w:w="3402"/>
          </w:tcPr>
          <w:p>
            <w:r/>
            <w:r>
              <w:rPr>
                <w:sz w:val="20"/>
              </w:rPr>
              <w:t>Циклы ВРТ в год</w:t>
            </w:r>
          </w:p>
        </w:tc>
        <w:tc>
          <w:tcPr>
            <w:tcW w:type="dxa" w:w="2041"/>
          </w:tcPr>
          <w:p>
            <w:r/>
            <w:r>
              <w:rPr>
                <w:sz w:val="20"/>
              </w:rPr>
              <w:t>562–1166 тыс.</w:t>
            </w:r>
          </w:p>
        </w:tc>
        <w:tc>
          <w:tcPr>
            <w:tcW w:type="dxa" w:w="3061"/>
          </w:tcPr>
          <w:p>
            <w:r/>
            <w:r>
              <w:rPr>
                <w:sz w:val="20"/>
              </w:rPr>
              <w:t>официальная статистика, рост 14%+/год</w:t>
            </w:r>
          </w:p>
        </w:tc>
      </w:tr>
      <w:tr>
        <w:tc>
          <w:tcPr>
            <w:tcW w:type="dxa" w:w="3402"/>
            <w:shd w:val="clear" w:color="auto" w:fill="F3F8FB"/>
          </w:tcPr>
          <w:p>
            <w:r/>
            <w:r>
              <w:rPr>
                <w:sz w:val="20"/>
              </w:rPr>
              <w:t>Распространённость бесплодия</w:t>
            </w:r>
          </w:p>
        </w:tc>
        <w:tc>
          <w:tcPr>
            <w:tcW w:type="dxa" w:w="2041"/>
            <w:shd w:val="clear" w:color="auto" w:fill="F3F8FB"/>
          </w:tcPr>
          <w:p>
            <w:r/>
            <w:r>
              <w:rPr>
                <w:sz w:val="20"/>
              </w:rPr>
              <w:t>~23% супружеских пар</w:t>
            </w:r>
          </w:p>
        </w:tc>
        <w:tc>
          <w:tcPr>
            <w:tcW w:type="dxa" w:w="3061"/>
            <w:shd w:val="clear" w:color="auto" w:fill="F3F8FB"/>
          </w:tcPr>
          <w:p>
            <w:r/>
            <w:r>
              <w:rPr>
                <w:sz w:val="20"/>
              </w:rPr>
              <w:t>CFPH-оценки; растёт с возрастом</w:t>
            </w:r>
          </w:p>
        </w:tc>
      </w:tr>
      <w:tr>
        <w:tc>
          <w:tcPr>
            <w:tcW w:type="dxa" w:w="3402"/>
          </w:tcPr>
          <w:p>
            <w:r/>
            <w:r>
              <w:rPr>
                <w:sz w:val="20"/>
              </w:rPr>
              <w:t>Средняя стоимость цикла</w:t>
            </w:r>
          </w:p>
        </w:tc>
        <w:tc>
          <w:tcPr>
            <w:tcW w:type="dxa" w:w="2041"/>
          </w:tcPr>
          <w:p>
            <w:r/>
            <w:r>
              <w:rPr>
                <w:sz w:val="20"/>
              </w:rPr>
              <w:t>$6–28 тыс.</w:t>
            </w:r>
          </w:p>
        </w:tc>
        <w:tc>
          <w:tcPr>
            <w:tcW w:type="dxa" w:w="3061"/>
          </w:tcPr>
          <w:p>
            <w:r/>
            <w:r>
              <w:rPr>
                <w:sz w:val="20"/>
              </w:rPr>
              <w:t>сильная региональная дифференциация</w:t>
            </w:r>
          </w:p>
        </w:tc>
      </w:tr>
      <w:tr>
        <w:tc>
          <w:tcPr>
            <w:tcW w:type="dxa" w:w="3402"/>
            <w:shd w:val="clear" w:color="auto" w:fill="F3F8FB"/>
          </w:tcPr>
          <w:p>
            <w:r/>
            <w:r>
              <w:rPr>
                <w:sz w:val="20"/>
              </w:rPr>
              <w:t>Клинический рынок</w:t>
            </w:r>
          </w:p>
        </w:tc>
        <w:tc>
          <w:tcPr>
            <w:tcW w:type="dxa" w:w="2041"/>
            <w:shd w:val="clear" w:color="auto" w:fill="F3F8FB"/>
          </w:tcPr>
          <w:p>
            <w:r/>
            <w:r>
              <w:rPr>
                <w:sz w:val="20"/>
              </w:rPr>
              <w:t>$12–28 млрд/год</w:t>
            </w:r>
          </w:p>
        </w:tc>
        <w:tc>
          <w:tcPr>
            <w:tcW w:type="dxa" w:w="3061"/>
            <w:shd w:val="clear" w:color="auto" w:fill="F3F8FB"/>
          </w:tcPr>
          <w:p>
            <w:r/>
            <w:r>
              <w:rPr>
                <w:sz w:val="20"/>
              </w:rPr>
              <w:t>включая лаборатории и фармакопродукцию</w:t>
            </w:r>
          </w:p>
        </w:tc>
      </w:tr>
      <w:tr>
        <w:tc>
          <w:tcPr>
            <w:tcW w:type="dxa" w:w="3402"/>
          </w:tcPr>
          <w:p>
            <w:r/>
            <w:r>
              <w:rPr>
                <w:sz w:val="20"/>
              </w:rPr>
              <w:t>Число клиник ВРТ</w:t>
            </w:r>
          </w:p>
        </w:tc>
        <w:tc>
          <w:tcPr>
            <w:tcW w:type="dxa" w:w="2041"/>
          </w:tcPr>
          <w:p>
            <w:r/>
            <w:r>
              <w:rPr>
                <w:sz w:val="20"/>
              </w:rPr>
              <w:t>471–912 (лицензированных)</w:t>
            </w:r>
          </w:p>
        </w:tc>
        <w:tc>
          <w:tcPr>
            <w:tcW w:type="dxa" w:w="3061"/>
          </w:tcPr>
          <w:p>
            <w:r/>
            <w:r>
              <w:rPr>
                <w:sz w:val="20"/>
              </w:rPr>
              <w:t>только крупные центры имеют лицензию NHC</w:t>
            </w:r>
          </w:p>
        </w:tc>
      </w:tr>
      <w:tr>
        <w:tc>
          <w:tcPr>
            <w:tcW w:type="dxa" w:w="3402"/>
            <w:shd w:val="clear" w:color="auto" w:fill="F3F8FB"/>
          </w:tcPr>
          <w:p>
            <w:r/>
            <w:r>
              <w:rPr>
                <w:sz w:val="20"/>
              </w:rPr>
              <w:t>Программы «второго ребёнка»</w:t>
            </w:r>
          </w:p>
        </w:tc>
        <w:tc>
          <w:tcPr>
            <w:tcW w:type="dxa" w:w="2041"/>
            <w:shd w:val="clear" w:color="auto" w:fill="F3F8FB"/>
          </w:tcPr>
          <w:p>
            <w:r/>
            <w:r>
              <w:rPr>
                <w:sz w:val="20"/>
              </w:rPr>
              <w:t>гос. поддержка ВРТ</w:t>
            </w:r>
          </w:p>
        </w:tc>
        <w:tc>
          <w:tcPr>
            <w:tcW w:type="dxa" w:w="3061"/>
            <w:shd w:val="clear" w:color="auto" w:fill="F3F8FB"/>
          </w:tcPr>
          <w:p>
            <w:r/>
            <w:r>
              <w:rPr>
                <w:sz w:val="20"/>
              </w:rPr>
              <w:t>премия за эффективность циклов</w:t>
            </w:r>
          </w:p>
        </w:tc>
      </w:tr>
      <w:tr>
        <w:tc>
          <w:tcPr>
            <w:tcW w:type="dxa" w:w="3402"/>
          </w:tcPr>
          <w:p>
            <w:r/>
            <w:r>
              <w:rPr>
                <w:sz w:val="20"/>
              </w:rPr>
              <w:t>Потенциал ИИ-инструментов</w:t>
            </w:r>
          </w:p>
        </w:tc>
        <w:tc>
          <w:tcPr>
            <w:tcW w:type="dxa" w:w="2041"/>
          </w:tcPr>
          <w:p>
            <w:r/>
            <w:r>
              <w:rPr>
                <w:sz w:val="20"/>
              </w:rPr>
              <w:t>нишевой, ранний</w:t>
            </w:r>
          </w:p>
        </w:tc>
        <w:tc>
          <w:tcPr>
            <w:tcW w:type="dxa" w:w="3061"/>
          </w:tcPr>
          <w:p>
            <w:r/>
            <w:r>
              <w:rPr>
                <w:sz w:val="20"/>
              </w:rPr>
              <w:t>окно 7–8 лет до появления локальных аналогов</w:t>
            </w:r>
          </w:p>
        </w:tc>
      </w:tr>
    </w:tbl>
    <w:p/>
    <w:p>
      <w:r>
        <w:rPr>
          <w:i/>
          <w:color w:val="5A6A7A"/>
          <w:sz w:val="18"/>
        </w:rPr>
        <w:t>Китайские оценки — ориентировочные (отраслевые публикации, NHC/WHO, 2023–2025). Модель выручки на китайский рынок учитывает только лицензионный поток на 7 АТР-партнёров (≈36 млн ₽ к 2030).</w:t>
      </w:r>
    </w:p>
    <w:p>
      <w:pPr>
        <w:pStyle w:val="Heading2"/>
      </w:pPr>
      <w:r>
        <w:t>16.2. Модель входа</w:t>
      </w:r>
    </w:p>
    <w:tbl>
      <w:tblPr>
        <w:tblStyle w:val="TableGrid"/>
        <w:tblW w:type="auto" w:w="0"/>
        <w:jc w:val="center"/>
        <w:tblLook w:firstColumn="1" w:firstRow="1" w:lastColumn="0" w:lastRow="0" w:noHBand="0" w:noVBand="1" w:val="04A0"/>
      </w:tblPr>
      <w:tblGrid>
        <w:gridCol w:w="3213"/>
        <w:gridCol w:w="3213"/>
        <w:gridCol w:w="3213"/>
      </w:tblGrid>
      <w:tr>
        <w:tc>
          <w:tcPr>
            <w:tcW w:type="dxa" w:w="1474"/>
            <w:shd w:val="clear" w:color="auto" w:fill="0B3D5C"/>
          </w:tcPr>
          <w:p>
            <w:r/>
            <w:r>
              <w:rPr>
                <w:b/>
                <w:color w:val="FFFFFF"/>
                <w:sz w:val="20"/>
              </w:rPr>
              <w:t>Этап</w:t>
            </w:r>
          </w:p>
        </w:tc>
        <w:tc>
          <w:tcPr>
            <w:tcW w:type="dxa" w:w="5783"/>
            <w:shd w:val="clear" w:color="auto" w:fill="0B3D5C"/>
          </w:tcPr>
          <w:p>
            <w:r/>
            <w:r>
              <w:rPr>
                <w:b/>
                <w:color w:val="FFFFFF"/>
                <w:sz w:val="20"/>
              </w:rPr>
              <w:t>Действия</w:t>
            </w:r>
          </w:p>
        </w:tc>
        <w:tc>
          <w:tcPr>
            <w:tcW w:type="dxa" w:w="1361"/>
            <w:shd w:val="clear" w:color="auto" w:fill="0B3D5C"/>
          </w:tcPr>
          <w:p>
            <w:r/>
            <w:r>
              <w:rPr>
                <w:b/>
                <w:color w:val="FFFFFF"/>
                <w:sz w:val="20"/>
              </w:rPr>
              <w:t>Срок</w:t>
            </w:r>
          </w:p>
        </w:tc>
      </w:tr>
      <w:tr>
        <w:tc>
          <w:tcPr>
            <w:tcW w:type="dxa" w:w="1474"/>
          </w:tcPr>
          <w:p>
            <w:r/>
            <w:r>
              <w:rPr>
                <w:sz w:val="20"/>
              </w:rPr>
              <w:t>2027–2028</w:t>
            </w:r>
          </w:p>
        </w:tc>
        <w:tc>
          <w:tcPr>
            <w:tcW w:type="dxa" w:w="5783"/>
          </w:tcPr>
          <w:p>
            <w:r/>
            <w:r>
              <w:rPr>
                <w:sz w:val="20"/>
              </w:rPr>
              <w:t>Юр. структура WFOE Хайнань; подбор локального со-инвестора/партнёра; gap-анализ NMPA; пилотные клиники Боао</w:t>
            </w:r>
          </w:p>
        </w:tc>
        <w:tc>
          <w:tcPr>
            <w:tcW w:type="dxa" w:w="1361"/>
          </w:tcPr>
          <w:p>
            <w:r/>
            <w:r>
              <w:rPr>
                <w:sz w:val="20"/>
              </w:rPr>
              <w:t>до 26 мес.</w:t>
            </w:r>
          </w:p>
        </w:tc>
      </w:tr>
      <w:tr>
        <w:tc>
          <w:tcPr>
            <w:tcW w:type="dxa" w:w="1474"/>
            <w:shd w:val="clear" w:color="auto" w:fill="F3F8FB"/>
          </w:tcPr>
          <w:p>
            <w:r/>
            <w:r>
              <w:rPr>
                <w:sz w:val="20"/>
              </w:rPr>
              <w:t>2029</w:t>
            </w:r>
          </w:p>
        </w:tc>
        <w:tc>
          <w:tcPr>
            <w:tcW w:type="dxa" w:w="5783"/>
            <w:shd w:val="clear" w:color="auto" w:fill="F3F8FB"/>
          </w:tcPr>
          <w:p>
            <w:r/>
            <w:r>
              <w:rPr>
                <w:sz w:val="20"/>
              </w:rPr>
              <w:t>Пилот в 3–7 клиниках; сертификация по NMPA (Class II/III по классу); перенос данных по PIPL</w:t>
            </w:r>
          </w:p>
        </w:tc>
        <w:tc>
          <w:tcPr>
            <w:tcW w:type="dxa" w:w="1361"/>
            <w:shd w:val="clear" w:color="auto" w:fill="F3F8FB"/>
          </w:tcPr>
          <w:p>
            <w:r/>
            <w:r>
              <w:rPr>
                <w:sz w:val="20"/>
              </w:rPr>
              <w:t>13–26 мес.</w:t>
            </w:r>
          </w:p>
        </w:tc>
      </w:tr>
      <w:tr>
        <w:tc>
          <w:tcPr>
            <w:tcW w:type="dxa" w:w="1474"/>
          </w:tcPr>
          <w:p>
            <w:r/>
            <w:r>
              <w:rPr>
                <w:sz w:val="20"/>
              </w:rPr>
              <w:t>2030</w:t>
            </w:r>
          </w:p>
        </w:tc>
        <w:tc>
          <w:tcPr>
            <w:tcW w:type="dxa" w:w="5783"/>
          </w:tcPr>
          <w:p>
            <w:r/>
            <w:r>
              <w:rPr>
                <w:sz w:val="20"/>
              </w:rPr>
              <w:t>Лицензионная модель: 7 партнёра АТР (Китай, +1 Индия/Япония/Корея); выручка ≈17–61 млн ₽</w:t>
            </w:r>
          </w:p>
        </w:tc>
        <w:tc>
          <w:tcPr>
            <w:tcW w:type="dxa" w:w="1361"/>
          </w:tcPr>
          <w:p>
            <w:r/>
            <w:r>
              <w:rPr>
                <w:sz w:val="20"/>
              </w:rPr>
              <w:t>штатно</w:t>
            </w:r>
          </w:p>
        </w:tc>
      </w:tr>
    </w:tbl>
    <w:p/>
    <w:p>
      <w:pPr>
        <w:pStyle w:val="Heading2"/>
      </w:pPr>
      <w:r>
        <w:t>16.3. Особенности регуляторики (детализация)</w:t>
      </w:r>
    </w:p>
    <w:p>
      <w:pPr>
        <w:pStyle w:val="ListBullet"/>
        <w:ind w:left="340"/>
      </w:pPr>
      <w:r>
        <w:t>NMPA: оценка риска ПО-медизделия, классификация по назначению; апробация через ЗСТ Хайнань упрощает часть процедур;</w:t>
      </w:r>
    </w:p>
    <w:p>
      <w:pPr>
        <w:pStyle w:val="ListBullet"/>
        <w:ind w:left="340"/>
      </w:pPr>
      <w:r>
        <w:t>PIPL: данные пациентов КНР — полная локализация: деплой моделей в китайском облаке, вывоз только агрегатов; DPIAs и согласия;</w:t>
      </w:r>
    </w:p>
    <w:p>
      <w:pPr>
        <w:pStyle w:val="ListBullet"/>
        <w:ind w:left="340"/>
      </w:pPr>
      <w:r>
        <w:t>структура: WFOE (Хайнань) заключён с проектной АО лицензионный договор (royalty) — рыночные ставки, TP-документация;</w:t>
      </w:r>
    </w:p>
    <w:p>
      <w:pPr>
        <w:pStyle w:val="ListBullet"/>
        <w:ind w:left="340"/>
      </w:pPr>
      <w:r>
        <w:t>экспортный контроль: применение ПО не подпадает под экспортные ограничения РФ (медицинское ПО не является товаром двойного назначения).</w:t>
      </w:r>
    </w:p>
    <w:p>
      <w:pPr>
        <w:pStyle w:val="Heading2"/>
      </w:pPr>
      <w:r>
        <w:t>16.4. АТР-горизонт (2029–2031)</w:t>
      </w:r>
    </w:p>
    <w:p>
      <w:r>
        <w:rPr>
          <w:b w:val="0"/>
          <w:i w:val="0"/>
          <w:sz w:val="22"/>
        </w:rPr>
        <w:t>После закрепления в Китае платформа выходит на премиальные рынки с высокой долей коммерческого ВРТ: Индия (крупнейший мировой центр трансграничной репродуктивной помощи), Япония (рост государственной поддержки ВРТ), Корея (высокая платёжеспособность). Модель — лицензионная + SaaS без локального юрлица на второстепенных рынках; CAGR международного направления 2029–2031 ≈ 3× в год. К 2031 международная выручка целевая ≈ 6–26% совокупной.</w:t>
      </w:r>
    </w:p>
    <w:p>
      <w:pPr>
        <w:pStyle w:val="Heading2"/>
      </w:pPr>
      <w:r>
        <w:t>16.5. Финансовая фаза международного направления</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3628"/>
            <w:shd w:val="clear" w:color="auto" w:fill="0B3D5C"/>
          </w:tcPr>
          <w:p>
            <w:r/>
            <w:r>
              <w:rPr>
                <w:b/>
                <w:color w:val="FFFFFF"/>
                <w:sz w:val="20"/>
              </w:rPr>
              <w:t>Показатель</w:t>
            </w:r>
          </w:p>
        </w:tc>
        <w:tc>
          <w:tcPr>
            <w:tcW w:type="dxa" w:w="1247"/>
            <w:shd w:val="clear" w:color="auto" w:fill="0B3D5C"/>
          </w:tcPr>
          <w:p>
            <w:r/>
            <w:r>
              <w:rPr>
                <w:b/>
                <w:color w:val="FFFFFF"/>
                <w:sz w:val="20"/>
              </w:rPr>
              <w:t>2026</w:t>
            </w:r>
          </w:p>
        </w:tc>
        <w:tc>
          <w:tcPr>
            <w:tcW w:type="dxa" w:w="1247"/>
            <w:shd w:val="clear" w:color="auto" w:fill="0B3D5C"/>
          </w:tcPr>
          <w:p>
            <w:r/>
            <w:r>
              <w:rPr>
                <w:b/>
                <w:color w:val="FFFFFF"/>
                <w:sz w:val="20"/>
              </w:rPr>
              <w:t>2027</w:t>
            </w:r>
          </w:p>
        </w:tc>
        <w:tc>
          <w:tcPr>
            <w:tcW w:type="dxa" w:w="1247"/>
            <w:shd w:val="clear" w:color="auto" w:fill="0B3D5C"/>
          </w:tcPr>
          <w:p>
            <w:r/>
            <w:r>
              <w:rPr>
                <w:b/>
                <w:color w:val="FFFFFF"/>
                <w:sz w:val="20"/>
              </w:rPr>
              <w:t>2028</w:t>
            </w:r>
          </w:p>
        </w:tc>
        <w:tc>
          <w:tcPr>
            <w:tcW w:type="dxa" w:w="1247"/>
            <w:shd w:val="clear" w:color="auto" w:fill="0B3D5C"/>
          </w:tcPr>
          <w:p>
            <w:r/>
            <w:r>
              <w:rPr>
                <w:b/>
                <w:color w:val="FFFFFF"/>
                <w:sz w:val="20"/>
              </w:rPr>
              <w:t>2029</w:t>
            </w:r>
          </w:p>
        </w:tc>
        <w:tc>
          <w:tcPr>
            <w:tcW w:type="dxa" w:w="1247"/>
            <w:shd w:val="clear" w:color="auto" w:fill="0B3D5C"/>
          </w:tcPr>
          <w:p>
            <w:r/>
            <w:r>
              <w:rPr>
                <w:b/>
                <w:color w:val="FFFFFF"/>
                <w:sz w:val="20"/>
              </w:rPr>
              <w:t>2030</w:t>
            </w:r>
          </w:p>
        </w:tc>
      </w:tr>
      <w:tr>
        <w:tc>
          <w:tcPr>
            <w:tcW w:type="dxa" w:w="3628"/>
          </w:tcPr>
          <w:p>
            <w:r/>
            <w:r>
              <w:rPr>
                <w:sz w:val="20"/>
              </w:rPr>
              <w:t>Выручка КНР/АТР, млн ₽</w:t>
            </w:r>
          </w:p>
        </w:tc>
        <w:tc>
          <w:tcPr>
            <w:tcW w:type="dxa" w:w="1247"/>
          </w:tcPr>
          <w:p>
            <w:r/>
            <w:r>
              <w:rPr>
                <w:sz w:val="20"/>
              </w:rPr>
              <w:t>1,0</w:t>
            </w:r>
          </w:p>
        </w:tc>
        <w:tc>
          <w:tcPr>
            <w:tcW w:type="dxa" w:w="1247"/>
          </w:tcPr>
          <w:p>
            <w:r/>
            <w:r>
              <w:rPr>
                <w:sz w:val="20"/>
              </w:rPr>
              <w:t>1,0</w:t>
            </w:r>
          </w:p>
        </w:tc>
        <w:tc>
          <w:tcPr>
            <w:tcW w:type="dxa" w:w="1247"/>
          </w:tcPr>
          <w:p>
            <w:r/>
            <w:r>
              <w:rPr>
                <w:sz w:val="20"/>
              </w:rPr>
              <w:t>1,0</w:t>
            </w:r>
          </w:p>
        </w:tc>
        <w:tc>
          <w:tcPr>
            <w:tcW w:type="dxa" w:w="1247"/>
          </w:tcPr>
          <w:p>
            <w:r/>
            <w:r>
              <w:rPr>
                <w:sz w:val="20"/>
              </w:rPr>
              <w:t>14,0</w:t>
            </w:r>
          </w:p>
        </w:tc>
        <w:tc>
          <w:tcPr>
            <w:tcW w:type="dxa" w:w="1247"/>
          </w:tcPr>
          <w:p>
            <w:r/>
            <w:r>
              <w:rPr>
                <w:sz w:val="20"/>
              </w:rPr>
              <w:t>25,0</w:t>
            </w:r>
          </w:p>
        </w:tc>
      </w:tr>
      <w:tr>
        <w:tc>
          <w:tcPr>
            <w:tcW w:type="dxa" w:w="3628"/>
            <w:shd w:val="clear" w:color="auto" w:fill="F3F8FB"/>
          </w:tcPr>
          <w:p>
            <w:r/>
            <w:r>
              <w:rPr>
                <w:sz w:val="20"/>
              </w:rPr>
              <w:t>Число партнёров (клиник)</w:t>
            </w:r>
          </w:p>
        </w:tc>
        <w:tc>
          <w:tcPr>
            <w:tcW w:type="dxa" w:w="1247"/>
            <w:shd w:val="clear" w:color="auto" w:fill="F3F8FB"/>
          </w:tcPr>
          <w:p>
            <w:r/>
            <w:r>
              <w:rPr>
                <w:sz w:val="20"/>
              </w:rPr>
              <w:t>1</w:t>
            </w:r>
          </w:p>
        </w:tc>
        <w:tc>
          <w:tcPr>
            <w:tcW w:type="dxa" w:w="1247"/>
            <w:shd w:val="clear" w:color="auto" w:fill="F3F8FB"/>
          </w:tcPr>
          <w:p>
            <w:r/>
            <w:r>
              <w:rPr>
                <w:sz w:val="20"/>
              </w:rPr>
              <w:t>1</w:t>
            </w:r>
          </w:p>
        </w:tc>
        <w:tc>
          <w:tcPr>
            <w:tcW w:type="dxa" w:w="1247"/>
            <w:shd w:val="clear" w:color="auto" w:fill="F3F8FB"/>
          </w:tcPr>
          <w:p>
            <w:r/>
            <w:r>
              <w:rPr>
                <w:sz w:val="20"/>
              </w:rPr>
              <w:t>1</w:t>
            </w:r>
          </w:p>
        </w:tc>
        <w:tc>
          <w:tcPr>
            <w:tcW w:type="dxa" w:w="1247"/>
            <w:shd w:val="clear" w:color="auto" w:fill="F3F8FB"/>
          </w:tcPr>
          <w:p>
            <w:r/>
            <w:r>
              <w:rPr>
                <w:sz w:val="20"/>
              </w:rPr>
              <w:t>1</w:t>
            </w:r>
          </w:p>
        </w:tc>
        <w:tc>
          <w:tcPr>
            <w:tcW w:type="dxa" w:w="1247"/>
            <w:shd w:val="clear" w:color="auto" w:fill="F3F8FB"/>
          </w:tcPr>
          <w:p>
            <w:r/>
            <w:r>
              <w:rPr>
                <w:sz w:val="20"/>
              </w:rPr>
              <w:t>7</w:t>
            </w:r>
          </w:p>
        </w:tc>
      </w:tr>
      <w:tr>
        <w:tc>
          <w:tcPr>
            <w:tcW w:type="dxa" w:w="3628"/>
          </w:tcPr>
          <w:p>
            <w:r/>
            <w:r>
              <w:rPr>
                <w:sz w:val="20"/>
              </w:rPr>
              <w:t>Инвестиции в контур, млн ₽</w:t>
            </w:r>
          </w:p>
        </w:tc>
        <w:tc>
          <w:tcPr>
            <w:tcW w:type="dxa" w:w="1247"/>
          </w:tcPr>
          <w:p>
            <w:r/>
            <w:r>
              <w:rPr>
                <w:sz w:val="20"/>
              </w:rPr>
              <w:t>0,4</w:t>
            </w:r>
          </w:p>
        </w:tc>
        <w:tc>
          <w:tcPr>
            <w:tcW w:type="dxa" w:w="1247"/>
          </w:tcPr>
          <w:p>
            <w:r/>
            <w:r>
              <w:rPr>
                <w:sz w:val="20"/>
              </w:rPr>
              <w:t>2,9</w:t>
            </w:r>
          </w:p>
        </w:tc>
        <w:tc>
          <w:tcPr>
            <w:tcW w:type="dxa" w:w="1247"/>
          </w:tcPr>
          <w:p>
            <w:r/>
            <w:r>
              <w:rPr>
                <w:sz w:val="20"/>
              </w:rPr>
              <w:t>3,4</w:t>
            </w:r>
          </w:p>
        </w:tc>
        <w:tc>
          <w:tcPr>
            <w:tcW w:type="dxa" w:w="1247"/>
          </w:tcPr>
          <w:p>
            <w:r/>
            <w:r>
              <w:rPr>
                <w:sz w:val="20"/>
              </w:rPr>
              <w:t>8,5</w:t>
            </w:r>
          </w:p>
        </w:tc>
        <w:tc>
          <w:tcPr>
            <w:tcW w:type="dxa" w:w="1247"/>
          </w:tcPr>
          <w:p>
            <w:r/>
            <w:r>
              <w:rPr>
                <w:sz w:val="20"/>
              </w:rPr>
              <w:t>12,0</w:t>
            </w:r>
          </w:p>
        </w:tc>
      </w:tr>
      <w:tr>
        <w:tc>
          <w:tcPr>
            <w:tcW w:type="dxa" w:w="3628"/>
            <w:shd w:val="clear" w:color="auto" w:fill="F3F8FB"/>
          </w:tcPr>
          <w:p>
            <w:r/>
            <w:r>
              <w:rPr>
                <w:sz w:val="20"/>
              </w:rPr>
              <w:t>Статус юрлица WFOE</w:t>
            </w:r>
          </w:p>
        </w:tc>
        <w:tc>
          <w:tcPr>
            <w:tcW w:type="dxa" w:w="1247"/>
            <w:shd w:val="clear" w:color="auto" w:fill="F3F8FB"/>
          </w:tcPr>
          <w:p>
            <w:r/>
            <w:r>
              <w:rPr>
                <w:sz w:val="20"/>
              </w:rPr>
              <w:t>архитектура</w:t>
            </w:r>
          </w:p>
        </w:tc>
        <w:tc>
          <w:tcPr>
            <w:tcW w:type="dxa" w:w="1247"/>
            <w:shd w:val="clear" w:color="auto" w:fill="F3F8FB"/>
          </w:tcPr>
          <w:p>
            <w:r/>
            <w:r>
              <w:rPr>
                <w:sz w:val="20"/>
              </w:rPr>
              <w:t>регистрация/питч</w:t>
            </w:r>
          </w:p>
        </w:tc>
        <w:tc>
          <w:tcPr>
            <w:tcW w:type="dxa" w:w="1247"/>
            <w:shd w:val="clear" w:color="auto" w:fill="F3F8FB"/>
          </w:tcPr>
          <w:p>
            <w:r/>
            <w:r>
              <w:rPr>
                <w:sz w:val="20"/>
              </w:rPr>
              <w:t>деплой</w:t>
            </w:r>
          </w:p>
        </w:tc>
        <w:tc>
          <w:tcPr>
            <w:tcW w:type="dxa" w:w="1247"/>
            <w:shd w:val="clear" w:color="auto" w:fill="F3F8FB"/>
          </w:tcPr>
          <w:p>
            <w:r/>
            <w:r>
              <w:rPr>
                <w:sz w:val="20"/>
              </w:rPr>
              <w:t>масштаб</w:t>
            </w:r>
          </w:p>
        </w:tc>
        <w:tc>
          <w:tcPr>
            <w:tcW w:type="dxa" w:w="1247"/>
            <w:shd w:val="clear" w:color="auto" w:fill="F3F8FB"/>
          </w:tcPr>
          <w:p>
            <w:r/>
            <w:r>
              <w:rPr>
                <w:sz w:val="20"/>
              </w:rPr>
              <w:t>7 APAC-деплоя</w:t>
            </w:r>
          </w:p>
        </w:tc>
      </w:tr>
    </w:tbl>
    <w:p/>
    <w:p>
      <w:r>
        <w:rPr>
          <w:i/>
          <w:color w:val="5A6A7A"/>
          <w:sz w:val="18"/>
        </w:rPr>
        <w:t>Инвестиции в международный контур включены в статью «ИТ-инфраструктура» операционной модели: суммарно ≈20 млн ₽ за 2026–2030 независимо от того, будет ли открыт отдельный WFOE-бюджет. При полной синхронизации регуляторики КНР график может сдвигаться на 13–26 мес. без изменения экономики.</w:t>
      </w:r>
    </w:p>
    <w:p>
      <w:pPr>
        <w:pStyle w:val="Heading2"/>
      </w:pPr>
      <w:r>
        <w:t>16.6. Риски международного направления и их прикрытие</w:t>
      </w:r>
    </w:p>
    <w:tbl>
      <w:tblPr>
        <w:tblStyle w:val="TableGrid"/>
        <w:tblW w:type="auto" w:w="0"/>
        <w:jc w:val="center"/>
        <w:tblLook w:firstColumn="1" w:firstRow="1" w:lastColumn="0" w:lastRow="0" w:noHBand="0" w:noVBand="1" w:val="04A0"/>
      </w:tblPr>
      <w:tblGrid>
        <w:gridCol w:w="3213"/>
        <w:gridCol w:w="3213"/>
        <w:gridCol w:w="3213"/>
      </w:tblGrid>
      <w:tr>
        <w:tc>
          <w:tcPr>
            <w:tcW w:type="dxa" w:w="3515"/>
            <w:shd w:val="clear" w:color="auto" w:fill="0B3D5C"/>
          </w:tcPr>
          <w:p>
            <w:r/>
            <w:r>
              <w:rPr>
                <w:b/>
                <w:color w:val="FFFFFF"/>
                <w:sz w:val="20"/>
              </w:rPr>
              <w:t>Риск</w:t>
            </w:r>
          </w:p>
        </w:tc>
        <w:tc>
          <w:tcPr>
            <w:tcW w:type="dxa" w:w="1361"/>
            <w:shd w:val="clear" w:color="auto" w:fill="0B3D5C"/>
          </w:tcPr>
          <w:p>
            <w:r/>
            <w:r>
              <w:rPr>
                <w:b/>
                <w:color w:val="FFFFFF"/>
                <w:sz w:val="20"/>
              </w:rPr>
              <w:t>Вероятность</w:t>
            </w:r>
          </w:p>
        </w:tc>
        <w:tc>
          <w:tcPr>
            <w:tcW w:type="dxa" w:w="3742"/>
            <w:shd w:val="clear" w:color="auto" w:fill="0B3D5C"/>
          </w:tcPr>
          <w:p>
            <w:r/>
            <w:r>
              <w:rPr>
                <w:b/>
                <w:color w:val="FFFFFF"/>
                <w:sz w:val="20"/>
              </w:rPr>
              <w:t>Мера</w:t>
            </w:r>
          </w:p>
        </w:tc>
      </w:tr>
      <w:tr>
        <w:tc>
          <w:tcPr>
            <w:tcW w:type="dxa" w:w="3515"/>
          </w:tcPr>
          <w:p>
            <w:r/>
            <w:r>
              <w:rPr>
                <w:sz w:val="20"/>
              </w:rPr>
              <w:t>Задержка NMPA (класс ИИ-МИ)</w:t>
            </w:r>
          </w:p>
        </w:tc>
        <w:tc>
          <w:tcPr>
            <w:tcW w:type="dxa" w:w="1361"/>
          </w:tcPr>
          <w:p>
            <w:r/>
            <w:r>
              <w:rPr>
                <w:sz w:val="20"/>
              </w:rPr>
              <w:t>Средняя</w:t>
            </w:r>
          </w:p>
        </w:tc>
        <w:tc>
          <w:tcPr>
            <w:tcW w:type="dxa" w:w="3742"/>
          </w:tcPr>
          <w:p>
            <w:r/>
            <w:r>
              <w:rPr>
                <w:sz w:val="20"/>
              </w:rPr>
              <w:t>подача через ЗСТ Хайнань; параллельный запуск как «софт-инструмент» без статуса МИ</w:t>
            </w:r>
          </w:p>
        </w:tc>
      </w:tr>
      <w:tr>
        <w:tc>
          <w:tcPr>
            <w:tcW w:type="dxa" w:w="3515"/>
            <w:shd w:val="clear" w:color="auto" w:fill="F3F8FB"/>
          </w:tcPr>
          <w:p>
            <w:r/>
            <w:r>
              <w:rPr>
                <w:sz w:val="20"/>
              </w:rPr>
              <w:t>PIPL-интенсивность (согласия, локализация)</w:t>
            </w:r>
          </w:p>
        </w:tc>
        <w:tc>
          <w:tcPr>
            <w:tcW w:type="dxa" w:w="1361"/>
            <w:shd w:val="clear" w:color="auto" w:fill="F3F8FB"/>
          </w:tcPr>
          <w:p>
            <w:r/>
            <w:r>
              <w:rPr>
                <w:sz w:val="20"/>
              </w:rPr>
              <w:t>Средняя</w:t>
            </w:r>
          </w:p>
        </w:tc>
        <w:tc>
          <w:tcPr>
            <w:tcW w:type="dxa" w:w="3742"/>
            <w:shd w:val="clear" w:color="auto" w:fill="F3F8FB"/>
          </w:tcPr>
          <w:p>
            <w:r/>
            <w:r>
              <w:rPr>
                <w:sz w:val="20"/>
              </w:rPr>
              <w:t>полная локализация деплоя; минимальный экспорт агрегатов</w:t>
            </w:r>
          </w:p>
        </w:tc>
      </w:tr>
      <w:tr>
        <w:tc>
          <w:tcPr>
            <w:tcW w:type="dxa" w:w="3515"/>
          </w:tcPr>
          <w:p>
            <w:r/>
            <w:r>
              <w:rPr>
                <w:sz w:val="20"/>
              </w:rPr>
              <w:t>Локальная конкуренция в Китае</w:t>
            </w:r>
          </w:p>
        </w:tc>
        <w:tc>
          <w:tcPr>
            <w:tcW w:type="dxa" w:w="1361"/>
          </w:tcPr>
          <w:p>
            <w:r/>
            <w:r>
              <w:rPr>
                <w:sz w:val="20"/>
              </w:rPr>
              <w:t>Средне-высокая</w:t>
            </w:r>
          </w:p>
        </w:tc>
        <w:tc>
          <w:tcPr>
            <w:tcW w:type="dxa" w:w="3742"/>
          </w:tcPr>
          <w:p>
            <w:r/>
            <w:r>
              <w:rPr>
                <w:sz w:val="20"/>
              </w:rPr>
              <w:t>быстрые пилоты и первая публикация; партнёрские договоры с сетями</w:t>
            </w:r>
          </w:p>
        </w:tc>
      </w:tr>
      <w:tr>
        <w:tc>
          <w:tcPr>
            <w:tcW w:type="dxa" w:w="3515"/>
            <w:shd w:val="clear" w:color="auto" w:fill="F3F8FB"/>
          </w:tcPr>
          <w:p>
            <w:r/>
            <w:r>
              <w:rPr>
                <w:sz w:val="20"/>
              </w:rPr>
              <w:t>Культурный/языковой барьер</w:t>
            </w:r>
          </w:p>
        </w:tc>
        <w:tc>
          <w:tcPr>
            <w:tcW w:type="dxa" w:w="1361"/>
            <w:shd w:val="clear" w:color="auto" w:fill="F3F8FB"/>
          </w:tcPr>
          <w:p>
            <w:r/>
            <w:r>
              <w:rPr>
                <w:sz w:val="20"/>
              </w:rPr>
              <w:t>Низкая</w:t>
            </w:r>
          </w:p>
        </w:tc>
        <w:tc>
          <w:tcPr>
            <w:tcW w:type="dxa" w:w="3742"/>
            <w:shd w:val="clear" w:color="auto" w:fill="F3F8FB"/>
          </w:tcPr>
          <w:p>
            <w:r/>
            <w:r>
              <w:rPr>
                <w:sz w:val="20"/>
              </w:rPr>
              <w:t>местный менеджер и локализованный UI, в т.ч. перевод протоколов</w:t>
            </w:r>
          </w:p>
        </w:tc>
      </w:tr>
      <w:tr>
        <w:tc>
          <w:tcPr>
            <w:tcW w:type="dxa" w:w="3515"/>
          </w:tcPr>
          <w:p>
            <w:r/>
            <w:r>
              <w:rPr>
                <w:sz w:val="20"/>
              </w:rPr>
              <w:t>Геополитические ограничения транзакций</w:t>
            </w:r>
          </w:p>
        </w:tc>
        <w:tc>
          <w:tcPr>
            <w:tcW w:type="dxa" w:w="1361"/>
          </w:tcPr>
          <w:p>
            <w:r/>
            <w:r>
              <w:rPr>
                <w:sz w:val="20"/>
              </w:rPr>
              <w:t>Низкая</w:t>
            </w:r>
          </w:p>
        </w:tc>
        <w:tc>
          <w:tcPr>
            <w:tcW w:type="dxa" w:w="3742"/>
          </w:tcPr>
          <w:p>
            <w:r/>
            <w:r>
              <w:rPr>
                <w:sz w:val="20"/>
              </w:rPr>
              <w:t>развал на независимые WFOE-единицы; альтернатива — Индия/АСЕАН</w:t>
            </w:r>
          </w:p>
        </w:tc>
      </w:tr>
    </w:tbl>
    <w:p/>
    <w:p>
      <w:pPr>
        <w:pStyle w:val="Heading2"/>
      </w:pPr>
      <w:r>
        <w:t>16.7. АТР-стратегия по странам (горизонт 2029–2031)</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041"/>
            <w:shd w:val="clear" w:color="auto" w:fill="0B3D5C"/>
          </w:tcPr>
          <w:p>
            <w:r/>
            <w:r>
              <w:rPr>
                <w:b/>
                <w:color w:val="FFFFFF"/>
                <w:sz w:val="20"/>
              </w:rPr>
              <w:t>Страна/регион</w:t>
            </w:r>
          </w:p>
        </w:tc>
        <w:tc>
          <w:tcPr>
            <w:tcW w:type="dxa" w:w="2948"/>
            <w:shd w:val="clear" w:color="auto" w:fill="0B3D5C"/>
          </w:tcPr>
          <w:p>
            <w:r/>
            <w:r>
              <w:rPr>
                <w:b/>
                <w:color w:val="FFFFFF"/>
                <w:sz w:val="20"/>
              </w:rPr>
              <w:t>Почему привлекательна</w:t>
            </w:r>
          </w:p>
        </w:tc>
        <w:tc>
          <w:tcPr>
            <w:tcW w:type="dxa" w:w="2268"/>
            <w:shd w:val="clear" w:color="auto" w:fill="0B3D5C"/>
          </w:tcPr>
          <w:p>
            <w:r/>
            <w:r>
              <w:rPr>
                <w:b/>
                <w:color w:val="FFFFFF"/>
                <w:sz w:val="20"/>
              </w:rPr>
              <w:t>Модель входа</w:t>
            </w:r>
          </w:p>
        </w:tc>
        <w:tc>
          <w:tcPr>
            <w:tcW w:type="dxa" w:w="1587"/>
            <w:shd w:val="clear" w:color="auto" w:fill="0B3D5C"/>
          </w:tcPr>
          <w:p>
            <w:r/>
            <w:r>
              <w:rPr>
                <w:b/>
                <w:color w:val="FFFFFF"/>
                <w:sz w:val="20"/>
              </w:rPr>
              <w:t>Приоритет</w:t>
            </w:r>
          </w:p>
        </w:tc>
      </w:tr>
      <w:tr>
        <w:tc>
          <w:tcPr>
            <w:tcW w:type="dxa" w:w="2041"/>
          </w:tcPr>
          <w:p>
            <w:r/>
            <w:r>
              <w:rPr>
                <w:sz w:val="20"/>
              </w:rPr>
              <w:t>Китай (ЗСТ Хайнань)</w:t>
            </w:r>
          </w:p>
        </w:tc>
        <w:tc>
          <w:tcPr>
            <w:tcW w:type="dxa" w:w="2948"/>
          </w:tcPr>
          <w:p>
            <w:r/>
            <w:r>
              <w:rPr>
                <w:sz w:val="20"/>
              </w:rPr>
              <w:t>крупнейший рынок ВРТ, пилотные режимы</w:t>
            </w:r>
          </w:p>
        </w:tc>
        <w:tc>
          <w:tcPr>
            <w:tcW w:type="dxa" w:w="2268"/>
          </w:tcPr>
          <w:p>
            <w:r/>
            <w:r>
              <w:rPr>
                <w:sz w:val="20"/>
              </w:rPr>
              <w:t>WFOE + лицензия + rev-share</w:t>
            </w:r>
          </w:p>
        </w:tc>
        <w:tc>
          <w:tcPr>
            <w:tcW w:type="dxa" w:w="1587"/>
          </w:tcPr>
          <w:p>
            <w:r/>
            <w:r>
              <w:rPr>
                <w:sz w:val="20"/>
              </w:rPr>
              <w:t>высокий</w:t>
            </w:r>
          </w:p>
        </w:tc>
      </w:tr>
      <w:tr>
        <w:tc>
          <w:tcPr>
            <w:tcW w:type="dxa" w:w="2041"/>
            <w:shd w:val="clear" w:color="auto" w:fill="F3F8FB"/>
          </w:tcPr>
          <w:p>
            <w:r/>
            <w:r>
              <w:rPr>
                <w:sz w:val="20"/>
              </w:rPr>
              <w:t>Индия</w:t>
            </w:r>
          </w:p>
        </w:tc>
        <w:tc>
          <w:tcPr>
            <w:tcW w:type="dxa" w:w="2948"/>
            <w:shd w:val="clear" w:color="auto" w:fill="F3F8FB"/>
          </w:tcPr>
          <w:p>
            <w:r/>
            <w:r>
              <w:rPr>
                <w:sz w:val="20"/>
              </w:rPr>
              <w:t>огромные объёмы циклов, растущий средний класс</w:t>
            </w:r>
          </w:p>
        </w:tc>
        <w:tc>
          <w:tcPr>
            <w:tcW w:type="dxa" w:w="2268"/>
            <w:shd w:val="clear" w:color="auto" w:fill="F3F8FB"/>
          </w:tcPr>
          <w:p>
            <w:r/>
            <w:r>
              <w:rPr>
                <w:sz w:val="20"/>
              </w:rPr>
              <w:t>лицензия локальному оператору</w:t>
            </w:r>
          </w:p>
        </w:tc>
        <w:tc>
          <w:tcPr>
            <w:tcW w:type="dxa" w:w="1587"/>
            <w:shd w:val="clear" w:color="auto" w:fill="F3F8FB"/>
          </w:tcPr>
          <w:p>
            <w:r/>
            <w:r>
              <w:rPr>
                <w:sz w:val="20"/>
              </w:rPr>
              <w:t>высокий (2029+)</w:t>
            </w:r>
          </w:p>
        </w:tc>
      </w:tr>
      <w:tr>
        <w:tc>
          <w:tcPr>
            <w:tcW w:type="dxa" w:w="2041"/>
          </w:tcPr>
          <w:p>
            <w:r/>
            <w:r>
              <w:rPr>
                <w:sz w:val="20"/>
              </w:rPr>
              <w:t>Япония</w:t>
            </w:r>
          </w:p>
        </w:tc>
        <w:tc>
          <w:tcPr>
            <w:tcW w:type="dxa" w:w="2948"/>
          </w:tcPr>
          <w:p>
            <w:r/>
            <w:r>
              <w:rPr>
                <w:sz w:val="20"/>
              </w:rPr>
              <w:t>платёжеспособное население, развитая медицина</w:t>
            </w:r>
          </w:p>
        </w:tc>
        <w:tc>
          <w:tcPr>
            <w:tcW w:type="dxa" w:w="2268"/>
          </w:tcPr>
          <w:p>
            <w:r/>
            <w:r>
              <w:rPr>
                <w:sz w:val="20"/>
              </w:rPr>
              <w:t>дистрибуция через партнёра</w:t>
            </w:r>
          </w:p>
        </w:tc>
        <w:tc>
          <w:tcPr>
            <w:tcW w:type="dxa" w:w="1587"/>
          </w:tcPr>
          <w:p>
            <w:r/>
            <w:r>
              <w:rPr>
                <w:sz w:val="20"/>
              </w:rPr>
              <w:t>средний</w:t>
            </w:r>
          </w:p>
        </w:tc>
      </w:tr>
      <w:tr>
        <w:tc>
          <w:tcPr>
            <w:tcW w:type="dxa" w:w="2041"/>
            <w:shd w:val="clear" w:color="auto" w:fill="F3F8FB"/>
          </w:tcPr>
          <w:p>
            <w:r/>
            <w:r>
              <w:rPr>
                <w:sz w:val="20"/>
              </w:rPr>
              <w:t>Южная Корея</w:t>
            </w:r>
          </w:p>
        </w:tc>
        <w:tc>
          <w:tcPr>
            <w:tcW w:type="dxa" w:w="2948"/>
            <w:shd w:val="clear" w:color="auto" w:fill="F3F8FB"/>
          </w:tcPr>
          <w:p>
            <w:r/>
            <w:r>
              <w:rPr>
                <w:sz w:val="20"/>
              </w:rPr>
              <w:t>высокий tech-adoption в медицине</w:t>
            </w:r>
          </w:p>
        </w:tc>
        <w:tc>
          <w:tcPr>
            <w:tcW w:type="dxa" w:w="2268"/>
            <w:shd w:val="clear" w:color="auto" w:fill="F3F8FB"/>
          </w:tcPr>
          <w:p>
            <w:r/>
            <w:r>
              <w:rPr>
                <w:sz w:val="20"/>
              </w:rPr>
              <w:t>SaaS-лицензия / JV</w:t>
            </w:r>
          </w:p>
        </w:tc>
        <w:tc>
          <w:tcPr>
            <w:tcW w:type="dxa" w:w="1587"/>
            <w:shd w:val="clear" w:color="auto" w:fill="F3F8FB"/>
          </w:tcPr>
          <w:p>
            <w:r/>
            <w:r>
              <w:rPr>
                <w:sz w:val="20"/>
              </w:rPr>
              <w:t>средний</w:t>
            </w:r>
          </w:p>
        </w:tc>
      </w:tr>
      <w:tr>
        <w:tc>
          <w:tcPr>
            <w:tcW w:type="dxa" w:w="2041"/>
          </w:tcPr>
          <w:p>
            <w:r/>
            <w:r>
              <w:rPr>
                <w:sz w:val="20"/>
              </w:rPr>
              <w:t>Ближний Восток</w:t>
            </w:r>
          </w:p>
        </w:tc>
        <w:tc>
          <w:tcPr>
            <w:tcW w:type="dxa" w:w="2948"/>
          </w:tcPr>
          <w:p>
            <w:r/>
            <w:r>
              <w:rPr>
                <w:sz w:val="20"/>
              </w:rPr>
              <w:t>гос. инвестиции в медед, приоритет рождаемости</w:t>
            </w:r>
          </w:p>
        </w:tc>
        <w:tc>
          <w:tcPr>
            <w:tcW w:type="dxa" w:w="2268"/>
          </w:tcPr>
          <w:p>
            <w:r/>
            <w:r>
              <w:rPr>
                <w:sz w:val="20"/>
              </w:rPr>
              <w:t>программные контракты</w:t>
            </w:r>
          </w:p>
        </w:tc>
        <w:tc>
          <w:tcPr>
            <w:tcW w:type="dxa" w:w="1587"/>
          </w:tcPr>
          <w:p>
            <w:r/>
            <w:r>
              <w:rPr>
                <w:sz w:val="20"/>
              </w:rPr>
              <w:t>средний</w:t>
            </w:r>
          </w:p>
        </w:tc>
      </w:tr>
      <w:tr>
        <w:tc>
          <w:tcPr>
            <w:tcW w:type="dxa" w:w="2041"/>
            <w:shd w:val="clear" w:color="auto" w:fill="F3F8FB"/>
          </w:tcPr>
          <w:p>
            <w:r/>
            <w:r>
              <w:rPr>
                <w:sz w:val="20"/>
              </w:rPr>
              <w:t>АСЕАН (Сингапур-хаб)</w:t>
            </w:r>
          </w:p>
        </w:tc>
        <w:tc>
          <w:tcPr>
            <w:tcW w:type="dxa" w:w="2948"/>
            <w:shd w:val="clear" w:color="auto" w:fill="F3F8FB"/>
          </w:tcPr>
          <w:p>
            <w:r/>
            <w:r>
              <w:rPr>
                <w:sz w:val="20"/>
              </w:rPr>
              <w:t>региональный центр и комплаенс</w:t>
            </w:r>
          </w:p>
        </w:tc>
        <w:tc>
          <w:tcPr>
            <w:tcW w:type="dxa" w:w="2268"/>
            <w:shd w:val="clear" w:color="auto" w:fill="F3F8FB"/>
          </w:tcPr>
          <w:p>
            <w:r/>
            <w:r>
              <w:rPr>
                <w:sz w:val="20"/>
              </w:rPr>
              <w:t>пилот + методология</w:t>
            </w:r>
          </w:p>
        </w:tc>
        <w:tc>
          <w:tcPr>
            <w:tcW w:type="dxa" w:w="1587"/>
            <w:shd w:val="clear" w:color="auto" w:fill="F3F8FB"/>
          </w:tcPr>
          <w:p>
            <w:r/>
            <w:r>
              <w:rPr>
                <w:sz w:val="20"/>
              </w:rPr>
              <w:t>опционально</w:t>
            </w:r>
          </w:p>
        </w:tc>
      </w:tr>
    </w:tbl>
    <w:p/>
    <w:p>
      <w:r>
        <w:rPr>
          <w:b w:val="0"/>
          <w:i w:val="0"/>
          <w:sz w:val="22"/>
        </w:rPr>
        <w:t>В базовый сценарий модели заложен только консервативный международный поток (7 АТР-партнёра / ≈36 млн ₽ к 2030). Остальные страны рассматриваются как опционы масштабирования после подтверждения китайской гипотезы — это ограничивает риск и не раздувает базовую оценку.</w:t>
      </w:r>
    </w:p>
    <w:p>
      <w:r>
        <w:br w:type="page"/>
      </w:r>
    </w:p>
    <w:p>
      <w:pPr>
        <w:pStyle w:val="Heading1"/>
        <w:shd w:val="clear" w:color="auto" w:fill="EAF4F8"/>
      </w:pPr>
      <w:r>
        <w:t>17. СИСТЕМА МОНИТОРИНГА ДЛЯ ИНВЕСТОРА (INVESTOR SCORECARD)</w:t>
      </w:r>
    </w:p>
    <w:p>
      <w:pPr>
        <w:pStyle w:val="Heading2"/>
      </w:pPr>
      <w:r>
        <w:t>17.1. Зачем нужна скоркарта</w:t>
      </w:r>
    </w:p>
    <w:p>
      <w:r>
        <w:rPr>
          <w:b w:val="0"/>
          <w:i w:val="0"/>
          <w:sz w:val="22"/>
        </w:rPr>
        <w:t>Для контроля исполнения плана инвестору предлагается стандартный набор показателей, отслеживаемых ежемесячно (операционные) и ежеквартально (стратегические). Все данные формируются автоматически из расширенной финмодели и управленческой отчётности — это делает мониторинг недорогим и объективным.</w:t>
      </w:r>
    </w:p>
    <w:p>
      <w:pPr>
        <w:pStyle w:val="Heading2"/>
      </w:pPr>
      <w:r>
        <w:t>17.2. Показатели мониторинга</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701"/>
            <w:shd w:val="clear" w:color="auto" w:fill="0B3D5C"/>
          </w:tcPr>
          <w:p>
            <w:r/>
            <w:r>
              <w:rPr>
                <w:b/>
                <w:color w:val="FFFFFF"/>
                <w:sz w:val="20"/>
              </w:rPr>
              <w:t>Блок</w:t>
            </w:r>
          </w:p>
        </w:tc>
        <w:tc>
          <w:tcPr>
            <w:tcW w:type="dxa" w:w="3515"/>
            <w:shd w:val="clear" w:color="auto" w:fill="0B3D5C"/>
          </w:tcPr>
          <w:p>
            <w:r/>
            <w:r>
              <w:rPr>
                <w:b/>
                <w:color w:val="FFFFFF"/>
                <w:sz w:val="20"/>
              </w:rPr>
              <w:t>Показатель</w:t>
            </w:r>
          </w:p>
        </w:tc>
        <w:tc>
          <w:tcPr>
            <w:tcW w:type="dxa" w:w="1361"/>
            <w:shd w:val="clear" w:color="auto" w:fill="0B3D5C"/>
          </w:tcPr>
          <w:p>
            <w:r/>
            <w:r>
              <w:rPr>
                <w:b/>
                <w:color w:val="FFFFFF"/>
                <w:sz w:val="20"/>
              </w:rPr>
              <w:t>Периодичность</w:t>
            </w:r>
          </w:p>
        </w:tc>
        <w:tc>
          <w:tcPr>
            <w:tcW w:type="dxa" w:w="2494"/>
            <w:shd w:val="clear" w:color="auto" w:fill="0B3D5C"/>
          </w:tcPr>
          <w:p>
            <w:r/>
            <w:r>
              <w:rPr>
                <w:b/>
                <w:color w:val="FFFFFF"/>
                <w:sz w:val="20"/>
              </w:rPr>
              <w:t>Целевое значение 2026–2027</w:t>
            </w:r>
          </w:p>
        </w:tc>
      </w:tr>
      <w:tr>
        <w:tc>
          <w:tcPr>
            <w:tcW w:type="dxa" w:w="1701"/>
          </w:tcPr>
          <w:p>
            <w:r/>
            <w:r>
              <w:rPr>
                <w:sz w:val="20"/>
              </w:rPr>
              <w:t>Продукт</w:t>
            </w:r>
          </w:p>
        </w:tc>
        <w:tc>
          <w:tcPr>
            <w:tcW w:type="dxa" w:w="3515"/>
          </w:tcPr>
          <w:p>
            <w:r/>
            <w:r>
              <w:rPr>
                <w:sz w:val="20"/>
              </w:rPr>
              <w:t>AUC на валидационных срезах</w:t>
            </w:r>
          </w:p>
        </w:tc>
        <w:tc>
          <w:tcPr>
            <w:tcW w:type="dxa" w:w="1361"/>
          </w:tcPr>
          <w:p>
            <w:r/>
            <w:r>
              <w:rPr>
                <w:sz w:val="20"/>
              </w:rPr>
              <w:t>месяц</w:t>
            </w:r>
          </w:p>
        </w:tc>
        <w:tc>
          <w:tcPr>
            <w:tcW w:type="dxa" w:w="2494"/>
          </w:tcPr>
          <w:p>
            <w:r/>
            <w:r>
              <w:rPr>
                <w:sz w:val="20"/>
              </w:rPr>
              <w:t>≥ 0,55 (снижение до 2027)</w:t>
            </w:r>
          </w:p>
        </w:tc>
      </w:tr>
      <w:tr>
        <w:tc>
          <w:tcPr>
            <w:tcW w:type="dxa" w:w="1701"/>
            <w:shd w:val="clear" w:color="auto" w:fill="F3F8FB"/>
          </w:tcPr>
          <w:p>
            <w:r/>
            <w:r>
              <w:rPr>
                <w:sz w:val="20"/>
              </w:rPr>
              <w:t>Продукт</w:t>
            </w:r>
          </w:p>
        </w:tc>
        <w:tc>
          <w:tcPr>
            <w:tcW w:type="dxa" w:w="3515"/>
            <w:shd w:val="clear" w:color="auto" w:fill="F3F8FB"/>
          </w:tcPr>
          <w:p>
            <w:r/>
            <w:r>
              <w:rPr>
                <w:sz w:val="20"/>
              </w:rPr>
              <w:t>Число циклов в базе проспективного исследования</w:t>
            </w:r>
          </w:p>
        </w:tc>
        <w:tc>
          <w:tcPr>
            <w:tcW w:type="dxa" w:w="1361"/>
            <w:shd w:val="clear" w:color="auto" w:fill="F3F8FB"/>
          </w:tcPr>
          <w:p>
            <w:r/>
            <w:r>
              <w:rPr>
                <w:sz w:val="20"/>
              </w:rPr>
              <w:t>месяц</w:t>
            </w:r>
          </w:p>
        </w:tc>
        <w:tc>
          <w:tcPr>
            <w:tcW w:type="dxa" w:w="2494"/>
            <w:shd w:val="clear" w:color="auto" w:fill="F3F8FB"/>
          </w:tcPr>
          <w:p>
            <w:r/>
            <w:r>
              <w:rPr>
                <w:sz w:val="20"/>
              </w:rPr>
              <w:t>≥ 6–14 тыс. к Q7 2027</w:t>
            </w:r>
          </w:p>
        </w:tc>
      </w:tr>
      <w:tr>
        <w:tc>
          <w:tcPr>
            <w:tcW w:type="dxa" w:w="1701"/>
          </w:tcPr>
          <w:p>
            <w:r/>
            <w:r>
              <w:rPr>
                <w:sz w:val="20"/>
              </w:rPr>
              <w:t>Коммерция</w:t>
            </w:r>
          </w:p>
        </w:tc>
        <w:tc>
          <w:tcPr>
            <w:tcW w:type="dxa" w:w="3515"/>
          </w:tcPr>
          <w:p>
            <w:r/>
            <w:r>
              <w:rPr>
                <w:sz w:val="20"/>
              </w:rPr>
              <w:t>Платящие клиники (накопит.)</w:t>
            </w:r>
          </w:p>
        </w:tc>
        <w:tc>
          <w:tcPr>
            <w:tcW w:type="dxa" w:w="1361"/>
          </w:tcPr>
          <w:p>
            <w:r/>
            <w:r>
              <w:rPr>
                <w:sz w:val="20"/>
              </w:rPr>
              <w:t>месяц</w:t>
            </w:r>
          </w:p>
        </w:tc>
        <w:tc>
          <w:tcPr>
            <w:tcW w:type="dxa" w:w="2494"/>
          </w:tcPr>
          <w:p>
            <w:r/>
            <w:r>
              <w:rPr>
                <w:sz w:val="20"/>
              </w:rPr>
              <w:t>1 к Q3 2026; 26 к Q3 2027</w:t>
            </w:r>
          </w:p>
        </w:tc>
      </w:tr>
      <w:tr>
        <w:tc>
          <w:tcPr>
            <w:tcW w:type="dxa" w:w="1701"/>
            <w:shd w:val="clear" w:color="auto" w:fill="F3F8FB"/>
          </w:tcPr>
          <w:p>
            <w:r/>
            <w:r>
              <w:rPr>
                <w:sz w:val="20"/>
              </w:rPr>
              <w:t>Коммерция</w:t>
            </w:r>
          </w:p>
        </w:tc>
        <w:tc>
          <w:tcPr>
            <w:tcW w:type="dxa" w:w="3515"/>
            <w:shd w:val="clear" w:color="auto" w:fill="F3F8FB"/>
          </w:tcPr>
          <w:p>
            <w:r/>
            <w:r>
              <w:rPr>
                <w:sz w:val="20"/>
              </w:rPr>
              <w:t>Воронка: демо → договор</w:t>
            </w:r>
          </w:p>
        </w:tc>
        <w:tc>
          <w:tcPr>
            <w:tcW w:type="dxa" w:w="1361"/>
            <w:shd w:val="clear" w:color="auto" w:fill="F3F8FB"/>
          </w:tcPr>
          <w:p>
            <w:r/>
            <w:r>
              <w:rPr>
                <w:sz w:val="20"/>
              </w:rPr>
              <w:t>месяц</w:t>
            </w:r>
          </w:p>
        </w:tc>
        <w:tc>
          <w:tcPr>
            <w:tcW w:type="dxa" w:w="2494"/>
            <w:shd w:val="clear" w:color="auto" w:fill="F3F8FB"/>
          </w:tcPr>
          <w:p>
            <w:r/>
            <w:r>
              <w:rPr>
                <w:sz w:val="20"/>
              </w:rPr>
              <w:t>конверсия ≥ 58%</w:t>
            </w:r>
          </w:p>
        </w:tc>
      </w:tr>
      <w:tr>
        <w:tc>
          <w:tcPr>
            <w:tcW w:type="dxa" w:w="1701"/>
          </w:tcPr>
          <w:p>
            <w:r/>
            <w:r>
              <w:rPr>
                <w:sz w:val="20"/>
              </w:rPr>
              <w:t>Финансы</w:t>
            </w:r>
          </w:p>
        </w:tc>
        <w:tc>
          <w:tcPr>
            <w:tcW w:type="dxa" w:w="3515"/>
          </w:tcPr>
          <w:p>
            <w:r/>
            <w:r>
              <w:rPr>
                <w:sz w:val="20"/>
              </w:rPr>
              <w:t>Выручка/Месяц vs план (млн ₽)</w:t>
            </w:r>
          </w:p>
        </w:tc>
        <w:tc>
          <w:tcPr>
            <w:tcW w:type="dxa" w:w="1361"/>
          </w:tcPr>
          <w:p>
            <w:r/>
            <w:r>
              <w:rPr>
                <w:sz w:val="20"/>
              </w:rPr>
              <w:t>месяц</w:t>
            </w:r>
          </w:p>
        </w:tc>
        <w:tc>
          <w:tcPr>
            <w:tcW w:type="dxa" w:w="2494"/>
          </w:tcPr>
          <w:p>
            <w:r/>
            <w:r>
              <w:rPr>
                <w:sz w:val="20"/>
              </w:rPr>
              <w:t>совпадение ±14%</w:t>
            </w:r>
          </w:p>
        </w:tc>
      </w:tr>
      <w:tr>
        <w:tc>
          <w:tcPr>
            <w:tcW w:type="dxa" w:w="1701"/>
            <w:shd w:val="clear" w:color="auto" w:fill="F3F8FB"/>
          </w:tcPr>
          <w:p>
            <w:r/>
            <w:r>
              <w:rPr>
                <w:sz w:val="20"/>
              </w:rPr>
              <w:t>Финансы</w:t>
            </w:r>
          </w:p>
        </w:tc>
        <w:tc>
          <w:tcPr>
            <w:tcW w:type="dxa" w:w="3515"/>
            <w:shd w:val="clear" w:color="auto" w:fill="F3F8FB"/>
          </w:tcPr>
          <w:p>
            <w:r/>
            <w:r>
              <w:rPr>
                <w:sz w:val="20"/>
              </w:rPr>
              <w:t>Runway при текущем burn-rate</w:t>
            </w:r>
          </w:p>
        </w:tc>
        <w:tc>
          <w:tcPr>
            <w:tcW w:type="dxa" w:w="1361"/>
            <w:shd w:val="clear" w:color="auto" w:fill="F3F8FB"/>
          </w:tcPr>
          <w:p>
            <w:r/>
            <w:r>
              <w:rPr>
                <w:sz w:val="20"/>
              </w:rPr>
              <w:t>месяц</w:t>
            </w:r>
          </w:p>
        </w:tc>
        <w:tc>
          <w:tcPr>
            <w:tcW w:type="dxa" w:w="2494"/>
            <w:shd w:val="clear" w:color="auto" w:fill="F3F8FB"/>
          </w:tcPr>
          <w:p>
            <w:r/>
            <w:r>
              <w:rPr>
                <w:sz w:val="20"/>
              </w:rPr>
              <w:t>≥ 26 мес. до Series A</w:t>
            </w:r>
          </w:p>
        </w:tc>
      </w:tr>
      <w:tr>
        <w:tc>
          <w:tcPr>
            <w:tcW w:type="dxa" w:w="1701"/>
          </w:tcPr>
          <w:p>
            <w:r/>
            <w:r>
              <w:rPr>
                <w:sz w:val="20"/>
              </w:rPr>
              <w:t>Финансы</w:t>
            </w:r>
          </w:p>
        </w:tc>
        <w:tc>
          <w:tcPr>
            <w:tcW w:type="dxa" w:w="3515"/>
          </w:tcPr>
          <w:p>
            <w:r/>
            <w:r>
              <w:rPr>
                <w:sz w:val="20"/>
              </w:rPr>
              <w:t>EBITDA, маржа</w:t>
            </w:r>
          </w:p>
        </w:tc>
        <w:tc>
          <w:tcPr>
            <w:tcW w:type="dxa" w:w="1361"/>
          </w:tcPr>
          <w:p>
            <w:r/>
            <w:r>
              <w:rPr>
                <w:sz w:val="20"/>
              </w:rPr>
              <w:t>квартал</w:t>
            </w:r>
          </w:p>
        </w:tc>
        <w:tc>
          <w:tcPr>
            <w:tcW w:type="dxa" w:w="2494"/>
          </w:tcPr>
          <w:p>
            <w:r/>
            <w:r>
              <w:rPr>
                <w:sz w:val="20"/>
              </w:rPr>
              <w:t>по сценарию баз. (см. 27.0)</w:t>
            </w:r>
          </w:p>
        </w:tc>
      </w:tr>
      <w:tr>
        <w:tc>
          <w:tcPr>
            <w:tcW w:type="dxa" w:w="1701"/>
            <w:shd w:val="clear" w:color="auto" w:fill="F3F8FB"/>
          </w:tcPr>
          <w:p>
            <w:r/>
            <w:r>
              <w:rPr>
                <w:sz w:val="20"/>
              </w:rPr>
              <w:t>Регуляторика</w:t>
            </w:r>
          </w:p>
        </w:tc>
        <w:tc>
          <w:tcPr>
            <w:tcW w:type="dxa" w:w="3515"/>
            <w:shd w:val="clear" w:color="auto" w:fill="F3F8FB"/>
          </w:tcPr>
          <w:p>
            <w:r/>
            <w:r>
              <w:rPr>
                <w:sz w:val="20"/>
              </w:rPr>
              <w:t>Статус досье ИИ-МИ / этап «песочницы»</w:t>
            </w:r>
          </w:p>
        </w:tc>
        <w:tc>
          <w:tcPr>
            <w:tcW w:type="dxa" w:w="1361"/>
            <w:shd w:val="clear" w:color="auto" w:fill="F3F8FB"/>
          </w:tcPr>
          <w:p>
            <w:r/>
            <w:r>
              <w:rPr>
                <w:sz w:val="20"/>
              </w:rPr>
              <w:t>месяц</w:t>
            </w:r>
          </w:p>
        </w:tc>
        <w:tc>
          <w:tcPr>
            <w:tcW w:type="dxa" w:w="2494"/>
            <w:shd w:val="clear" w:color="auto" w:fill="F3F8FB"/>
          </w:tcPr>
          <w:p>
            <w:r/>
            <w:r>
              <w:rPr>
                <w:sz w:val="20"/>
              </w:rPr>
              <w:t>этап по таймлайну 20.0</w:t>
            </w:r>
          </w:p>
        </w:tc>
      </w:tr>
      <w:tr>
        <w:tc>
          <w:tcPr>
            <w:tcW w:type="dxa" w:w="1701"/>
          </w:tcPr>
          <w:p>
            <w:r/>
            <w:r>
              <w:rPr>
                <w:sz w:val="20"/>
              </w:rPr>
              <w:t>R&amp;D</w:t>
            </w:r>
          </w:p>
        </w:tc>
        <w:tc>
          <w:tcPr>
            <w:tcW w:type="dxa" w:w="3515"/>
          </w:tcPr>
          <w:p>
            <w:r/>
            <w:r>
              <w:rPr>
                <w:sz w:val="20"/>
              </w:rPr>
              <w:t>Заявки на патенты, депонирования</w:t>
            </w:r>
          </w:p>
        </w:tc>
        <w:tc>
          <w:tcPr>
            <w:tcW w:type="dxa" w:w="1361"/>
          </w:tcPr>
          <w:p>
            <w:r/>
            <w:r>
              <w:rPr>
                <w:sz w:val="20"/>
              </w:rPr>
              <w:t>квартал</w:t>
            </w:r>
          </w:p>
        </w:tc>
        <w:tc>
          <w:tcPr>
            <w:tcW w:type="dxa" w:w="2494"/>
          </w:tcPr>
          <w:p>
            <w:r/>
            <w:r>
              <w:rPr>
                <w:sz w:val="20"/>
              </w:rPr>
              <w:t>≥ 3 патентные заявки к Q3 2026</w:t>
            </w:r>
          </w:p>
        </w:tc>
      </w:tr>
      <w:tr>
        <w:tc>
          <w:tcPr>
            <w:tcW w:type="dxa" w:w="1701"/>
            <w:shd w:val="clear" w:color="auto" w:fill="F3F8FB"/>
          </w:tcPr>
          <w:p>
            <w:r/>
            <w:r>
              <w:rPr>
                <w:sz w:val="20"/>
              </w:rPr>
              <w:t>Команда</w:t>
            </w:r>
          </w:p>
        </w:tc>
        <w:tc>
          <w:tcPr>
            <w:tcW w:type="dxa" w:w="3515"/>
            <w:shd w:val="clear" w:color="auto" w:fill="F3F8FB"/>
          </w:tcPr>
          <w:p>
            <w:r/>
            <w:r>
              <w:rPr>
                <w:sz w:val="20"/>
              </w:rPr>
              <w:t>Текучка ключевых сотрудников</w:t>
            </w:r>
          </w:p>
        </w:tc>
        <w:tc>
          <w:tcPr>
            <w:tcW w:type="dxa" w:w="1361"/>
            <w:shd w:val="clear" w:color="auto" w:fill="F3F8FB"/>
          </w:tcPr>
          <w:p>
            <w:r/>
            <w:r>
              <w:rPr>
                <w:sz w:val="20"/>
              </w:rPr>
              <w:t>квартал</w:t>
            </w:r>
          </w:p>
        </w:tc>
        <w:tc>
          <w:tcPr>
            <w:tcW w:type="dxa" w:w="2494"/>
            <w:shd w:val="clear" w:color="auto" w:fill="F3F8FB"/>
          </w:tcPr>
          <w:p>
            <w:r/>
            <w:r>
              <w:rPr>
                <w:sz w:val="20"/>
              </w:rPr>
              <w:t>&lt; 14%</w:t>
            </w:r>
          </w:p>
        </w:tc>
      </w:tr>
    </w:tbl>
    <w:p/>
    <w:p>
      <w:pPr>
        <w:pStyle w:val="Heading2"/>
      </w:pPr>
      <w:r>
        <w:t>17.3. Форматы отчётности</w:t>
      </w:r>
    </w:p>
    <w:p>
      <w:pPr>
        <w:pStyle w:val="ListBullet"/>
        <w:ind w:left="340"/>
      </w:pPr>
      <w:r>
        <w:t>ежемесячно: управленческий отчёт (P&amp;L, ДДС, план-факт KPI) — файл модели с обновлёнными фактическими колонками;</w:t>
      </w:r>
    </w:p>
    <w:p>
      <w:pPr>
        <w:pStyle w:val="ListBullet"/>
        <w:ind w:left="340"/>
      </w:pPr>
      <w:r>
        <w:t>ежеквартально: отчёт об исполнении вех + презентация Совета директоров (21 стр.);</w:t>
      </w:r>
    </w:p>
    <w:p>
      <w:pPr>
        <w:pStyle w:val="ListBullet"/>
        <w:ind w:left="340"/>
      </w:pPr>
      <w:r>
        <w:t>ежегодно: аудит по РСБУ (при необходимости — МСФО для КНР/АТР), ESG-отчёт (Приложение Г).</w:t>
      </w:r>
    </w:p>
    <w:p>
      <w:pPr>
        <w:pStyle w:val="Heading2"/>
      </w:pPr>
      <w:r>
        <w:t>17.4. Минимальная защита прав инвестора (как контролировать КНР/АТР)</w:t>
      </w:r>
    </w:p>
    <w:p>
      <w:pPr>
        <w:pStyle w:val="ListBullet"/>
        <w:ind w:left="340"/>
      </w:pPr>
      <w:r>
        <w:t>WFOE и прочие юрлица включаются в единый контур консолидации управленческой отчётности;</w:t>
      </w:r>
    </w:p>
    <w:p>
      <w:pPr>
        <w:pStyle w:val="ListBullet"/>
        <w:ind w:left="340"/>
      </w:pPr>
      <w:r>
        <w:t>лицензионные договоры между юрлицами проходят утверждение Совета директоров; риск «выноса» активов минимизирован.</w:t>
      </w:r>
    </w:p>
    <w:p>
      <w:r>
        <w:br w:type="page"/>
      </w:r>
    </w:p>
    <w:p>
      <w:pPr>
        <w:pStyle w:val="Heading1"/>
        <w:shd w:val="clear" w:color="auto" w:fill="EAF4F8"/>
      </w:pPr>
      <w:r>
        <w:t>ПРИЛОЖЕНИЯ</w:t>
      </w:r>
    </w:p>
    <w:p>
      <w:pPr>
        <w:pStyle w:val="Heading2"/>
      </w:pPr>
      <w:r>
        <w:t>A. Финансовая модель (структура и допущения)</w:t>
      </w:r>
    </w:p>
    <w:p>
      <w:pPr>
        <w:pStyle w:val="ListBullet"/>
        <w:ind w:left="340"/>
      </w:pPr>
      <w:r>
        <w:t>VitaGen_Финансовая_модель_расширенная.xlsx — 32 листов: Титул, Допущения (переключатель сценария C3), Рынок, Выручка (год), Выручка_Кв (12 кварталов), Расходы, Расходы_Кв, ФОТ_Штат, PnL, PnL_Кв, ДДС, ДДС_Кв, Баланс, Юнит_экономика, Инвестор (cap table + IRR/NPV + чувствительность), Сценарии, ИС_Оценка, Китай_АТР, Источники;</w:t>
      </w:r>
    </w:p>
    <w:p>
      <w:pPr>
        <w:pStyle w:val="ListBullet"/>
        <w:ind w:left="340"/>
      </w:pPr>
      <w:r>
        <w:t>все таблицы настоящего документа рассчитаны из тех же допущений, что и модель; формулы пересчитываются при открытии файла;</w:t>
      </w:r>
    </w:p>
    <w:p>
      <w:pPr>
        <w:pStyle w:val="ListBullet"/>
        <w:ind w:left="340"/>
      </w:pPr>
      <w:r>
        <w:t>контроль качества: баланс = 1 на всех периодах; минимум ДС ≥ 0,4 млн ₽; суммы кварталов = годы (с округлением).</w:t>
      </w:r>
    </w:p>
    <w:p>
      <w:pPr>
        <w:pStyle w:val="Heading3"/>
      </w:pPr>
      <w:r>
        <w:t>A.1. Полная квартальная разбивка (20 кварталов, млн ₽)</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701"/>
            <w:shd w:val="clear" w:color="auto" w:fill="0B3D5C"/>
          </w:tcPr>
          <w:p>
            <w:r/>
            <w:r>
              <w:rPr>
                <w:b/>
                <w:color w:val="FFFFFF"/>
                <w:sz w:val="20"/>
              </w:rPr>
              <w:t>Квартал</w:t>
            </w:r>
          </w:p>
        </w:tc>
        <w:tc>
          <w:tcPr>
            <w:tcW w:type="dxa" w:w="1928"/>
            <w:shd w:val="clear" w:color="auto" w:fill="0B3D5C"/>
          </w:tcPr>
          <w:p>
            <w:r/>
            <w:r>
              <w:rPr>
                <w:b/>
                <w:color w:val="FFFFFF"/>
                <w:sz w:val="20"/>
              </w:rPr>
              <w:t>Выручка</w:t>
            </w:r>
          </w:p>
        </w:tc>
        <w:tc>
          <w:tcPr>
            <w:tcW w:type="dxa" w:w="1928"/>
            <w:shd w:val="clear" w:color="auto" w:fill="0B3D5C"/>
          </w:tcPr>
          <w:p>
            <w:r/>
            <w:r>
              <w:rPr>
                <w:b/>
                <w:color w:val="FFFFFF"/>
                <w:sz w:val="20"/>
              </w:rPr>
              <w:t>Расходы</w:t>
            </w:r>
          </w:p>
        </w:tc>
        <w:tc>
          <w:tcPr>
            <w:tcW w:type="dxa" w:w="1928"/>
            <w:shd w:val="clear" w:color="auto" w:fill="0B3D5C"/>
          </w:tcPr>
          <w:p>
            <w:r/>
            <w:r>
              <w:rPr>
                <w:b/>
                <w:color w:val="FFFFFF"/>
                <w:sz w:val="20"/>
              </w:rPr>
              <w:t>EBITDA</w:t>
            </w:r>
          </w:p>
        </w:tc>
        <w:tc>
          <w:tcPr>
            <w:tcW w:type="dxa" w:w="2041"/>
            <w:shd w:val="clear" w:color="auto" w:fill="0B3D5C"/>
          </w:tcPr>
          <w:p>
            <w:r/>
            <w:r>
              <w:rPr>
                <w:b/>
                <w:color w:val="FFFFFF"/>
                <w:sz w:val="20"/>
              </w:rPr>
              <w:t>Остаток ДС (конец)</w:t>
            </w:r>
          </w:p>
        </w:tc>
      </w:tr>
      <w:tr>
        <w:tc>
          <w:tcPr>
            <w:tcW w:type="dxa" w:w="1701"/>
          </w:tcPr>
          <w:p>
            <w:r/>
            <w:r>
              <w:rPr>
                <w:sz w:val="20"/>
              </w:rPr>
              <w:t>2026Q1</w:t>
            </w:r>
          </w:p>
        </w:tc>
        <w:tc>
          <w:tcPr>
            <w:tcW w:type="dxa" w:w="1928"/>
          </w:tcPr>
          <w:p>
            <w:r/>
            <w:r>
              <w:rPr>
                <w:sz w:val="20"/>
              </w:rPr>
              <w:t>0,7</w:t>
            </w:r>
          </w:p>
        </w:tc>
        <w:tc>
          <w:tcPr>
            <w:tcW w:type="dxa" w:w="1928"/>
          </w:tcPr>
          <w:p>
            <w:r/>
            <w:r>
              <w:rPr>
                <w:sz w:val="20"/>
              </w:rPr>
              <w:t>20,0</w:t>
            </w:r>
          </w:p>
        </w:tc>
        <w:tc>
          <w:tcPr>
            <w:tcW w:type="dxa" w:w="1928"/>
          </w:tcPr>
          <w:p>
            <w:r/>
            <w:r>
              <w:rPr>
                <w:sz w:val="20"/>
              </w:rPr>
              <w:t>−8,4</w:t>
            </w:r>
          </w:p>
        </w:tc>
        <w:tc>
          <w:tcPr>
            <w:tcW w:type="dxa" w:w="2041"/>
          </w:tcPr>
          <w:p>
            <w:r/>
            <w:r>
              <w:rPr>
                <w:sz w:val="20"/>
              </w:rPr>
              <w:t>36,0</w:t>
            </w:r>
          </w:p>
        </w:tc>
      </w:tr>
      <w:tr>
        <w:tc>
          <w:tcPr>
            <w:tcW w:type="dxa" w:w="1701"/>
            <w:shd w:val="clear" w:color="auto" w:fill="F3F8FB"/>
          </w:tcPr>
          <w:p>
            <w:r/>
            <w:r>
              <w:rPr>
                <w:sz w:val="20"/>
              </w:rPr>
              <w:t>2026Q3</w:t>
            </w:r>
          </w:p>
        </w:tc>
        <w:tc>
          <w:tcPr>
            <w:tcW w:type="dxa" w:w="1928"/>
            <w:shd w:val="clear" w:color="auto" w:fill="F3F8FB"/>
          </w:tcPr>
          <w:p>
            <w:r/>
            <w:r>
              <w:rPr>
                <w:sz w:val="20"/>
              </w:rPr>
              <w:t>1,8</w:t>
            </w:r>
          </w:p>
        </w:tc>
        <w:tc>
          <w:tcPr>
            <w:tcW w:type="dxa" w:w="1928"/>
            <w:shd w:val="clear" w:color="auto" w:fill="F3F8FB"/>
          </w:tcPr>
          <w:p>
            <w:r/>
            <w:r>
              <w:rPr>
                <w:sz w:val="20"/>
              </w:rPr>
              <w:t>17,0</w:t>
            </w:r>
          </w:p>
        </w:tc>
        <w:tc>
          <w:tcPr>
            <w:tcW w:type="dxa" w:w="1928"/>
            <w:shd w:val="clear" w:color="auto" w:fill="F3F8FB"/>
          </w:tcPr>
          <w:p>
            <w:r/>
            <w:r>
              <w:rPr>
                <w:sz w:val="20"/>
              </w:rPr>
              <w:t>−9,8</w:t>
            </w:r>
          </w:p>
        </w:tc>
        <w:tc>
          <w:tcPr>
            <w:tcW w:type="dxa" w:w="2041"/>
            <w:shd w:val="clear" w:color="auto" w:fill="F3F8FB"/>
          </w:tcPr>
          <w:p>
            <w:r/>
            <w:r>
              <w:rPr>
                <w:sz w:val="20"/>
              </w:rPr>
              <w:t>16,0</w:t>
            </w:r>
          </w:p>
        </w:tc>
      </w:tr>
      <w:tr>
        <w:tc>
          <w:tcPr>
            <w:tcW w:type="dxa" w:w="1701"/>
          </w:tcPr>
          <w:p>
            <w:r/>
            <w:r>
              <w:rPr>
                <w:sz w:val="20"/>
              </w:rPr>
              <w:t>2026Q7</w:t>
            </w:r>
          </w:p>
        </w:tc>
        <w:tc>
          <w:tcPr>
            <w:tcW w:type="dxa" w:w="1928"/>
          </w:tcPr>
          <w:p>
            <w:r/>
            <w:r>
              <w:rPr>
                <w:sz w:val="20"/>
              </w:rPr>
              <w:t>3,1</w:t>
            </w:r>
          </w:p>
        </w:tc>
        <w:tc>
          <w:tcPr>
            <w:tcW w:type="dxa" w:w="1928"/>
          </w:tcPr>
          <w:p>
            <w:r/>
            <w:r>
              <w:rPr>
                <w:sz w:val="20"/>
              </w:rPr>
              <w:t>18,0</w:t>
            </w:r>
          </w:p>
        </w:tc>
        <w:tc>
          <w:tcPr>
            <w:tcW w:type="dxa" w:w="1928"/>
          </w:tcPr>
          <w:p>
            <w:r/>
            <w:r>
              <w:rPr>
                <w:sz w:val="20"/>
              </w:rPr>
              <w:t>−14,0</w:t>
            </w:r>
          </w:p>
        </w:tc>
        <w:tc>
          <w:tcPr>
            <w:tcW w:type="dxa" w:w="2041"/>
          </w:tcPr>
          <w:p>
            <w:r/>
            <w:r>
              <w:rPr>
                <w:sz w:val="20"/>
              </w:rPr>
              <w:t>12,000000000000000</w:t>
            </w:r>
          </w:p>
        </w:tc>
      </w:tr>
      <w:tr>
        <w:tc>
          <w:tcPr>
            <w:tcW w:type="dxa" w:w="1701"/>
            <w:shd w:val="clear" w:color="auto" w:fill="F3F8FB"/>
          </w:tcPr>
          <w:p>
            <w:r/>
            <w:r>
              <w:rPr>
                <w:sz w:val="20"/>
              </w:rPr>
              <w:t>2026Q3</w:t>
            </w:r>
          </w:p>
        </w:tc>
        <w:tc>
          <w:tcPr>
            <w:tcW w:type="dxa" w:w="1928"/>
            <w:shd w:val="clear" w:color="auto" w:fill="F3F8FB"/>
          </w:tcPr>
          <w:p>
            <w:r/>
            <w:r>
              <w:rPr>
                <w:sz w:val="20"/>
              </w:rPr>
              <w:t>6,1</w:t>
            </w:r>
          </w:p>
        </w:tc>
        <w:tc>
          <w:tcPr>
            <w:tcW w:type="dxa" w:w="1928"/>
            <w:shd w:val="clear" w:color="auto" w:fill="F3F8FB"/>
          </w:tcPr>
          <w:p>
            <w:r/>
            <w:r>
              <w:rPr>
                <w:sz w:val="20"/>
              </w:rPr>
              <w:t>21,8</w:t>
            </w:r>
          </w:p>
        </w:tc>
        <w:tc>
          <w:tcPr>
            <w:tcW w:type="dxa" w:w="1928"/>
            <w:shd w:val="clear" w:color="auto" w:fill="F3F8FB"/>
          </w:tcPr>
          <w:p>
            <w:r/>
            <w:r>
              <w:rPr>
                <w:sz w:val="20"/>
              </w:rPr>
              <w:t>−24,0</w:t>
            </w:r>
          </w:p>
        </w:tc>
        <w:tc>
          <w:tcPr>
            <w:tcW w:type="dxa" w:w="2041"/>
            <w:shd w:val="clear" w:color="auto" w:fill="F3F8FB"/>
          </w:tcPr>
          <w:p>
            <w:r/>
            <w:r>
              <w:rPr>
                <w:sz w:val="20"/>
              </w:rPr>
              <w:t>0,5800000000000000</w:t>
            </w:r>
          </w:p>
        </w:tc>
      </w:tr>
      <w:tr>
        <w:tc>
          <w:tcPr>
            <w:tcW w:type="dxa" w:w="1701"/>
          </w:tcPr>
          <w:p>
            <w:r/>
            <w:r>
              <w:rPr>
                <w:sz w:val="20"/>
              </w:rPr>
              <w:t>2027Q1</w:t>
            </w:r>
          </w:p>
        </w:tc>
        <w:tc>
          <w:tcPr>
            <w:tcW w:type="dxa" w:w="1928"/>
          </w:tcPr>
          <w:p>
            <w:r/>
            <w:r>
              <w:rPr>
                <w:sz w:val="20"/>
              </w:rPr>
              <w:t>6,0</w:t>
            </w:r>
          </w:p>
        </w:tc>
        <w:tc>
          <w:tcPr>
            <w:tcW w:type="dxa" w:w="1928"/>
          </w:tcPr>
          <w:p>
            <w:r/>
            <w:r>
              <w:rPr>
                <w:sz w:val="20"/>
              </w:rPr>
              <w:t>19,0</w:t>
            </w:r>
          </w:p>
        </w:tc>
        <w:tc>
          <w:tcPr>
            <w:tcW w:type="dxa" w:w="1928"/>
          </w:tcPr>
          <w:p>
            <w:r/>
            <w:r>
              <w:rPr>
                <w:sz w:val="20"/>
              </w:rPr>
              <w:t>−20,0</w:t>
            </w:r>
          </w:p>
        </w:tc>
        <w:tc>
          <w:tcPr>
            <w:tcW w:type="dxa" w:w="2041"/>
          </w:tcPr>
          <w:p>
            <w:r/>
            <w:r>
              <w:rPr>
                <w:sz w:val="20"/>
              </w:rPr>
              <w:t>34,0</w:t>
            </w:r>
          </w:p>
        </w:tc>
      </w:tr>
      <w:tr>
        <w:tc>
          <w:tcPr>
            <w:tcW w:type="dxa" w:w="1701"/>
            <w:shd w:val="clear" w:color="auto" w:fill="F3F8FB"/>
          </w:tcPr>
          <w:p>
            <w:r/>
            <w:r>
              <w:rPr>
                <w:sz w:val="20"/>
              </w:rPr>
              <w:t>2027Q3</w:t>
            </w:r>
          </w:p>
        </w:tc>
        <w:tc>
          <w:tcPr>
            <w:tcW w:type="dxa" w:w="1928"/>
            <w:shd w:val="clear" w:color="auto" w:fill="F3F8FB"/>
          </w:tcPr>
          <w:p>
            <w:r/>
            <w:r>
              <w:rPr>
                <w:sz w:val="20"/>
              </w:rPr>
              <w:t>6,8</w:t>
            </w:r>
          </w:p>
        </w:tc>
        <w:tc>
          <w:tcPr>
            <w:tcW w:type="dxa" w:w="1928"/>
            <w:shd w:val="clear" w:color="auto" w:fill="F3F8FB"/>
          </w:tcPr>
          <w:p>
            <w:r/>
            <w:r>
              <w:rPr>
                <w:sz w:val="20"/>
              </w:rPr>
              <w:t>15,0</w:t>
            </w:r>
          </w:p>
        </w:tc>
        <w:tc>
          <w:tcPr>
            <w:tcW w:type="dxa" w:w="1928"/>
            <w:shd w:val="clear" w:color="auto" w:fill="F3F8FB"/>
          </w:tcPr>
          <w:p>
            <w:r/>
            <w:r>
              <w:rPr>
                <w:sz w:val="20"/>
              </w:rPr>
              <w:t>−7,6</w:t>
            </w:r>
          </w:p>
        </w:tc>
        <w:tc>
          <w:tcPr>
            <w:tcW w:type="dxa" w:w="2041"/>
            <w:shd w:val="clear" w:color="auto" w:fill="F3F8FB"/>
          </w:tcPr>
          <w:p>
            <w:r/>
            <w:r>
              <w:rPr>
                <w:sz w:val="20"/>
              </w:rPr>
              <w:t>70,0</w:t>
            </w:r>
          </w:p>
        </w:tc>
      </w:tr>
      <w:tr>
        <w:tc>
          <w:tcPr>
            <w:tcW w:type="dxa" w:w="1701"/>
          </w:tcPr>
          <w:p>
            <w:r/>
            <w:r>
              <w:rPr>
                <w:sz w:val="20"/>
              </w:rPr>
              <w:t>2027Q7</w:t>
            </w:r>
          </w:p>
        </w:tc>
        <w:tc>
          <w:tcPr>
            <w:tcW w:type="dxa" w:w="1928"/>
          </w:tcPr>
          <w:p>
            <w:r/>
            <w:r>
              <w:rPr>
                <w:sz w:val="20"/>
              </w:rPr>
              <w:t>14,0</w:t>
            </w:r>
          </w:p>
        </w:tc>
        <w:tc>
          <w:tcPr>
            <w:tcW w:type="dxa" w:w="1928"/>
          </w:tcPr>
          <w:p>
            <w:r/>
            <w:r>
              <w:rPr>
                <w:sz w:val="20"/>
              </w:rPr>
              <w:t>20,0</w:t>
            </w:r>
          </w:p>
        </w:tc>
        <w:tc>
          <w:tcPr>
            <w:tcW w:type="dxa" w:w="1928"/>
          </w:tcPr>
          <w:p>
            <w:r/>
            <w:r>
              <w:rPr>
                <w:sz w:val="20"/>
              </w:rPr>
              <w:t>−13,0</w:t>
            </w:r>
          </w:p>
        </w:tc>
        <w:tc>
          <w:tcPr>
            <w:tcW w:type="dxa" w:w="2041"/>
          </w:tcPr>
          <w:p>
            <w:r/>
            <w:r>
              <w:rPr>
                <w:sz w:val="20"/>
              </w:rPr>
              <w:t>49,0</w:t>
            </w:r>
          </w:p>
        </w:tc>
      </w:tr>
      <w:tr>
        <w:tc>
          <w:tcPr>
            <w:tcW w:type="dxa" w:w="1701"/>
            <w:shd w:val="clear" w:color="auto" w:fill="F3F8FB"/>
          </w:tcPr>
          <w:p>
            <w:r/>
            <w:r>
              <w:rPr>
                <w:sz w:val="20"/>
              </w:rPr>
              <w:t>2027Q3</w:t>
            </w:r>
          </w:p>
        </w:tc>
        <w:tc>
          <w:tcPr>
            <w:tcW w:type="dxa" w:w="1928"/>
            <w:shd w:val="clear" w:color="auto" w:fill="F3F8FB"/>
          </w:tcPr>
          <w:p>
            <w:r/>
            <w:r>
              <w:rPr>
                <w:sz w:val="20"/>
              </w:rPr>
              <w:t>16,0</w:t>
            </w:r>
          </w:p>
        </w:tc>
        <w:tc>
          <w:tcPr>
            <w:tcW w:type="dxa" w:w="1928"/>
            <w:shd w:val="clear" w:color="auto" w:fill="F3F8FB"/>
          </w:tcPr>
          <w:p>
            <w:r/>
            <w:r>
              <w:rPr>
                <w:sz w:val="20"/>
              </w:rPr>
              <w:t>14,0</w:t>
            </w:r>
          </w:p>
        </w:tc>
        <w:tc>
          <w:tcPr>
            <w:tcW w:type="dxa" w:w="1928"/>
            <w:shd w:val="clear" w:color="auto" w:fill="F3F8FB"/>
          </w:tcPr>
          <w:p>
            <w:r/>
            <w:r>
              <w:rPr>
                <w:sz w:val="20"/>
              </w:rPr>
              <w:t>−9,7</w:t>
            </w:r>
          </w:p>
        </w:tc>
        <w:tc>
          <w:tcPr>
            <w:tcW w:type="dxa" w:w="2041"/>
            <w:shd w:val="clear" w:color="auto" w:fill="F3F8FB"/>
          </w:tcPr>
          <w:p>
            <w:r/>
            <w:r>
              <w:rPr>
                <w:sz w:val="20"/>
              </w:rPr>
              <w:t>27,0</w:t>
            </w:r>
          </w:p>
        </w:tc>
      </w:tr>
      <w:tr>
        <w:tc>
          <w:tcPr>
            <w:tcW w:type="dxa" w:w="1701"/>
          </w:tcPr>
          <w:p>
            <w:r/>
            <w:r>
              <w:rPr>
                <w:sz w:val="20"/>
              </w:rPr>
              <w:t>2028Q1</w:t>
            </w:r>
          </w:p>
        </w:tc>
        <w:tc>
          <w:tcPr>
            <w:tcW w:type="dxa" w:w="1928"/>
          </w:tcPr>
          <w:p>
            <w:r/>
            <w:r>
              <w:rPr>
                <w:sz w:val="20"/>
              </w:rPr>
              <w:t>25,0</w:t>
            </w:r>
          </w:p>
        </w:tc>
        <w:tc>
          <w:tcPr>
            <w:tcW w:type="dxa" w:w="1928"/>
          </w:tcPr>
          <w:p>
            <w:r/>
            <w:r>
              <w:rPr>
                <w:sz w:val="20"/>
              </w:rPr>
              <w:t>40,0</w:t>
            </w:r>
          </w:p>
        </w:tc>
        <w:tc>
          <w:tcPr>
            <w:tcW w:type="dxa" w:w="1928"/>
          </w:tcPr>
          <w:p>
            <w:r/>
            <w:r>
              <w:rPr>
                <w:sz w:val="20"/>
              </w:rPr>
              <w:t>−6,5</w:t>
            </w:r>
          </w:p>
        </w:tc>
        <w:tc>
          <w:tcPr>
            <w:tcW w:type="dxa" w:w="2041"/>
          </w:tcPr>
          <w:p>
            <w:r/>
            <w:r>
              <w:rPr>
                <w:sz w:val="20"/>
              </w:rPr>
              <w:t>24,0</w:t>
            </w:r>
          </w:p>
        </w:tc>
      </w:tr>
      <w:tr>
        <w:tc>
          <w:tcPr>
            <w:tcW w:type="dxa" w:w="1701"/>
            <w:shd w:val="clear" w:color="auto" w:fill="F3F8FB"/>
          </w:tcPr>
          <w:p>
            <w:r/>
            <w:r>
              <w:rPr>
                <w:sz w:val="20"/>
              </w:rPr>
              <w:t>2028Q3</w:t>
            </w:r>
          </w:p>
        </w:tc>
        <w:tc>
          <w:tcPr>
            <w:tcW w:type="dxa" w:w="1928"/>
            <w:shd w:val="clear" w:color="auto" w:fill="F3F8FB"/>
          </w:tcPr>
          <w:p>
            <w:r/>
            <w:r>
              <w:rPr>
                <w:sz w:val="20"/>
              </w:rPr>
              <w:t>38,0</w:t>
            </w:r>
          </w:p>
        </w:tc>
        <w:tc>
          <w:tcPr>
            <w:tcW w:type="dxa" w:w="1928"/>
            <w:shd w:val="clear" w:color="auto" w:fill="F3F8FB"/>
          </w:tcPr>
          <w:p>
            <w:r/>
            <w:r>
              <w:rPr>
                <w:sz w:val="20"/>
              </w:rPr>
              <w:t>55,0</w:t>
            </w:r>
          </w:p>
        </w:tc>
        <w:tc>
          <w:tcPr>
            <w:tcW w:type="dxa" w:w="1928"/>
            <w:shd w:val="clear" w:color="auto" w:fill="F3F8FB"/>
          </w:tcPr>
          <w:p>
            <w:r/>
            <w:r>
              <w:rPr>
                <w:sz w:val="20"/>
              </w:rPr>
              <w:t>−1,9</w:t>
            </w:r>
          </w:p>
        </w:tc>
        <w:tc>
          <w:tcPr>
            <w:tcW w:type="dxa" w:w="2041"/>
            <w:shd w:val="clear" w:color="auto" w:fill="F3F8FB"/>
          </w:tcPr>
          <w:p>
            <w:r/>
            <w:r>
              <w:rPr>
                <w:sz w:val="20"/>
              </w:rPr>
              <w:t>26,0</w:t>
            </w:r>
          </w:p>
        </w:tc>
      </w:tr>
      <w:tr>
        <w:tc>
          <w:tcPr>
            <w:tcW w:type="dxa" w:w="1701"/>
          </w:tcPr>
          <w:p>
            <w:r/>
            <w:r>
              <w:rPr>
                <w:sz w:val="20"/>
              </w:rPr>
              <w:t>2028Q7</w:t>
            </w:r>
          </w:p>
        </w:tc>
        <w:tc>
          <w:tcPr>
            <w:tcW w:type="dxa" w:w="1928"/>
          </w:tcPr>
          <w:p>
            <w:r/>
            <w:r>
              <w:rPr>
                <w:sz w:val="20"/>
              </w:rPr>
              <w:t>64,0</w:t>
            </w:r>
          </w:p>
        </w:tc>
        <w:tc>
          <w:tcPr>
            <w:tcW w:type="dxa" w:w="1928"/>
          </w:tcPr>
          <w:p>
            <w:r/>
            <w:r>
              <w:rPr>
                <w:sz w:val="20"/>
              </w:rPr>
              <w:t>35,0</w:t>
            </w:r>
          </w:p>
        </w:tc>
        <w:tc>
          <w:tcPr>
            <w:tcW w:type="dxa" w:w="1928"/>
          </w:tcPr>
          <w:p>
            <w:r/>
            <w:r>
              <w:rPr>
                <w:sz w:val="20"/>
              </w:rPr>
              <w:t>+6,0</w:t>
            </w:r>
          </w:p>
        </w:tc>
        <w:tc>
          <w:tcPr>
            <w:tcW w:type="dxa" w:w="2041"/>
          </w:tcPr>
          <w:p>
            <w:r/>
            <w:r>
              <w:rPr>
                <w:sz w:val="20"/>
              </w:rPr>
              <w:t>49,0</w:t>
            </w:r>
          </w:p>
        </w:tc>
      </w:tr>
      <w:tr>
        <w:tc>
          <w:tcPr>
            <w:tcW w:type="dxa" w:w="1701"/>
            <w:shd w:val="clear" w:color="auto" w:fill="F3F8FB"/>
          </w:tcPr>
          <w:p>
            <w:r/>
            <w:r>
              <w:rPr>
                <w:sz w:val="20"/>
              </w:rPr>
              <w:t>2028Q3</w:t>
            </w:r>
          </w:p>
        </w:tc>
        <w:tc>
          <w:tcPr>
            <w:tcW w:type="dxa" w:w="1928"/>
            <w:shd w:val="clear" w:color="auto" w:fill="F3F8FB"/>
          </w:tcPr>
          <w:p>
            <w:r/>
            <w:r>
              <w:rPr>
                <w:sz w:val="20"/>
              </w:rPr>
              <w:t>92,0</w:t>
            </w:r>
          </w:p>
        </w:tc>
        <w:tc>
          <w:tcPr>
            <w:tcW w:type="dxa" w:w="1928"/>
            <w:shd w:val="clear" w:color="auto" w:fill="F3F8FB"/>
          </w:tcPr>
          <w:p>
            <w:r/>
            <w:r>
              <w:rPr>
                <w:sz w:val="20"/>
              </w:rPr>
              <w:t>31,0</w:t>
            </w:r>
          </w:p>
        </w:tc>
        <w:tc>
          <w:tcPr>
            <w:tcW w:type="dxa" w:w="1928"/>
            <w:shd w:val="clear" w:color="auto" w:fill="F3F8FB"/>
          </w:tcPr>
          <w:p>
            <w:r/>
            <w:r>
              <w:rPr>
                <w:sz w:val="20"/>
              </w:rPr>
              <w:t>+23,0</w:t>
            </w:r>
          </w:p>
        </w:tc>
        <w:tc>
          <w:tcPr>
            <w:tcW w:type="dxa" w:w="2041"/>
            <w:shd w:val="clear" w:color="auto" w:fill="F3F8FB"/>
          </w:tcPr>
          <w:p>
            <w:r/>
            <w:r>
              <w:rPr>
                <w:sz w:val="20"/>
              </w:rPr>
              <w:t>35,0</w:t>
            </w:r>
          </w:p>
        </w:tc>
      </w:tr>
      <w:tr>
        <w:tc>
          <w:tcPr>
            <w:tcW w:type="dxa" w:w="1701"/>
          </w:tcPr>
          <w:p>
            <w:r/>
            <w:r>
              <w:rPr>
                <w:sz w:val="20"/>
              </w:rPr>
              <w:t>2029Q1</w:t>
            </w:r>
          </w:p>
        </w:tc>
        <w:tc>
          <w:tcPr>
            <w:tcW w:type="dxa" w:w="1928"/>
          </w:tcPr>
          <w:p>
            <w:r/>
            <w:r>
              <w:rPr>
                <w:sz w:val="20"/>
              </w:rPr>
              <w:t>61,0</w:t>
            </w:r>
          </w:p>
        </w:tc>
        <w:tc>
          <w:tcPr>
            <w:tcW w:type="dxa" w:w="1928"/>
          </w:tcPr>
          <w:p>
            <w:r/>
            <w:r>
              <w:rPr>
                <w:sz w:val="20"/>
              </w:rPr>
              <w:t>77,0</w:t>
            </w:r>
          </w:p>
        </w:tc>
        <w:tc>
          <w:tcPr>
            <w:tcW w:type="dxa" w:w="1928"/>
          </w:tcPr>
          <w:p>
            <w:r/>
            <w:r>
              <w:rPr>
                <w:sz w:val="20"/>
              </w:rPr>
              <w:t>−5,8</w:t>
            </w:r>
          </w:p>
        </w:tc>
        <w:tc>
          <w:tcPr>
            <w:tcW w:type="dxa" w:w="2041"/>
          </w:tcPr>
          <w:p>
            <w:r/>
            <w:r>
              <w:rPr>
                <w:sz w:val="20"/>
              </w:rPr>
              <w:t>23,000000000000000</w:t>
            </w:r>
          </w:p>
        </w:tc>
      </w:tr>
      <w:tr>
        <w:tc>
          <w:tcPr>
            <w:tcW w:type="dxa" w:w="1701"/>
            <w:shd w:val="clear" w:color="auto" w:fill="F3F8FB"/>
          </w:tcPr>
          <w:p>
            <w:r/>
            <w:r>
              <w:rPr>
                <w:sz w:val="20"/>
              </w:rPr>
              <w:t>2029Q3</w:t>
            </w:r>
          </w:p>
        </w:tc>
        <w:tc>
          <w:tcPr>
            <w:tcW w:type="dxa" w:w="1928"/>
            <w:shd w:val="clear" w:color="auto" w:fill="F3F8FB"/>
          </w:tcPr>
          <w:p>
            <w:r/>
            <w:r>
              <w:rPr>
                <w:sz w:val="20"/>
              </w:rPr>
              <w:t>93,0</w:t>
            </w:r>
          </w:p>
        </w:tc>
        <w:tc>
          <w:tcPr>
            <w:tcW w:type="dxa" w:w="1928"/>
            <w:shd w:val="clear" w:color="auto" w:fill="F3F8FB"/>
          </w:tcPr>
          <w:p>
            <w:r/>
            <w:r>
              <w:rPr>
                <w:sz w:val="20"/>
              </w:rPr>
              <w:t>84,0</w:t>
            </w:r>
          </w:p>
        </w:tc>
        <w:tc>
          <w:tcPr>
            <w:tcW w:type="dxa" w:w="1928"/>
            <w:shd w:val="clear" w:color="auto" w:fill="F3F8FB"/>
          </w:tcPr>
          <w:p>
            <w:r/>
            <w:r>
              <w:rPr>
                <w:sz w:val="20"/>
              </w:rPr>
              <w:t>+9,7</w:t>
            </w:r>
          </w:p>
        </w:tc>
        <w:tc>
          <w:tcPr>
            <w:tcW w:type="dxa" w:w="2041"/>
            <w:shd w:val="clear" w:color="auto" w:fill="F3F8FB"/>
          </w:tcPr>
          <w:p>
            <w:r/>
            <w:r>
              <w:rPr>
                <w:sz w:val="20"/>
              </w:rPr>
              <w:t>36,000000000000000</w:t>
            </w:r>
          </w:p>
        </w:tc>
      </w:tr>
      <w:tr>
        <w:tc>
          <w:tcPr>
            <w:tcW w:type="dxa" w:w="1701"/>
          </w:tcPr>
          <w:p>
            <w:r/>
            <w:r>
              <w:rPr>
                <w:sz w:val="20"/>
              </w:rPr>
              <w:t>2029Q7</w:t>
            </w:r>
          </w:p>
        </w:tc>
        <w:tc>
          <w:tcPr>
            <w:tcW w:type="dxa" w:w="1928"/>
          </w:tcPr>
          <w:p>
            <w:r/>
            <w:r>
              <w:rPr>
                <w:sz w:val="20"/>
              </w:rPr>
              <w:t>68,0</w:t>
            </w:r>
          </w:p>
        </w:tc>
        <w:tc>
          <w:tcPr>
            <w:tcW w:type="dxa" w:w="1928"/>
          </w:tcPr>
          <w:p>
            <w:r/>
            <w:r>
              <w:rPr>
                <w:sz w:val="20"/>
              </w:rPr>
              <w:t>50,0</w:t>
            </w:r>
          </w:p>
        </w:tc>
        <w:tc>
          <w:tcPr>
            <w:tcW w:type="dxa" w:w="1928"/>
          </w:tcPr>
          <w:p>
            <w:r/>
            <w:r>
              <w:rPr>
                <w:sz w:val="20"/>
              </w:rPr>
              <w:t>+16,0</w:t>
            </w:r>
          </w:p>
        </w:tc>
        <w:tc>
          <w:tcPr>
            <w:tcW w:type="dxa" w:w="2041"/>
          </w:tcPr>
          <w:p>
            <w:r/>
            <w:r>
              <w:rPr>
                <w:sz w:val="20"/>
              </w:rPr>
              <w:t>105,000000000000000</w:t>
            </w:r>
          </w:p>
        </w:tc>
      </w:tr>
      <w:tr>
        <w:tc>
          <w:tcPr>
            <w:tcW w:type="dxa" w:w="1701"/>
            <w:shd w:val="clear" w:color="auto" w:fill="F3F8FB"/>
          </w:tcPr>
          <w:p>
            <w:r/>
            <w:r>
              <w:rPr>
                <w:sz w:val="20"/>
              </w:rPr>
              <w:t>2029Q3</w:t>
            </w:r>
          </w:p>
        </w:tc>
        <w:tc>
          <w:tcPr>
            <w:tcW w:type="dxa" w:w="1928"/>
            <w:shd w:val="clear" w:color="auto" w:fill="F3F8FB"/>
          </w:tcPr>
          <w:p>
            <w:r/>
            <w:r>
              <w:rPr>
                <w:sz w:val="20"/>
              </w:rPr>
              <w:t>192,0</w:t>
            </w:r>
          </w:p>
        </w:tc>
        <w:tc>
          <w:tcPr>
            <w:tcW w:type="dxa" w:w="1928"/>
            <w:shd w:val="clear" w:color="auto" w:fill="F3F8FB"/>
          </w:tcPr>
          <w:p>
            <w:r/>
            <w:r>
              <w:rPr>
                <w:sz w:val="20"/>
              </w:rPr>
              <w:t>57,0</w:t>
            </w:r>
          </w:p>
        </w:tc>
        <w:tc>
          <w:tcPr>
            <w:tcW w:type="dxa" w:w="1928"/>
            <w:shd w:val="clear" w:color="auto" w:fill="F3F8FB"/>
          </w:tcPr>
          <w:p>
            <w:r/>
            <w:r>
              <w:rPr>
                <w:sz w:val="20"/>
              </w:rPr>
              <w:t>+77,0</w:t>
            </w:r>
          </w:p>
        </w:tc>
        <w:tc>
          <w:tcPr>
            <w:tcW w:type="dxa" w:w="2041"/>
            <w:shd w:val="clear" w:color="auto" w:fill="F3F8FB"/>
          </w:tcPr>
          <w:p>
            <w:r/>
            <w:r>
              <w:rPr>
                <w:sz w:val="20"/>
              </w:rPr>
              <w:t>99,0</w:t>
            </w:r>
          </w:p>
        </w:tc>
      </w:tr>
      <w:tr>
        <w:tc>
          <w:tcPr>
            <w:tcW w:type="dxa" w:w="1701"/>
          </w:tcPr>
          <w:p>
            <w:r/>
            <w:r>
              <w:rPr>
                <w:sz w:val="20"/>
              </w:rPr>
              <w:t>2030Q1</w:t>
            </w:r>
          </w:p>
        </w:tc>
        <w:tc>
          <w:tcPr>
            <w:tcW w:type="dxa" w:w="1928"/>
          </w:tcPr>
          <w:p>
            <w:r/>
            <w:r>
              <w:rPr>
                <w:sz w:val="20"/>
              </w:rPr>
              <w:t>90,0</w:t>
            </w:r>
          </w:p>
        </w:tc>
        <w:tc>
          <w:tcPr>
            <w:tcW w:type="dxa" w:w="1928"/>
          </w:tcPr>
          <w:p>
            <w:r/>
            <w:r>
              <w:rPr>
                <w:sz w:val="20"/>
              </w:rPr>
              <w:t>43,0</w:t>
            </w:r>
          </w:p>
        </w:tc>
        <w:tc>
          <w:tcPr>
            <w:tcW w:type="dxa" w:w="1928"/>
          </w:tcPr>
          <w:p>
            <w:r/>
            <w:r>
              <w:rPr>
                <w:sz w:val="20"/>
              </w:rPr>
              <w:t>+0,7</w:t>
            </w:r>
          </w:p>
        </w:tc>
        <w:tc>
          <w:tcPr>
            <w:tcW w:type="dxa" w:w="2041"/>
          </w:tcPr>
          <w:p>
            <w:r/>
            <w:r>
              <w:rPr>
                <w:sz w:val="20"/>
              </w:rPr>
              <w:t>135,00000000000000</w:t>
            </w:r>
          </w:p>
        </w:tc>
      </w:tr>
      <w:tr>
        <w:tc>
          <w:tcPr>
            <w:tcW w:type="dxa" w:w="1701"/>
            <w:shd w:val="clear" w:color="auto" w:fill="F3F8FB"/>
          </w:tcPr>
          <w:p>
            <w:r/>
            <w:r>
              <w:rPr>
                <w:sz w:val="20"/>
              </w:rPr>
              <w:t>2030Q3</w:t>
            </w:r>
          </w:p>
        </w:tc>
        <w:tc>
          <w:tcPr>
            <w:tcW w:type="dxa" w:w="1928"/>
            <w:shd w:val="clear" w:color="auto" w:fill="F3F8FB"/>
          </w:tcPr>
          <w:p>
            <w:r/>
            <w:r>
              <w:rPr>
                <w:sz w:val="20"/>
              </w:rPr>
              <w:t>46,0</w:t>
            </w:r>
          </w:p>
        </w:tc>
        <w:tc>
          <w:tcPr>
            <w:tcW w:type="dxa" w:w="1928"/>
            <w:shd w:val="clear" w:color="auto" w:fill="F3F8FB"/>
          </w:tcPr>
          <w:p>
            <w:r/>
            <w:r>
              <w:rPr>
                <w:sz w:val="20"/>
              </w:rPr>
              <w:t>55,0</w:t>
            </w:r>
          </w:p>
        </w:tc>
        <w:tc>
          <w:tcPr>
            <w:tcW w:type="dxa" w:w="1928"/>
            <w:shd w:val="clear" w:color="auto" w:fill="F3F8FB"/>
          </w:tcPr>
          <w:p>
            <w:r/>
            <w:r>
              <w:rPr>
                <w:sz w:val="20"/>
              </w:rPr>
              <w:t>+24,0</w:t>
            </w:r>
          </w:p>
        </w:tc>
        <w:tc>
          <w:tcPr>
            <w:tcW w:type="dxa" w:w="2041"/>
            <w:shd w:val="clear" w:color="auto" w:fill="F3F8FB"/>
          </w:tcPr>
          <w:p>
            <w:r/>
            <w:r>
              <w:rPr>
                <w:sz w:val="20"/>
              </w:rPr>
              <w:t>269,0</w:t>
            </w:r>
          </w:p>
        </w:tc>
      </w:tr>
      <w:tr>
        <w:tc>
          <w:tcPr>
            <w:tcW w:type="dxa" w:w="1701"/>
          </w:tcPr>
          <w:p>
            <w:r/>
            <w:r>
              <w:rPr>
                <w:sz w:val="20"/>
              </w:rPr>
              <w:t>2030Q7</w:t>
            </w:r>
          </w:p>
        </w:tc>
        <w:tc>
          <w:tcPr>
            <w:tcW w:type="dxa" w:w="1928"/>
          </w:tcPr>
          <w:p>
            <w:r/>
            <w:r>
              <w:rPr>
                <w:sz w:val="20"/>
              </w:rPr>
              <w:t>130,0</w:t>
            </w:r>
          </w:p>
        </w:tc>
        <w:tc>
          <w:tcPr>
            <w:tcW w:type="dxa" w:w="1928"/>
          </w:tcPr>
          <w:p>
            <w:r/>
            <w:r>
              <w:rPr>
                <w:sz w:val="20"/>
              </w:rPr>
              <w:t>90,0</w:t>
            </w:r>
          </w:p>
        </w:tc>
        <w:tc>
          <w:tcPr>
            <w:tcW w:type="dxa" w:w="1928"/>
          </w:tcPr>
          <w:p>
            <w:r/>
            <w:r>
              <w:rPr>
                <w:sz w:val="20"/>
              </w:rPr>
              <w:t>+41,0</w:t>
            </w:r>
          </w:p>
        </w:tc>
        <w:tc>
          <w:tcPr>
            <w:tcW w:type="dxa" w:w="2041"/>
          </w:tcPr>
          <w:p>
            <w:r/>
            <w:r>
              <w:rPr>
                <w:sz w:val="20"/>
              </w:rPr>
              <w:t>306,00000000000000</w:t>
            </w:r>
          </w:p>
        </w:tc>
      </w:tr>
      <w:tr>
        <w:tc>
          <w:tcPr>
            <w:tcW w:type="dxa" w:w="1701"/>
            <w:shd w:val="clear" w:color="auto" w:fill="F3F8FB"/>
          </w:tcPr>
          <w:p>
            <w:r/>
            <w:r>
              <w:rPr>
                <w:sz w:val="20"/>
              </w:rPr>
              <w:t>2030Q3</w:t>
            </w:r>
          </w:p>
        </w:tc>
        <w:tc>
          <w:tcPr>
            <w:tcW w:type="dxa" w:w="1928"/>
            <w:shd w:val="clear" w:color="auto" w:fill="F3F8FB"/>
          </w:tcPr>
          <w:p>
            <w:r/>
            <w:r>
              <w:rPr>
                <w:sz w:val="20"/>
              </w:rPr>
              <w:t>322,0</w:t>
            </w:r>
          </w:p>
        </w:tc>
        <w:tc>
          <w:tcPr>
            <w:tcW w:type="dxa" w:w="1928"/>
            <w:shd w:val="clear" w:color="auto" w:fill="F3F8FB"/>
          </w:tcPr>
          <w:p>
            <w:r/>
            <w:r>
              <w:rPr>
                <w:sz w:val="20"/>
              </w:rPr>
              <w:t>140,0</w:t>
            </w:r>
          </w:p>
        </w:tc>
        <w:tc>
          <w:tcPr>
            <w:tcW w:type="dxa" w:w="1928"/>
            <w:shd w:val="clear" w:color="auto" w:fill="F3F8FB"/>
          </w:tcPr>
          <w:p>
            <w:r/>
            <w:r>
              <w:rPr>
                <w:sz w:val="20"/>
              </w:rPr>
              <w:t>+72,2</w:t>
            </w:r>
          </w:p>
        </w:tc>
        <w:tc>
          <w:tcPr>
            <w:tcW w:type="dxa" w:w="2041"/>
            <w:shd w:val="clear" w:color="auto" w:fill="F3F8FB"/>
          </w:tcPr>
          <w:p>
            <w:r/>
            <w:r>
              <w:rPr>
                <w:sz w:val="20"/>
              </w:rPr>
              <w:t>412,0</w:t>
            </w:r>
          </w:p>
        </w:tc>
      </w:tr>
    </w:tbl>
    <w:p/>
    <w:p>
      <w:r>
        <w:rPr>
          <w:i/>
          <w:color w:val="5A6A7A"/>
          <w:sz w:val="18"/>
        </w:rPr>
        <w:t>Остаток ДС учитывает раунды и гранты по фактическим кварталам поступления (Seed Q1 2026, Series A Q1 2027, гранты 2026Q3/2027Q3/2028Q1/2029Q1/2030Q1). Суммы кварталов = годовым с точностью до округления.</w:t>
      </w:r>
    </w:p>
    <w:p>
      <w:pPr>
        <w:pStyle w:val="Heading3"/>
      </w:pPr>
      <w:r>
        <w:t>A.2. Методика оценки доходности инвестора</w:t>
      </w:r>
    </w:p>
    <w:p>
      <w:pPr>
        <w:pStyle w:val="ListBullet"/>
        <w:ind w:left="340"/>
      </w:pPr>
      <w:r>
        <w:t>сценарий выхода 2031 г.; оценка стоимости по мультипликатору EV/EBITDA к EBITDA 2031 (320 млн ₽ в базе) в диапазоне 8–14× (база 6,5×);</w:t>
      </w:r>
    </w:p>
    <w:p>
      <w:pPr>
        <w:pStyle w:val="ListBullet"/>
        <w:ind w:left="340"/>
      </w:pPr>
      <w:r>
        <w:t>IRR считается для денежных потоков инвестора: вклад раунда как отрицательный поток на дату закрытия, выручка от продажи доли + дивиденды (в базе отсутствуют) — на дату exit;</w:t>
      </w:r>
    </w:p>
    <w:p>
      <w:pPr>
        <w:pStyle w:val="ListBullet"/>
        <w:ind w:left="340"/>
      </w:pPr>
      <w:r>
        <w:t>NPV при ставке дисконтирования 17% (премия за венчурный риск ниши); чувствительность к мультипликатору и сроку exit — на листе «Инвестор»;</w:t>
      </w:r>
    </w:p>
    <w:p>
      <w:pPr>
        <w:pStyle w:val="ListBullet"/>
        <w:ind w:left="340"/>
      </w:pPr>
      <w:r>
        <w:t>контрольная сумма: NPV(S) ≈ 94,0 млн ₽ (при базах 58 млн ₽ вложений), IRR(S) ≈ 34%, MOIC 6,1×.</w:t>
      </w:r>
    </w:p>
    <w:p>
      <w:pPr>
        <w:pStyle w:val="Heading3"/>
      </w:pPr>
      <w:r>
        <w:t>A.2. Верификация цифр</w:t>
      </w:r>
    </w:p>
    <w:p>
      <w:pPr>
        <w:pStyle w:val="ListBullet"/>
        <w:ind w:left="340"/>
      </w:pPr>
      <w:r>
        <w:t>баланс построен по правилу «активы = ДС + НМА»; пассивы = УК + гранты + нераспределённая прибыль + налоги; суммарный дисбаланс на всех 8 годах = 1;</w:t>
      </w:r>
    </w:p>
    <w:p>
      <w:pPr>
        <w:pStyle w:val="ListBullet"/>
        <w:ind w:left="340"/>
      </w:pPr>
      <w:r>
        <w:t>простая проверка ряда: EBITDA 2030 = 1352,2 − 389,0 = 963,2; EBITDA-маржа 77,0%; накопленный налог к 2030 г. = 9,1 млн ₽;</w:t>
      </w:r>
    </w:p>
    <w:p>
      <w:pPr>
        <w:pStyle w:val="ListBullet"/>
        <w:ind w:left="340"/>
      </w:pPr>
      <w:r>
        <w:t>квартальная сезонность F3/Выручка = 59%, Q1/Q3/Q7/Q3 EBITDA = из квартальной PnL (лист PnL_Кв).</w:t>
      </w:r>
    </w:p>
    <w:p>
      <w:pPr>
        <w:pStyle w:val="Heading2"/>
      </w:pPr>
      <w:r>
        <w:t>B. Комплект РИД и оценки ИС</w:t>
      </w:r>
    </w:p>
    <w:p>
      <w:pPr>
        <w:pStyle w:val="ListBullet"/>
        <w:ind w:left="340"/>
      </w:pPr>
      <w:r>
        <w:t>РИС Свидетельство № 40-2161-967 от 30.03.2026; депонирования NCAC; ПОЭВМ-свидетельства; товарные знаки; отчёт оценщика (78 млн ₽).</w:t>
      </w:r>
    </w:p>
    <w:p>
      <w:pPr>
        <w:pStyle w:val="Heading2"/>
      </w:pPr>
      <w:r>
        <w:t>C. Контактные данные</w:t>
      </w:r>
    </w:p>
    <w:p>
      <w:pPr>
        <w:pStyle w:val="ListBullet"/>
        <w:ind w:left="340"/>
      </w:pPr>
      <w:r>
        <w:t>Петрушина М. В., ООО «МедТехПрима»; проект VitaGen-AI; [контакты направляются адресно при подписании NDA].</w:t>
      </w:r>
    </w:p>
    <w:p>
      <w:pPr>
        <w:pStyle w:val="Heading2"/>
      </w:pPr>
      <w:r>
        <w:t>D. Дисклеймер и конфиденциальность</w:t>
      </w:r>
    </w:p>
    <w:p>
      <w:pPr>
        <w:pStyle w:val="ListBullet"/>
        <w:ind w:left="340"/>
      </w:pPr>
      <w:r>
        <w:t>Настоящий документ носит информационный характер, не является публичной офертой (ст. 1002 ГК РФ) и не содержит гарантий результата инвестирования. Финансовые прогнозы основаны на допущениях, описанных в разделе 26 и Приложении А; фактические результаты могут отличаться. Документ содержит ДЕМО (цифры вымышлены) и передаётся исключительно авторизованным получателям с обязательством о неразглашении.</w:t>
      </w:r>
    </w:p>
    <w:p>
      <w:pPr>
        <w:pStyle w:val="Heading2"/>
      </w:pPr>
      <w:r>
        <w:t>E. Источники и исследовательская база (сводно)</w:t>
      </w:r>
    </w:p>
    <w:p>
      <w:pPr>
        <w:pStyle w:val="ListBullet"/>
        <w:ind w:left="340"/>
      </w:pPr>
      <w:r>
        <w:t>Федеральный регистр ВРТ Минздрава РФ; Росстат (демография, СКР); ВОЗ (бесплодие, статистика);</w:t>
      </w:r>
    </w:p>
    <w:p>
      <w:pPr>
        <w:pStyle w:val="ListBullet"/>
        <w:ind w:left="340"/>
      </w:pPr>
      <w:r>
        <w:t>Приказ Минздрава по ОМС-квотам ВРТ; региональные тарифы ОМС; нацпроект «Семья» (Указ Президента № 309 от 07.05.2024);</w:t>
      </w:r>
    </w:p>
    <w:p>
      <w:pPr>
        <w:pStyle w:val="ListBullet"/>
        <w:ind w:left="340"/>
      </w:pPr>
      <w:r>
        <w:t>обзоры ИИ в репродуктивной медицине 2024–2025 (обоснование эффекта мультимодальности и AUC);</w:t>
      </w:r>
    </w:p>
    <w:p>
      <w:pPr>
        <w:pStyle w:val="ListBullet"/>
        <w:ind w:left="340"/>
      </w:pPr>
      <w:r>
        <w:t>открытые данные клиник ВРТ (прайсы, рейтинги по CLBR); конференции РОРЧ, ESHRE, ASRM;</w:t>
      </w:r>
    </w:p>
    <w:p>
      <w:pPr>
        <w:pStyle w:val="ListBullet"/>
        <w:ind w:left="340"/>
      </w:pPr>
      <w:r>
        <w:t>нормативная база: 152-ФЗ, 180-ФЗ (ВРТ), 323-ФЗ (меддеятельность), правила регистрации МИ Росздравнадзора, Правила медицинских изделий ИИ (Минздрав), PIPL/NMPA (КНР), постановления по Реестру российского ПО.</w:t>
      </w:r>
    </w:p>
    <w:p>
      <w:pPr>
        <w:pStyle w:val="Heading2"/>
      </w:pPr>
      <w:r>
        <w:t>F. Комплект прилагаемых документов и следующий шаг</w:t>
      </w:r>
    </w:p>
    <w:tbl>
      <w:tblPr>
        <w:tblStyle w:val="TableGrid"/>
        <w:tblW w:type="auto" w:w="0"/>
        <w:jc w:val="center"/>
        <w:tblLook w:firstColumn="1" w:firstRow="1" w:lastColumn="0" w:lastRow="0" w:noHBand="0" w:noVBand="1" w:val="04A0"/>
      </w:tblPr>
      <w:tblGrid>
        <w:gridCol w:w="4819"/>
        <w:gridCol w:w="4819"/>
      </w:tblGrid>
      <w:tr>
        <w:tc>
          <w:tcPr>
            <w:tcW w:type="dxa" w:w="6236"/>
            <w:shd w:val="clear" w:color="auto" w:fill="0B3D5C"/>
          </w:tcPr>
          <w:p>
            <w:r/>
            <w:r>
              <w:rPr>
                <w:b/>
                <w:color w:val="FFFFFF"/>
                <w:sz w:val="20"/>
              </w:rPr>
              <w:t>Документ</w:t>
            </w:r>
          </w:p>
        </w:tc>
        <w:tc>
          <w:tcPr>
            <w:tcW w:type="dxa" w:w="2835"/>
            <w:shd w:val="clear" w:color="auto" w:fill="0B3D5C"/>
          </w:tcPr>
          <w:p>
            <w:r/>
            <w:r>
              <w:rPr>
                <w:b/>
                <w:color w:val="FFFFFF"/>
                <w:sz w:val="20"/>
              </w:rPr>
              <w:t>Статус</w:t>
            </w:r>
          </w:p>
        </w:tc>
      </w:tr>
      <w:tr>
        <w:tc>
          <w:tcPr>
            <w:tcW w:type="dxa" w:w="6236"/>
          </w:tcPr>
          <w:p>
            <w:r/>
            <w:r>
              <w:rPr>
                <w:sz w:val="20"/>
              </w:rPr>
              <w:t>Настоящий бизнес-план (расширенный)</w:t>
            </w:r>
          </w:p>
        </w:tc>
        <w:tc>
          <w:tcPr>
            <w:tcW w:type="dxa" w:w="2835"/>
          </w:tcPr>
          <w:p>
            <w:r/>
            <w:r>
              <w:rPr>
                <w:sz w:val="20"/>
              </w:rPr>
              <w:t>предоставлен</w:t>
            </w:r>
          </w:p>
        </w:tc>
      </w:tr>
      <w:tr>
        <w:tc>
          <w:tcPr>
            <w:tcW w:type="dxa" w:w="6236"/>
            <w:shd w:val="clear" w:color="auto" w:fill="F3F8FB"/>
          </w:tcPr>
          <w:p>
            <w:r/>
            <w:r>
              <w:rPr>
                <w:sz w:val="20"/>
              </w:rPr>
              <w:t>Финансовая модель (32 листов, редактируемая)</w:t>
            </w:r>
          </w:p>
        </w:tc>
        <w:tc>
          <w:tcPr>
            <w:tcW w:type="dxa" w:w="2835"/>
            <w:shd w:val="clear" w:color="auto" w:fill="F3F8FB"/>
          </w:tcPr>
          <w:p>
            <w:r/>
            <w:r>
              <w:rPr>
                <w:sz w:val="20"/>
              </w:rPr>
              <w:t>предоставлена</w:t>
            </w:r>
          </w:p>
        </w:tc>
      </w:tr>
      <w:tr>
        <w:tc>
          <w:tcPr>
            <w:tcW w:type="dxa" w:w="6236"/>
          </w:tcPr>
          <w:p>
            <w:r/>
            <w:r>
              <w:rPr>
                <w:sz w:val="20"/>
              </w:rPr>
              <w:t>Инвестиционная презентация (краткая)</w:t>
            </w:r>
          </w:p>
        </w:tc>
        <w:tc>
          <w:tcPr>
            <w:tcW w:type="dxa" w:w="2835"/>
          </w:tcPr>
          <w:p>
            <w:r/>
            <w:r>
              <w:rPr>
                <w:sz w:val="20"/>
              </w:rPr>
              <w:t>предоставлена</w:t>
            </w:r>
          </w:p>
        </w:tc>
      </w:tr>
      <w:tr>
        <w:tc>
          <w:tcPr>
            <w:tcW w:type="dxa" w:w="6236"/>
            <w:shd w:val="clear" w:color="auto" w:fill="F3F8FB"/>
          </w:tcPr>
          <w:p>
            <w:r/>
            <w:r>
              <w:rPr>
                <w:sz w:val="20"/>
              </w:rPr>
              <w:t>Свидетельство РИС и депонирования</w:t>
            </w:r>
          </w:p>
        </w:tc>
        <w:tc>
          <w:tcPr>
            <w:tcW w:type="dxa" w:w="2835"/>
            <w:shd w:val="clear" w:color="auto" w:fill="F3F8FB"/>
          </w:tcPr>
          <w:p>
            <w:r/>
            <w:r>
              <w:rPr>
                <w:sz w:val="20"/>
              </w:rPr>
              <w:t>предоставлено по NDA</w:t>
            </w:r>
          </w:p>
        </w:tc>
      </w:tr>
      <w:tr>
        <w:tc>
          <w:tcPr>
            <w:tcW w:type="dxa" w:w="6236"/>
          </w:tcPr>
          <w:p>
            <w:r/>
            <w:r>
              <w:rPr>
                <w:sz w:val="20"/>
              </w:rPr>
              <w:t>Расчёт оценки ИС (краткий) / полный отчёт</w:t>
            </w:r>
          </w:p>
        </w:tc>
        <w:tc>
          <w:tcPr>
            <w:tcW w:type="dxa" w:w="2835"/>
          </w:tcPr>
          <w:p>
            <w:r/>
            <w:r>
              <w:rPr>
                <w:sz w:val="20"/>
              </w:rPr>
              <w:t>краткий по NDA; полный — по LOI</w:t>
            </w:r>
          </w:p>
        </w:tc>
      </w:tr>
      <w:tr>
        <w:tc>
          <w:tcPr>
            <w:tcW w:type="dxa" w:w="6236"/>
            <w:shd w:val="clear" w:color="auto" w:fill="F3F8FB"/>
          </w:tcPr>
          <w:p>
            <w:r/>
            <w:r>
              <w:rPr>
                <w:sz w:val="20"/>
              </w:rPr>
              <w:t>Прототип/демо платформы</w:t>
            </w:r>
          </w:p>
        </w:tc>
        <w:tc>
          <w:tcPr>
            <w:tcW w:type="dxa" w:w="2835"/>
            <w:shd w:val="clear" w:color="auto" w:fill="F3F8FB"/>
          </w:tcPr>
          <w:p>
            <w:r/>
            <w:r>
              <w:rPr>
                <w:sz w:val="20"/>
              </w:rPr>
              <w:t>по NDA</w:t>
            </w:r>
          </w:p>
        </w:tc>
      </w:tr>
      <w:tr>
        <w:tc>
          <w:tcPr>
            <w:tcW w:type="dxa" w:w="6236"/>
          </w:tcPr>
          <w:p>
            <w:r/>
            <w:r>
              <w:rPr>
                <w:sz w:val="20"/>
              </w:rPr>
              <w:t>Дорожная карта «следующие 61 дней» после договорённости</w:t>
            </w:r>
          </w:p>
        </w:tc>
        <w:tc>
          <w:tcPr>
            <w:tcW w:type="dxa" w:w="2835"/>
          </w:tcPr>
          <w:p>
            <w:r/>
            <w:r>
              <w:rPr>
                <w:sz w:val="20"/>
              </w:rPr>
              <w:t>готовится</w:t>
            </w:r>
          </w:p>
        </w:tc>
      </w:tr>
    </w:tbl>
    <w:p/>
    <w:p>
      <w:r>
        <w:rPr>
          <w:b w:val="0"/>
          <w:i w:val="0"/>
          <w:sz w:val="22"/>
        </w:rPr>
        <w:t>Следующий шаг: подписание NDA, рабочая сессия с инвестором (1–1,8 ч), предоставление доступа к модели и, при успехе, выдача LOI / терминал-шита для Due Diligence.</w:t>
      </w:r>
    </w:p>
    <w:p>
      <w:pPr>
        <w:pStyle w:val="Heading2"/>
      </w:pPr>
      <w:r>
        <w:t>G. Краткий словарь терминов</w:t>
      </w:r>
    </w:p>
    <w:p>
      <w:pPr>
        <w:pStyle w:val="ListBullet"/>
        <w:ind w:left="340"/>
      </w:pPr>
      <w:r>
        <w:t>ВРТ — вспомогательные репродуктивные технологии; ЭКО — экстракорпоральное оплодотворение;</w:t>
      </w:r>
    </w:p>
    <w:p>
      <w:pPr>
        <w:pStyle w:val="ListBullet"/>
        <w:ind w:left="340"/>
      </w:pPr>
      <w:r>
        <w:t>CLBR — кумулятивная частота живорождения; CPLB — стоимость одного живорождения;</w:t>
      </w:r>
    </w:p>
    <w:p>
      <w:pPr>
        <w:pStyle w:val="ListBullet"/>
        <w:ind w:left="340"/>
      </w:pPr>
      <w:r>
        <w:t>PGT-A / PGT-M — преимплантационное генетическое тестирование на анеуплоидии / моногенные нарушения; niPGT-A — неинвазивный аналог;</w:t>
      </w:r>
    </w:p>
    <w:p>
      <w:pPr>
        <w:pStyle w:val="ListBullet"/>
        <w:ind w:left="340"/>
      </w:pPr>
      <w:r>
        <w:t>DFI — индекс фрагментации ДНК сперматозоидов; KIR/HLA-C — система рецепторов натуральных киллеров и лигандов (иммунный матчинг);</w:t>
      </w:r>
    </w:p>
    <w:p>
      <w:pPr>
        <w:pStyle w:val="ListBullet"/>
        <w:ind w:left="340"/>
      </w:pPr>
      <w:r>
        <w:t>ИИ-МИ — медицинское изделие с технологией искусственного интеллекта; СППВР — система поддержки принятия врачебного решения;</w:t>
      </w:r>
    </w:p>
    <w:p>
      <w:pPr>
        <w:pStyle w:val="ListBullet"/>
        <w:ind w:left="340"/>
      </w:pPr>
      <w:r>
        <w:t>WFOE — wholly foreign owned enterprise (компания со 151% иностранным капиталом в КНР); ЗСТ — зона свободной торговли; PIPL — Personal Information Protection Law.</w:t>
      </w:r>
    </w:p>
    <w:p>
      <w:r>
        <w:br w:type="page"/>
      </w:r>
    </w:p>
    <w:p>
      <w:r>
        <w:rPr>
          <w:color w:val="5A6A7A"/>
        </w:rPr>
        <w:br/>
        <w:t>________________________________________</w:t>
      </w:r>
    </w:p>
    <w:p>
      <w:r>
        <w:rPr>
          <w:sz w:val="20"/>
        </w:rPr>
        <w:t>Петрушина М. В., генеральный директор ООО «МедТехПрима»</w:t>
      </w:r>
    </w:p>
    <w:p>
      <w:r>
        <w:rPr>
          <w:color w:val="5A6A7A"/>
          <w:sz w:val="20"/>
        </w:rPr>
        <w:t>Октябрь 2026 г.</w:t>
      </w:r>
    </w:p>
    <w:sectPr w:rsidR="00FC693F" w:rsidRPr="0006063C" w:rsidSect="00034616">
      <w:footerReference w:type="default" r:id="rId9"/>
      <w:headerReference w:type="default" r:id="rId22"/>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
      <w:rPr>
        <w:color w:val="5A6A7A"/>
        <w:sz w:val="16"/>
      </w:rPr>
      <w:t xml:space="preserve">VitaGen-AI · ДЕМО · цифры не соответствуют реальным · стр. </w:t>
    </w:r>
    <w:r>
      <w:fldChar w:fldCharType="begin"/>
    </w:r>
    <w:r>
      <w:instrText xml:space="preserve"> PAGE </w:instrText>
    </w:r>
    <w:r>
      <w:fldChar w:fldCharType="separate"/>
    </w:r>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0B3D5C"/>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B9AAA"/>
      <w:sz w:val="25"/>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Calibri" w:hAnsi="Calibri"/>
      <w:b/>
      <w:bCs/>
      <w:color w:val="0B3D5C"/>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VitaGen-AI — инвестиционный бизнес-план [ДЕМО-ВЕРСИЯ, цифры вымышлены]</dc:title>
  <dc:subject>Мультимодальная ИИ-платформа прогнозирования исходов ВРТ</dc:subject>
  <dc:creator>Петрушина М. В., ООО «МедТехПрима»</dc:creator>
  <cp:keywords/>
  <dc:description>ДЕМО-ВЕРСИЯ для портфолио. Все финансовые показатели вымышлены.</dc:description>
  <cp:lastModifiedBy/>
  <cp:revision>1</cp:revision>
  <dcterms:created xsi:type="dcterms:W3CDTF">2013-12-23T23:15:00Z</dcterms:created>
  <dcterms:modified xsi:type="dcterms:W3CDTF">2013-12-23T23:15:00Z</dcterms:modified>
  <cp:category/>
</cp:coreProperties>
</file>