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t>Supplementary Table S1</w:t>
      </w:r>
    </w:p>
    <w:p>
      <w:r>
        <w:t>Inputs and estimated minimum numbers of raters for precision and power across four absolute improvements in LCCC. Study-level inputs are shown once per disease; effect-specific values are listed for each 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0"/>
        <w:gridCol w:w="1272"/>
        <w:gridCol w:w="1113"/>
        <w:gridCol w:w="1145"/>
        <w:gridCol w:w="1511"/>
        <w:gridCol w:w="1224"/>
        <w:gridCol w:w="1161"/>
        <w:gridCol w:w="1288"/>
        <w:gridCol w:w="1113"/>
        <w:gridCol w:w="1272"/>
        <w:gridCol w:w="1320"/>
      </w:tblGrid>
      <w:tr>
        <w:trPr>
          <w:tblHeader/>
          <w:cantSplit/>
        </w:trPr>
        <w:tc>
          <w:tcPr>
            <w:tcW w:type="dxa" w:w="2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20"/>
              </w:rPr>
              <w:t>Disease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Mean</w:t>
              <w:br/>
              <w:t>LCCC¹</w:t>
            </w:r>
          </w:p>
        </w:tc>
        <w:tc>
          <w:tcPr>
            <w:tcW w:type="dxa" w:w="11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SD</w:t>
              <w:br/>
              <w:t>LCCC¹</w:t>
            </w:r>
          </w:p>
        </w:tc>
        <w:tc>
          <w:tcPr>
            <w:tcW w:type="dxa" w:w="1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Rater</w:t>
              <w:br/>
              <w:t>pairs</w:t>
            </w:r>
          </w:p>
        </w:tc>
        <w:tc>
          <w:tcPr>
            <w:tcW w:type="dxa" w:w="15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Baseline</w:t>
              <w:br/>
              <w:t>LCCC²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SD</w:t>
              <w:br/>
              <w:t>Δz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ΔLCCC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Δz³</w:t>
            </w:r>
          </w:p>
        </w:tc>
        <w:tc>
          <w:tcPr>
            <w:tcW w:type="dxa" w:w="11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CV</w:t>
              <w:br/>
              <w:t>k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Power</w:t>
              <w:br/>
              <w:t>k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Final</w:t>
              <w:br/>
              <w:t>k⁴</w:t>
            </w:r>
          </w:p>
        </w:tc>
      </w:tr>
      <w:tr>
        <w:trPr>
          <w:cantSplit/>
        </w:trPr>
        <w:tc>
          <w:tcPr>
            <w:tcW w:type="dxa" w:w="283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left"/>
            </w:pPr>
            <w:r>
              <w:rPr>
                <w:b w:val="0"/>
                <w:color w:val="000000"/>
                <w:sz w:val="20"/>
              </w:rPr>
              <w:t>Pecan brown spot</w:t>
            </w:r>
          </w:p>
        </w:tc>
        <w:tc>
          <w:tcPr>
            <w:tcW w:type="dxa" w:w="12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0.926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0.059</w:t>
            </w:r>
          </w:p>
        </w:tc>
        <w:tc>
          <w:tcPr>
            <w:tcW w:type="dxa" w:w="1145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34</w:t>
            </w:r>
          </w:p>
        </w:tc>
        <w:tc>
          <w:tcPr>
            <w:tcW w:type="dxa" w:w="1511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0.926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0.309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0.582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3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left"/>
            </w:pPr>
            <w:r>
              <w:rPr>
                <w:b w:val="0"/>
                <w:color w:val="000000"/>
                <w:sz w:val="20"/>
              </w:rPr>
              <w:t>Citrus canker</w:t>
            </w:r>
          </w:p>
        </w:tc>
        <w:tc>
          <w:tcPr>
            <w:tcW w:type="dxa" w:w="12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0.819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0.047</w:t>
            </w:r>
          </w:p>
        </w:tc>
        <w:tc>
          <w:tcPr>
            <w:tcW w:type="dxa" w:w="1145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511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0.819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0.211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0.175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0.430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0.925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3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left"/>
            </w:pPr>
            <w:r>
              <w:rPr>
                <w:b w:val="0"/>
                <w:color w:val="000000"/>
                <w:sz w:val="20"/>
              </w:rPr>
              <w:t>Coffee leaf rust</w:t>
            </w:r>
          </w:p>
        </w:tc>
        <w:tc>
          <w:tcPr>
            <w:tcW w:type="dxa" w:w="12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0.850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0.081</w:t>
            </w:r>
          </w:p>
        </w:tc>
        <w:tc>
          <w:tcPr>
            <w:tcW w:type="dxa" w:w="1145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511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0.850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0.394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0.216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29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0.575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3.951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140"/>
      </w:pPr>
      <w:r>
        <w:rPr>
          <w:sz w:val="18"/>
        </w:rPr>
        <w:t>¹ Mean and SD of unaided LCCC use all valid unaided raters. ² The power baseline is the mean unaided LCCC among complete rater pairs; it may differ from the mean used for the CV criterion. SD Δz is the SD of observed paired differences atanh(LCCC aided) − atanh(LCCC unaided). ³ Planning effect Δz = atanh(baseline + ΔLCCC) − atanh(baseline), with the observed SD held fixed across effects. ⁴ Final k = max(CV k, power k). Calculations use CV = 0.10, two-sided α = 0.05 and target power = 0.80. An em dash denotes an infeasible effect (baseline + ΔLCCC ≥ 1), for which power and final k are not estimated. Feasibility uses unrounded values. Coffee leaf rust at ΔLCCC = 0.15 targets LCCC ≈ 0.99994 and should be interpreted cautiously. Sample-size estimates are approximate, particularly for very small k.</w:t>
      </w:r>
    </w:p>
    <w:p>
      <w:r>
        <w:br w:type="page"/>
      </w:r>
    </w:p>
    <w:p>
      <w:pPr>
        <w:pStyle w:val="Heading1"/>
        <w:spacing w:after="120"/>
      </w:pPr>
      <w:r>
        <w:t>Supplementary Table S1 continued</w:t>
      </w:r>
    </w:p>
    <w:p>
      <w:r>
        <w:t>Inputs and estimated minimum numbers of raters for precision and power across four absolute improvements in LCCC. Study-level inputs are shown once per disease; effect-specific values are listed for each 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0"/>
        <w:gridCol w:w="1272"/>
        <w:gridCol w:w="1113"/>
        <w:gridCol w:w="1145"/>
        <w:gridCol w:w="1511"/>
        <w:gridCol w:w="1224"/>
        <w:gridCol w:w="1161"/>
        <w:gridCol w:w="1288"/>
        <w:gridCol w:w="1113"/>
        <w:gridCol w:w="1272"/>
        <w:gridCol w:w="1320"/>
      </w:tblGrid>
      <w:tr>
        <w:trPr>
          <w:tblHeader/>
          <w:cantSplit/>
        </w:trPr>
        <w:tc>
          <w:tcPr>
            <w:tcW w:type="dxa" w:w="2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20"/>
              </w:rPr>
              <w:t>Disease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Mean</w:t>
              <w:br/>
              <w:t>LCCC¹</w:t>
            </w:r>
          </w:p>
        </w:tc>
        <w:tc>
          <w:tcPr>
            <w:tcW w:type="dxa" w:w="11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SD</w:t>
              <w:br/>
              <w:t>LCCC¹</w:t>
            </w:r>
          </w:p>
        </w:tc>
        <w:tc>
          <w:tcPr>
            <w:tcW w:type="dxa" w:w="1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Rater</w:t>
              <w:br/>
              <w:t>pairs</w:t>
            </w:r>
          </w:p>
        </w:tc>
        <w:tc>
          <w:tcPr>
            <w:tcW w:type="dxa" w:w="15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Baseline</w:t>
              <w:br/>
              <w:t>LCCC²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SD</w:t>
              <w:br/>
              <w:t>Δz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ΔLCCC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Δz³</w:t>
            </w:r>
          </w:p>
        </w:tc>
        <w:tc>
          <w:tcPr>
            <w:tcW w:type="dxa" w:w="11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CV</w:t>
              <w:br/>
              <w:t>k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Power</w:t>
              <w:br/>
              <w:t>k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Final</w:t>
              <w:br/>
              <w:t>k⁴</w:t>
            </w:r>
          </w:p>
        </w:tc>
      </w:tr>
      <w:tr>
        <w:trPr>
          <w:cantSplit/>
        </w:trPr>
        <w:tc>
          <w:tcPr>
            <w:tcW w:type="dxa" w:w="283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left"/>
            </w:pPr>
            <w:r>
              <w:rPr>
                <w:b w:val="0"/>
                <w:color w:val="000000"/>
                <w:sz w:val="20"/>
              </w:rPr>
              <w:t>Wheat tan spot</w:t>
            </w:r>
          </w:p>
        </w:tc>
        <w:tc>
          <w:tcPr>
            <w:tcW w:type="dxa" w:w="12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0.837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0.114</w:t>
            </w:r>
          </w:p>
        </w:tc>
        <w:tc>
          <w:tcPr>
            <w:tcW w:type="dxa" w:w="1145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511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0.837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0.400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0.197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35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0.503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1.309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3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left"/>
            </w:pPr>
            <w:r>
              <w:rPr>
                <w:b w:val="0"/>
                <w:color w:val="000000"/>
                <w:sz w:val="20"/>
              </w:rPr>
              <w:t>Gerbera botrytis blight</w:t>
            </w:r>
          </w:p>
        </w:tc>
        <w:tc>
          <w:tcPr>
            <w:tcW w:type="dxa" w:w="12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0.740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0.224</w:t>
            </w:r>
          </w:p>
        </w:tc>
        <w:tc>
          <w:tcPr>
            <w:tcW w:type="dxa" w:w="1145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36</w:t>
            </w:r>
          </w:p>
        </w:tc>
        <w:tc>
          <w:tcPr>
            <w:tcW w:type="dxa" w:w="1511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0.740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0.295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0.121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49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0.271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0.471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0.787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83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left"/>
            </w:pPr>
            <w:r>
              <w:rPr>
                <w:b w:val="0"/>
                <w:color w:val="000000"/>
                <w:sz w:val="20"/>
              </w:rPr>
              <w:t>Pecan fruit scab</w:t>
            </w:r>
          </w:p>
        </w:tc>
        <w:tc>
          <w:tcPr>
            <w:tcW w:type="dxa" w:w="12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0.766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0.179</w:t>
            </w:r>
          </w:p>
        </w:tc>
        <w:tc>
          <w:tcPr>
            <w:tcW w:type="dxa" w:w="1145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511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0.787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0.416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0.148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65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65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0.345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0.651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1.461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</w:tbl>
    <w:p>
      <w:pPr>
        <w:spacing w:before="140"/>
      </w:pPr>
      <w:r>
        <w:rPr>
          <w:sz w:val="18"/>
        </w:rPr>
        <w:t>¹ Mean and SD of unaided LCCC use all valid unaided raters. ² The power baseline is the mean unaided LCCC among complete rater pairs; it may differ from the mean used for the CV criterion. SD Δz is the SD of observed paired differences atanh(LCCC aided) − atanh(LCCC unaided). ³ Planning effect Δz = atanh(baseline + ΔLCCC) − atanh(baseline), with the observed SD held fixed across effects. ⁴ Final k = max(CV k, power k). Calculations use CV = 0.10, two-sided α = 0.05 and target power = 0.80. An em dash denotes an infeasible effect (baseline + ΔLCCC ≥ 1), for which power and final k are not estimated. Feasibility uses unrounded values. Coffee leaf rust at ΔLCCC = 0.15 targets LCCC ≈ 0.99994 and should be interpreted cautiously. Sample-size estimates are approximate, particularly for very small k.</w:t>
      </w:r>
    </w:p>
    <w:p>
      <w:r>
        <w:br w:type="page"/>
      </w:r>
    </w:p>
    <w:p>
      <w:pPr>
        <w:pStyle w:val="Heading1"/>
        <w:spacing w:after="120"/>
      </w:pPr>
      <w:r>
        <w:t>Supplementary Table S1 continued</w:t>
      </w:r>
    </w:p>
    <w:p>
      <w:r>
        <w:t>Inputs and estimated minimum numbers of raters for precision and power across four absolute improvements in LCCC. Study-level inputs are shown once per disease; effect-specific values are listed for each 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0"/>
        <w:gridCol w:w="1272"/>
        <w:gridCol w:w="1113"/>
        <w:gridCol w:w="1145"/>
        <w:gridCol w:w="1511"/>
        <w:gridCol w:w="1224"/>
        <w:gridCol w:w="1161"/>
        <w:gridCol w:w="1288"/>
        <w:gridCol w:w="1113"/>
        <w:gridCol w:w="1272"/>
        <w:gridCol w:w="1320"/>
      </w:tblGrid>
      <w:tr>
        <w:trPr>
          <w:tblHeader/>
          <w:cantSplit/>
        </w:trPr>
        <w:tc>
          <w:tcPr>
            <w:tcW w:type="dxa" w:w="2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20"/>
              </w:rPr>
              <w:t>Disease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Mean</w:t>
              <w:br/>
              <w:t>LCCC¹</w:t>
            </w:r>
          </w:p>
        </w:tc>
        <w:tc>
          <w:tcPr>
            <w:tcW w:type="dxa" w:w="11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SD</w:t>
              <w:br/>
              <w:t>LCCC¹</w:t>
            </w:r>
          </w:p>
        </w:tc>
        <w:tc>
          <w:tcPr>
            <w:tcW w:type="dxa" w:w="11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Rater</w:t>
              <w:br/>
              <w:t>pairs</w:t>
            </w:r>
          </w:p>
        </w:tc>
        <w:tc>
          <w:tcPr>
            <w:tcW w:type="dxa" w:w="15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Baseline</w:t>
              <w:br/>
              <w:t>LCCC²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SD</w:t>
              <w:br/>
              <w:t>Δz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ΔLCCC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Δz³</w:t>
            </w:r>
          </w:p>
        </w:tc>
        <w:tc>
          <w:tcPr>
            <w:tcW w:type="dxa" w:w="11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CV</w:t>
              <w:br/>
              <w:t>k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Power</w:t>
              <w:br/>
              <w:t>k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445B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0"/>
              </w:rPr>
              <w:t>Final</w:t>
              <w:br/>
              <w:t>k⁴</w:t>
            </w:r>
          </w:p>
        </w:tc>
      </w:tr>
      <w:tr>
        <w:trPr>
          <w:cantSplit/>
        </w:trPr>
        <w:tc>
          <w:tcPr>
            <w:tcW w:type="dxa" w:w="283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left"/>
            </w:pPr>
            <w:r>
              <w:rPr>
                <w:b w:val="0"/>
                <w:color w:val="000000"/>
                <w:sz w:val="20"/>
              </w:rPr>
              <w:t>Tobacco–</w:t>
              <w:br/>
              <w:t>Xylella</w:t>
            </w:r>
          </w:p>
        </w:tc>
        <w:tc>
          <w:tcPr>
            <w:tcW w:type="dxa" w:w="12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0.630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0.152</w:t>
            </w:r>
          </w:p>
        </w:tc>
        <w:tc>
          <w:tcPr>
            <w:tcW w:type="dxa" w:w="1145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511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0.630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0.249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0.088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66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66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0.187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0.304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0.447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83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left"/>
            </w:pPr>
            <w:r>
              <w:rPr>
                <w:b w:val="0"/>
                <w:color w:val="000000"/>
                <w:sz w:val="20"/>
              </w:rPr>
              <w:t>Soybean rust</w:t>
            </w:r>
          </w:p>
        </w:tc>
        <w:tc>
          <w:tcPr>
            <w:tcW w:type="dxa" w:w="12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0.804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0.087</w:t>
            </w:r>
          </w:p>
        </w:tc>
        <w:tc>
          <w:tcPr>
            <w:tcW w:type="dxa" w:w="1145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511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0.804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0.488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0.161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74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74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0.385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0.767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3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left"/>
            </w:pPr>
            <w:r>
              <w:rPr>
                <w:b w:val="0"/>
                <w:color w:val="000000"/>
                <w:sz w:val="20"/>
              </w:rPr>
              <w:t>Rice brown spot</w:t>
            </w:r>
          </w:p>
        </w:tc>
        <w:tc>
          <w:tcPr>
            <w:tcW w:type="dxa" w:w="12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0.533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0.208</w:t>
            </w:r>
          </w:p>
        </w:tc>
        <w:tc>
          <w:tcPr>
            <w:tcW w:type="dxa" w:w="1145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511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0.533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0.293</w:t>
            </w:r>
          </w:p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0.073</w:t>
            </w:r>
          </w:p>
        </w:tc>
        <w:tc>
          <w:tcPr>
            <w:tcW w:type="dxa" w:w="1113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130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130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0.152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32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0.15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0.240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2830"/>
            <w:vMerge/>
          </w:tcPr>
          <w:p/>
        </w:tc>
        <w:tc>
          <w:tcPr>
            <w:tcW w:type="dxa" w:w="127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45"/>
            <w:vMerge/>
          </w:tcPr>
          <w:p/>
        </w:tc>
        <w:tc>
          <w:tcPr>
            <w:tcW w:type="dxa" w:w="1511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1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0.341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0F4F7"/>
          </w:tcPr>
          <w:p>
            <w:pPr>
              <w:spacing w:after="0" w:before="0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</w:tr>
    </w:tbl>
    <w:p>
      <w:pPr>
        <w:spacing w:before="140"/>
      </w:pPr>
      <w:r>
        <w:rPr>
          <w:sz w:val="18"/>
        </w:rPr>
        <w:t>¹ Mean and SD of unaided LCCC use all valid unaided raters. ² The power baseline is the mean unaided LCCC among complete rater pairs; it may differ from the mean used for the CV criterion. SD Δz is the SD of observed paired differences atanh(LCCC aided) − atanh(LCCC unaided). ³ Planning effect Δz = atanh(baseline + ΔLCCC) − atanh(baseline), with the observed SD held fixed across effects. ⁴ Final k = max(CV k, power k). Calculations use CV = 0.10, two-sided α = 0.05 and target power = 0.80. An em dash denotes an infeasible effect (baseline + ΔLCCC ≥ 1), for which power and final k are not estimated. Feasibility uses unrounded values. Coffee leaf rust at ΔLCCC = 0.15 targets LCCC ≈ 0.99994 and should be interpreted cautiously. Sample-size estimates are approximate, particularly for very small k.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