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38A0" w:rsidRPr="00B638A0" w:rsidRDefault="00B638A0" w:rsidP="00B638A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en-NG" w:eastAsia="en-NG"/>
        </w:rPr>
      </w:pPr>
      <w:r w:rsidRPr="00B638A0">
        <w:rPr>
          <w:rFonts w:ascii="Times New Roman" w:eastAsia="Times New Roman" w:hAnsi="Times New Roman" w:cs="Times New Roman"/>
          <w:b/>
          <w:bCs/>
          <w:kern w:val="36"/>
          <w:sz w:val="24"/>
          <w:szCs w:val="24"/>
          <w:lang w:val="en-NG" w:eastAsia="en-NG"/>
        </w:rPr>
        <w:t>DVD Rental Business Performance &amp; Growth Strategy</w:t>
      </w:r>
    </w:p>
    <w:p w:rsidR="00B638A0" w:rsidRPr="00B638A0" w:rsidRDefault="00B638A0" w:rsidP="00B638A0">
      <w:pPr>
        <w:spacing w:before="100" w:beforeAutospacing="1" w:after="100" w:afterAutospacing="1" w:line="240" w:lineRule="auto"/>
        <w:jc w:val="both"/>
        <w:outlineLvl w:val="1"/>
        <w:rPr>
          <w:rFonts w:ascii="Times New Roman" w:eastAsia="Times New Roman" w:hAnsi="Times New Roman" w:cs="Times New Roman"/>
          <w:b/>
          <w:bCs/>
          <w:sz w:val="24"/>
          <w:szCs w:val="24"/>
          <w:lang w:val="en-NG" w:eastAsia="en-NG"/>
        </w:rPr>
      </w:pPr>
      <w:r w:rsidRPr="00B638A0">
        <w:rPr>
          <w:rFonts w:ascii="Times New Roman" w:eastAsia="Times New Roman" w:hAnsi="Times New Roman" w:cs="Times New Roman"/>
          <w:b/>
          <w:bCs/>
          <w:sz w:val="24"/>
          <w:szCs w:val="24"/>
          <w:lang w:val="en-NG" w:eastAsia="en-NG"/>
        </w:rPr>
        <w:t>Overview</w:t>
      </w:r>
    </w:p>
    <w:p w:rsidR="00B638A0" w:rsidRPr="00B638A0" w:rsidRDefault="00B638A0" w:rsidP="00B638A0">
      <w:p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This analysis evaluates the DVD rental business across film performance, customer behaviour, rental trends, staff revenue and geographical markets. The notebook records $61,312.04 in total rental revenue, approximately 4.97 days in average film rental duration, and 599 customers in the analysed customer dataset.</w:t>
      </w:r>
    </w:p>
    <w:p w:rsidR="00B638A0" w:rsidRPr="00B638A0" w:rsidRDefault="00B638A0" w:rsidP="00B638A0">
      <w:p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The findings identify opportunities to improve revenue through category-focused investment, strengthen customer retention, optimize inventory and develop region-specific marketing strategies.</w:t>
      </w:r>
    </w:p>
    <w:p w:rsidR="00B638A0" w:rsidRPr="00B638A0" w:rsidRDefault="00B638A0" w:rsidP="00B638A0">
      <w:pPr>
        <w:spacing w:before="100" w:beforeAutospacing="1" w:after="100" w:afterAutospacing="1" w:line="240" w:lineRule="auto"/>
        <w:jc w:val="both"/>
        <w:outlineLvl w:val="1"/>
        <w:rPr>
          <w:rFonts w:ascii="Times New Roman" w:eastAsia="Times New Roman" w:hAnsi="Times New Roman" w:cs="Times New Roman"/>
          <w:b/>
          <w:bCs/>
          <w:sz w:val="24"/>
          <w:szCs w:val="24"/>
          <w:lang w:val="en-NG" w:eastAsia="en-NG"/>
        </w:rPr>
      </w:pPr>
      <w:r w:rsidRPr="00B638A0">
        <w:rPr>
          <w:rFonts w:ascii="Times New Roman" w:eastAsia="Times New Roman" w:hAnsi="Times New Roman" w:cs="Times New Roman"/>
          <w:b/>
          <w:bCs/>
          <w:sz w:val="24"/>
          <w:szCs w:val="24"/>
          <w:lang w:val="en-NG" w:eastAsia="en-NG"/>
        </w:rPr>
        <w:t>Key findings</w:t>
      </w:r>
    </w:p>
    <w:p w:rsidR="00B638A0" w:rsidRPr="00B638A0" w:rsidRDefault="00B638A0" w:rsidP="00B638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Film performance: Sports, Foreign and New are the three leading categories by the notebook's summed average-revenue metric. Telegraph Voyage generated the highest individual film revenue at $215.75.</w:t>
      </w:r>
    </w:p>
    <w:p w:rsidR="00B638A0" w:rsidRPr="00B638A0" w:rsidRDefault="00B638A0" w:rsidP="00B638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Customer behaviour: Eleanor Hunt recorded the highest rental frequency at 45 rentals. Brittany Riley had the highest average spending per rental among the customers listed in the top-ten analysis, at approximately $5.62.</w:t>
      </w:r>
    </w:p>
    <w:p w:rsidR="00B638A0" w:rsidRPr="00B638A0" w:rsidRDefault="00B638A0" w:rsidP="00B638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Seasonal trends: July had the highest rental activity and revenue, while February had the lowest revenue.</w:t>
      </w:r>
    </w:p>
    <w:p w:rsidR="00B638A0" w:rsidRPr="00B638A0" w:rsidRDefault="00B638A0" w:rsidP="00B638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Geographical activity: India and China recorded the highest rental counts, with 1,421 and 1,296 rentals respectively. The analysis also identifies variations in preferred film categories across countries.</w:t>
      </w:r>
    </w:p>
    <w:p w:rsidR="00B638A0" w:rsidRPr="00B638A0" w:rsidRDefault="00B638A0" w:rsidP="00B638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Staff performance: Jon Stephens and Mike Hillyer recorded the highest staff revenue totals, at approximately $30,813 and $30,499 respectively.</w:t>
      </w:r>
    </w:p>
    <w:p w:rsidR="00B638A0" w:rsidRPr="00B638A0" w:rsidRDefault="00B638A0" w:rsidP="00B638A0">
      <w:pPr>
        <w:spacing w:before="100" w:beforeAutospacing="1" w:after="100" w:afterAutospacing="1" w:line="240" w:lineRule="auto"/>
        <w:jc w:val="both"/>
        <w:outlineLvl w:val="1"/>
        <w:rPr>
          <w:rFonts w:ascii="Times New Roman" w:eastAsia="Times New Roman" w:hAnsi="Times New Roman" w:cs="Times New Roman"/>
          <w:b/>
          <w:bCs/>
          <w:sz w:val="24"/>
          <w:szCs w:val="24"/>
          <w:lang w:val="en-NG" w:eastAsia="en-NG"/>
        </w:rPr>
      </w:pPr>
      <w:r w:rsidRPr="00B638A0">
        <w:rPr>
          <w:rFonts w:ascii="Times New Roman" w:eastAsia="Times New Roman" w:hAnsi="Times New Roman" w:cs="Times New Roman"/>
          <w:b/>
          <w:bCs/>
          <w:sz w:val="24"/>
          <w:szCs w:val="24"/>
          <w:lang w:val="en-NG" w:eastAsia="en-NG"/>
        </w:rPr>
        <w:t>Business risks</w:t>
      </w:r>
    </w:p>
    <w:p w:rsidR="00B638A0" w:rsidRPr="00B638A0" w:rsidRDefault="00B638A0" w:rsidP="00B638A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Inventory risk: Insufficient stock of popular films could result in lost rental opportunities, while excessive stock of low-demand films could increase holding costs.</w:t>
      </w:r>
    </w:p>
    <w:p w:rsidR="00B638A0" w:rsidRPr="00B638A0" w:rsidRDefault="00B638A0" w:rsidP="00B638A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Customer retention risk: Failure to identify and re-engage inactive customers could reduce repeat rental revenue.</w:t>
      </w:r>
    </w:p>
    <w:p w:rsidR="00B638A0" w:rsidRPr="00B638A0" w:rsidRDefault="00B638A0" w:rsidP="00B638A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Revenue concentration risk: Overreliance on a limited number of popular titles or categories could expose the business to changes in customer preferences.</w:t>
      </w:r>
    </w:p>
    <w:p w:rsidR="00B638A0" w:rsidRPr="00B638A0" w:rsidRDefault="00B638A0" w:rsidP="00B638A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Operational risk: Staffing decisions based solely on total revenue may overlook differences in working hours, transaction volumes and store traffic.</w:t>
      </w:r>
    </w:p>
    <w:p w:rsidR="00B638A0" w:rsidRPr="00B638A0" w:rsidRDefault="00B638A0" w:rsidP="00B638A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Expansion risk: Treating existing rental counts as proof of market growth could lead to poorly targeted investments without evidence of market size, growth or profitability.</w:t>
      </w:r>
    </w:p>
    <w:p w:rsidR="00B638A0" w:rsidRPr="00B638A0" w:rsidRDefault="00B638A0" w:rsidP="00B638A0">
      <w:pPr>
        <w:spacing w:before="100" w:beforeAutospacing="1" w:after="100" w:afterAutospacing="1" w:line="240" w:lineRule="auto"/>
        <w:jc w:val="both"/>
        <w:outlineLvl w:val="1"/>
        <w:rPr>
          <w:rFonts w:ascii="Times New Roman" w:eastAsia="Times New Roman" w:hAnsi="Times New Roman" w:cs="Times New Roman"/>
          <w:b/>
          <w:bCs/>
          <w:sz w:val="24"/>
          <w:szCs w:val="24"/>
          <w:lang w:val="en-NG" w:eastAsia="en-NG"/>
        </w:rPr>
      </w:pPr>
      <w:r w:rsidRPr="00B638A0">
        <w:rPr>
          <w:rFonts w:ascii="Times New Roman" w:eastAsia="Times New Roman" w:hAnsi="Times New Roman" w:cs="Times New Roman"/>
          <w:b/>
          <w:bCs/>
          <w:sz w:val="24"/>
          <w:szCs w:val="24"/>
          <w:lang w:val="en-NG" w:eastAsia="en-NG"/>
        </w:rPr>
        <w:t>Five actionable recommendations</w:t>
      </w:r>
    </w:p>
    <w:p w:rsidR="00B638A0" w:rsidRPr="00B638A0" w:rsidRDefault="00B638A0" w:rsidP="00B638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Optimize film investment and pricing</w:t>
      </w:r>
    </w:p>
    <w:p w:rsidR="00B638A0" w:rsidRPr="00B638A0" w:rsidRDefault="00B638A0" w:rsidP="00B638A0">
      <w:pPr>
        <w:spacing w:before="100" w:beforeAutospacing="1" w:after="100" w:afterAutospacing="1" w:line="240" w:lineRule="auto"/>
        <w:ind w:left="720"/>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lastRenderedPageBreak/>
        <w:t>Prioritize further evaluation of Sports, Foreign and New films. Test targeted pricing, bundles and off-peak promotions, using rental volume and contribution margin to measure results.</w:t>
      </w:r>
    </w:p>
    <w:p w:rsidR="00B638A0" w:rsidRPr="00B638A0" w:rsidRDefault="00B638A0" w:rsidP="00B638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Launch a customer retention and loyalty program</w:t>
      </w:r>
    </w:p>
    <w:p w:rsidR="00B638A0" w:rsidRPr="00B638A0" w:rsidRDefault="00B638A0" w:rsidP="00B638A0">
      <w:pPr>
        <w:spacing w:before="100" w:beforeAutospacing="1" w:after="100" w:afterAutospacing="1" w:line="240" w:lineRule="auto"/>
        <w:ind w:left="720"/>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Segment customers by spending, rental frequency and recency. Introduce tiered rewards and personalized re-engagement campaigns, then measure repeat rentals and incremental revenue.</w:t>
      </w:r>
    </w:p>
    <w:p w:rsidR="00B638A0" w:rsidRPr="00B638A0" w:rsidRDefault="00B638A0" w:rsidP="00B638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Implement demand-driven inventory management</w:t>
      </w:r>
    </w:p>
    <w:p w:rsidR="00B638A0" w:rsidRPr="00B638A0" w:rsidRDefault="00B638A0" w:rsidP="00B638A0">
      <w:pPr>
        <w:spacing w:before="100" w:beforeAutospacing="1" w:after="100" w:afterAutospacing="1" w:line="240" w:lineRule="auto"/>
        <w:ind w:left="720"/>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Establish restocking thresholds based on rental velocity, stock availability and replenishment lead time. Review underperforming titles before reducing inventory.</w:t>
      </w:r>
    </w:p>
    <w:p w:rsidR="00B638A0" w:rsidRPr="00B638A0" w:rsidRDefault="00B638A0" w:rsidP="00B638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Improve staff and seasonal operations</w:t>
      </w:r>
    </w:p>
    <w:p w:rsidR="00B638A0" w:rsidRPr="00B638A0" w:rsidRDefault="00B638A0" w:rsidP="00B638A0">
      <w:pPr>
        <w:spacing w:before="100" w:beforeAutospacing="1" w:after="100" w:afterAutospacing="1" w:line="240" w:lineRule="auto"/>
        <w:ind w:left="720"/>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Benchmark staff productivity using revenue and transactions per employee-hour. Align schedules with observed rental peaks and standardize effective customer service practices.</w:t>
      </w:r>
    </w:p>
    <w:p w:rsidR="00B638A0" w:rsidRPr="00B638A0" w:rsidRDefault="00B638A0" w:rsidP="00B638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Develop localized market strategies</w:t>
      </w:r>
    </w:p>
    <w:p w:rsidR="00B638A0" w:rsidRPr="00B638A0" w:rsidRDefault="00B638A0" w:rsidP="00B638A0">
      <w:pPr>
        <w:spacing w:before="100" w:beforeAutospacing="1" w:after="100" w:afterAutospacing="1" w:line="240" w:lineRule="auto"/>
        <w:ind w:left="720"/>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Use country-level rental activity and category preferences to guide regional assortment and promotional experiments. Validate market growth and profitability before committing to expansion.</w:t>
      </w:r>
      <w:bookmarkStart w:id="0" w:name="_GoBack"/>
      <w:bookmarkEnd w:id="0"/>
    </w:p>
    <w:p w:rsidR="00B638A0" w:rsidRPr="00B638A0" w:rsidRDefault="00B638A0" w:rsidP="00B638A0">
      <w:p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The proposed strategies could improve rental revenue, customer lifetime value, inventory utilization and labour efficiency. However, the current analysis does not contain the cost, margin, inventory availability, customer churn or campaign response data needed to produce a defensible financial forecast.</w:t>
      </w:r>
    </w:p>
    <w:p w:rsidR="00B638A0" w:rsidRPr="00B638A0" w:rsidRDefault="00B638A0" w:rsidP="00B638A0">
      <w:p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The company should track incremental revenue, gross margin, customer retention, inventory turnover and labour productivity during a pilot period to establish the actual business impact.</w:t>
      </w:r>
    </w:p>
    <w:p w:rsidR="00B638A0" w:rsidRPr="00B638A0" w:rsidRDefault="00B638A0" w:rsidP="00B638A0">
      <w:pPr>
        <w:spacing w:before="100" w:beforeAutospacing="1" w:after="100" w:afterAutospacing="1" w:line="240" w:lineRule="auto"/>
        <w:jc w:val="both"/>
        <w:outlineLvl w:val="1"/>
        <w:rPr>
          <w:rFonts w:ascii="Times New Roman" w:eastAsia="Times New Roman" w:hAnsi="Times New Roman" w:cs="Times New Roman"/>
          <w:b/>
          <w:bCs/>
          <w:sz w:val="24"/>
          <w:szCs w:val="24"/>
          <w:lang w:val="en-NG" w:eastAsia="en-NG"/>
        </w:rPr>
      </w:pPr>
      <w:r w:rsidRPr="00B638A0">
        <w:rPr>
          <w:rFonts w:ascii="Times New Roman" w:eastAsia="Times New Roman" w:hAnsi="Times New Roman" w:cs="Times New Roman"/>
          <w:b/>
          <w:bCs/>
          <w:sz w:val="24"/>
          <w:szCs w:val="24"/>
          <w:lang w:val="en-NG" w:eastAsia="en-NG"/>
        </w:rPr>
        <w:t>Conclusion</w:t>
      </w:r>
    </w:p>
    <w:p w:rsidR="003C75DE" w:rsidRPr="00B638A0" w:rsidRDefault="00B638A0" w:rsidP="00B638A0">
      <w:pPr>
        <w:spacing w:before="100" w:beforeAutospacing="1" w:after="100" w:afterAutospacing="1" w:line="240" w:lineRule="auto"/>
        <w:jc w:val="both"/>
        <w:rPr>
          <w:rFonts w:ascii="Times New Roman" w:eastAsia="Times New Roman" w:hAnsi="Times New Roman" w:cs="Times New Roman"/>
          <w:sz w:val="24"/>
          <w:szCs w:val="24"/>
          <w:lang w:val="en-NG" w:eastAsia="en-NG"/>
        </w:rPr>
      </w:pPr>
      <w:r w:rsidRPr="00B638A0">
        <w:rPr>
          <w:rFonts w:ascii="Times New Roman" w:eastAsia="Times New Roman" w:hAnsi="Times New Roman" w:cs="Times New Roman"/>
          <w:sz w:val="24"/>
          <w:szCs w:val="24"/>
          <w:lang w:val="en-NG" w:eastAsia="en-NG"/>
        </w:rPr>
        <w:t>The analysis provides a useful foundation for data-driven business decisions. Its findings point to opportunities in film selection, customer engagement, seasonal operations and regional assortment. The next priority is to strengthen the analysis with inventory availability, profitability, customer recency, store-level comparisons and campaign measurement, enabling management to move from exploratory insights to validated business strategies.</w:t>
      </w:r>
    </w:p>
    <w:sectPr w:rsidR="003C75DE" w:rsidRPr="00B63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424C60"/>
    <w:multiLevelType w:val="multilevel"/>
    <w:tmpl w:val="9716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F7396"/>
    <w:multiLevelType w:val="multilevel"/>
    <w:tmpl w:val="21FA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2F2D11"/>
    <w:multiLevelType w:val="multilevel"/>
    <w:tmpl w:val="1E2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8A0"/>
    <w:rsid w:val="003C75DE"/>
    <w:rsid w:val="004E4580"/>
    <w:rsid w:val="00B638A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8F0D"/>
  <w15:chartTrackingRefBased/>
  <w15:docId w15:val="{51B11267-7DC9-49C6-A415-9A4C29F0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B638A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B638A0"/>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8A0"/>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B638A0"/>
    <w:rPr>
      <w:rFonts w:ascii="Times New Roman" w:eastAsia="Times New Roman" w:hAnsi="Times New Roman" w:cs="Times New Roman"/>
      <w:b/>
      <w:bCs/>
      <w:sz w:val="36"/>
      <w:szCs w:val="36"/>
      <w:lang w:val="en-NG" w:eastAsia="en-NG"/>
    </w:rPr>
  </w:style>
  <w:style w:type="paragraph" w:customStyle="1" w:styleId="w6asjqtextbase">
    <w:name w:val="w6asjq_textbase"/>
    <w:basedOn w:val="Normal"/>
    <w:rsid w:val="00B638A0"/>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w6asjqtextbase1">
    <w:name w:val="w6asjq_textbase1"/>
    <w:basedOn w:val="DefaultParagraphFont"/>
    <w:rsid w:val="00B63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6417582">
      <w:bodyDiv w:val="1"/>
      <w:marLeft w:val="0"/>
      <w:marRight w:val="0"/>
      <w:marTop w:val="0"/>
      <w:marBottom w:val="0"/>
      <w:divBdr>
        <w:top w:val="none" w:sz="0" w:space="0" w:color="auto"/>
        <w:left w:val="none" w:sz="0" w:space="0" w:color="auto"/>
        <w:bottom w:val="none" w:sz="0" w:space="0" w:color="auto"/>
        <w:right w:val="none" w:sz="0" w:space="0" w:color="auto"/>
      </w:divBdr>
      <w:divsChild>
        <w:div w:id="1808663527">
          <w:marLeft w:val="0"/>
          <w:marRight w:val="0"/>
          <w:marTop w:val="0"/>
          <w:marBottom w:val="0"/>
          <w:divBdr>
            <w:top w:val="none" w:sz="0" w:space="0" w:color="auto"/>
            <w:left w:val="none" w:sz="0" w:space="0" w:color="auto"/>
            <w:bottom w:val="none" w:sz="0" w:space="0" w:color="auto"/>
            <w:right w:val="none" w:sz="0" w:space="0" w:color="auto"/>
          </w:divBdr>
          <w:divsChild>
            <w:div w:id="909002836">
              <w:marLeft w:val="0"/>
              <w:marRight w:val="0"/>
              <w:marTop w:val="0"/>
              <w:marBottom w:val="0"/>
              <w:divBdr>
                <w:top w:val="none" w:sz="0" w:space="0" w:color="auto"/>
                <w:left w:val="none" w:sz="0" w:space="0" w:color="auto"/>
                <w:bottom w:val="none" w:sz="0" w:space="0" w:color="auto"/>
                <w:right w:val="none" w:sz="0" w:space="0" w:color="auto"/>
              </w:divBdr>
            </w:div>
          </w:divsChild>
        </w:div>
        <w:div w:id="2121415638">
          <w:marLeft w:val="0"/>
          <w:marRight w:val="0"/>
          <w:marTop w:val="0"/>
          <w:marBottom w:val="0"/>
          <w:divBdr>
            <w:top w:val="none" w:sz="0" w:space="0" w:color="auto"/>
            <w:left w:val="none" w:sz="0" w:space="0" w:color="auto"/>
            <w:bottom w:val="none" w:sz="0" w:space="0" w:color="auto"/>
            <w:right w:val="none" w:sz="0" w:space="0" w:color="auto"/>
          </w:divBdr>
          <w:divsChild>
            <w:div w:id="782070545">
              <w:marLeft w:val="0"/>
              <w:marRight w:val="0"/>
              <w:marTop w:val="0"/>
              <w:marBottom w:val="0"/>
              <w:divBdr>
                <w:top w:val="none" w:sz="0" w:space="0" w:color="auto"/>
                <w:left w:val="none" w:sz="0" w:space="0" w:color="auto"/>
                <w:bottom w:val="none" w:sz="0" w:space="0" w:color="auto"/>
                <w:right w:val="none" w:sz="0" w:space="0" w:color="auto"/>
              </w:divBdr>
            </w:div>
          </w:divsChild>
        </w:div>
        <w:div w:id="1841239118">
          <w:marLeft w:val="0"/>
          <w:marRight w:val="0"/>
          <w:marTop w:val="0"/>
          <w:marBottom w:val="0"/>
          <w:divBdr>
            <w:top w:val="none" w:sz="0" w:space="0" w:color="auto"/>
            <w:left w:val="none" w:sz="0" w:space="0" w:color="auto"/>
            <w:bottom w:val="none" w:sz="0" w:space="0" w:color="auto"/>
            <w:right w:val="none" w:sz="0" w:space="0" w:color="auto"/>
          </w:divBdr>
          <w:divsChild>
            <w:div w:id="247228142">
              <w:marLeft w:val="0"/>
              <w:marRight w:val="0"/>
              <w:marTop w:val="0"/>
              <w:marBottom w:val="0"/>
              <w:divBdr>
                <w:top w:val="none" w:sz="0" w:space="0" w:color="auto"/>
                <w:left w:val="none" w:sz="0" w:space="0" w:color="auto"/>
                <w:bottom w:val="none" w:sz="0" w:space="0" w:color="auto"/>
                <w:right w:val="none" w:sz="0" w:space="0" w:color="auto"/>
              </w:divBdr>
            </w:div>
          </w:divsChild>
        </w:div>
        <w:div w:id="234361752">
          <w:marLeft w:val="0"/>
          <w:marRight w:val="0"/>
          <w:marTop w:val="0"/>
          <w:marBottom w:val="0"/>
          <w:divBdr>
            <w:top w:val="none" w:sz="0" w:space="0" w:color="auto"/>
            <w:left w:val="none" w:sz="0" w:space="0" w:color="auto"/>
            <w:bottom w:val="none" w:sz="0" w:space="0" w:color="auto"/>
            <w:right w:val="none" w:sz="0" w:space="0" w:color="auto"/>
          </w:divBdr>
          <w:divsChild>
            <w:div w:id="1864973206">
              <w:marLeft w:val="0"/>
              <w:marRight w:val="0"/>
              <w:marTop w:val="0"/>
              <w:marBottom w:val="0"/>
              <w:divBdr>
                <w:top w:val="none" w:sz="0" w:space="0" w:color="auto"/>
                <w:left w:val="none" w:sz="0" w:space="0" w:color="auto"/>
                <w:bottom w:val="none" w:sz="0" w:space="0" w:color="auto"/>
                <w:right w:val="none" w:sz="0" w:space="0" w:color="auto"/>
              </w:divBdr>
            </w:div>
          </w:divsChild>
        </w:div>
        <w:div w:id="1392659739">
          <w:marLeft w:val="0"/>
          <w:marRight w:val="0"/>
          <w:marTop w:val="0"/>
          <w:marBottom w:val="0"/>
          <w:divBdr>
            <w:top w:val="none" w:sz="0" w:space="0" w:color="auto"/>
            <w:left w:val="none" w:sz="0" w:space="0" w:color="auto"/>
            <w:bottom w:val="none" w:sz="0" w:space="0" w:color="auto"/>
            <w:right w:val="none" w:sz="0" w:space="0" w:color="auto"/>
          </w:divBdr>
          <w:divsChild>
            <w:div w:id="792401787">
              <w:marLeft w:val="0"/>
              <w:marRight w:val="0"/>
              <w:marTop w:val="0"/>
              <w:marBottom w:val="0"/>
              <w:divBdr>
                <w:top w:val="none" w:sz="0" w:space="0" w:color="auto"/>
                <w:left w:val="none" w:sz="0" w:space="0" w:color="auto"/>
                <w:bottom w:val="none" w:sz="0" w:space="0" w:color="auto"/>
                <w:right w:val="none" w:sz="0" w:space="0" w:color="auto"/>
              </w:divBdr>
            </w:div>
          </w:divsChild>
        </w:div>
        <w:div w:id="552734014">
          <w:marLeft w:val="0"/>
          <w:marRight w:val="0"/>
          <w:marTop w:val="0"/>
          <w:marBottom w:val="0"/>
          <w:divBdr>
            <w:top w:val="none" w:sz="0" w:space="0" w:color="auto"/>
            <w:left w:val="none" w:sz="0" w:space="0" w:color="auto"/>
            <w:bottom w:val="none" w:sz="0" w:space="0" w:color="auto"/>
            <w:right w:val="none" w:sz="0" w:space="0" w:color="auto"/>
          </w:divBdr>
          <w:divsChild>
            <w:div w:id="1736927297">
              <w:marLeft w:val="0"/>
              <w:marRight w:val="0"/>
              <w:marTop w:val="0"/>
              <w:marBottom w:val="0"/>
              <w:divBdr>
                <w:top w:val="none" w:sz="0" w:space="0" w:color="auto"/>
                <w:left w:val="none" w:sz="0" w:space="0" w:color="auto"/>
                <w:bottom w:val="none" w:sz="0" w:space="0" w:color="auto"/>
                <w:right w:val="none" w:sz="0" w:space="0" w:color="auto"/>
              </w:divBdr>
            </w:div>
          </w:divsChild>
        </w:div>
        <w:div w:id="1246109164">
          <w:marLeft w:val="0"/>
          <w:marRight w:val="0"/>
          <w:marTop w:val="0"/>
          <w:marBottom w:val="0"/>
          <w:divBdr>
            <w:top w:val="none" w:sz="0" w:space="0" w:color="auto"/>
            <w:left w:val="none" w:sz="0" w:space="0" w:color="auto"/>
            <w:bottom w:val="none" w:sz="0" w:space="0" w:color="auto"/>
            <w:right w:val="none" w:sz="0" w:space="0" w:color="auto"/>
          </w:divBdr>
          <w:divsChild>
            <w:div w:id="319189405">
              <w:marLeft w:val="0"/>
              <w:marRight w:val="0"/>
              <w:marTop w:val="0"/>
              <w:marBottom w:val="0"/>
              <w:divBdr>
                <w:top w:val="none" w:sz="0" w:space="0" w:color="auto"/>
                <w:left w:val="none" w:sz="0" w:space="0" w:color="auto"/>
                <w:bottom w:val="none" w:sz="0" w:space="0" w:color="auto"/>
                <w:right w:val="none" w:sz="0" w:space="0" w:color="auto"/>
              </w:divBdr>
            </w:div>
          </w:divsChild>
        </w:div>
        <w:div w:id="1241792313">
          <w:marLeft w:val="0"/>
          <w:marRight w:val="0"/>
          <w:marTop w:val="0"/>
          <w:marBottom w:val="0"/>
          <w:divBdr>
            <w:top w:val="none" w:sz="0" w:space="0" w:color="auto"/>
            <w:left w:val="none" w:sz="0" w:space="0" w:color="auto"/>
            <w:bottom w:val="none" w:sz="0" w:space="0" w:color="auto"/>
            <w:right w:val="none" w:sz="0" w:space="0" w:color="auto"/>
          </w:divBdr>
          <w:divsChild>
            <w:div w:id="1914314439">
              <w:marLeft w:val="0"/>
              <w:marRight w:val="0"/>
              <w:marTop w:val="0"/>
              <w:marBottom w:val="0"/>
              <w:divBdr>
                <w:top w:val="none" w:sz="0" w:space="0" w:color="auto"/>
                <w:left w:val="none" w:sz="0" w:space="0" w:color="auto"/>
                <w:bottom w:val="none" w:sz="0" w:space="0" w:color="auto"/>
                <w:right w:val="none" w:sz="0" w:space="0" w:color="auto"/>
              </w:divBdr>
            </w:div>
          </w:divsChild>
        </w:div>
        <w:div w:id="1145120491">
          <w:marLeft w:val="0"/>
          <w:marRight w:val="0"/>
          <w:marTop w:val="0"/>
          <w:marBottom w:val="0"/>
          <w:divBdr>
            <w:top w:val="none" w:sz="0" w:space="0" w:color="auto"/>
            <w:left w:val="none" w:sz="0" w:space="0" w:color="auto"/>
            <w:bottom w:val="none" w:sz="0" w:space="0" w:color="auto"/>
            <w:right w:val="none" w:sz="0" w:space="0" w:color="auto"/>
          </w:divBdr>
          <w:divsChild>
            <w:div w:id="2106263357">
              <w:marLeft w:val="0"/>
              <w:marRight w:val="0"/>
              <w:marTop w:val="0"/>
              <w:marBottom w:val="0"/>
              <w:divBdr>
                <w:top w:val="none" w:sz="0" w:space="0" w:color="auto"/>
                <w:left w:val="none" w:sz="0" w:space="0" w:color="auto"/>
                <w:bottom w:val="none" w:sz="0" w:space="0" w:color="auto"/>
                <w:right w:val="none" w:sz="0" w:space="0" w:color="auto"/>
              </w:divBdr>
            </w:div>
          </w:divsChild>
        </w:div>
        <w:div w:id="1118453102">
          <w:marLeft w:val="0"/>
          <w:marRight w:val="0"/>
          <w:marTop w:val="0"/>
          <w:marBottom w:val="0"/>
          <w:divBdr>
            <w:top w:val="none" w:sz="0" w:space="0" w:color="auto"/>
            <w:left w:val="none" w:sz="0" w:space="0" w:color="auto"/>
            <w:bottom w:val="none" w:sz="0" w:space="0" w:color="auto"/>
            <w:right w:val="none" w:sz="0" w:space="0" w:color="auto"/>
          </w:divBdr>
          <w:divsChild>
            <w:div w:id="591864749">
              <w:marLeft w:val="0"/>
              <w:marRight w:val="0"/>
              <w:marTop w:val="0"/>
              <w:marBottom w:val="0"/>
              <w:divBdr>
                <w:top w:val="none" w:sz="0" w:space="0" w:color="auto"/>
                <w:left w:val="none" w:sz="0" w:space="0" w:color="auto"/>
                <w:bottom w:val="none" w:sz="0" w:space="0" w:color="auto"/>
                <w:right w:val="none" w:sz="0" w:space="0" w:color="auto"/>
              </w:divBdr>
            </w:div>
          </w:divsChild>
        </w:div>
        <w:div w:id="1127773524">
          <w:marLeft w:val="0"/>
          <w:marRight w:val="0"/>
          <w:marTop w:val="0"/>
          <w:marBottom w:val="0"/>
          <w:divBdr>
            <w:top w:val="none" w:sz="0" w:space="0" w:color="auto"/>
            <w:left w:val="none" w:sz="0" w:space="0" w:color="auto"/>
            <w:bottom w:val="none" w:sz="0" w:space="0" w:color="auto"/>
            <w:right w:val="none" w:sz="0" w:space="0" w:color="auto"/>
          </w:divBdr>
          <w:divsChild>
            <w:div w:id="763456061">
              <w:marLeft w:val="0"/>
              <w:marRight w:val="0"/>
              <w:marTop w:val="0"/>
              <w:marBottom w:val="0"/>
              <w:divBdr>
                <w:top w:val="none" w:sz="0" w:space="0" w:color="auto"/>
                <w:left w:val="none" w:sz="0" w:space="0" w:color="auto"/>
                <w:bottom w:val="none" w:sz="0" w:space="0" w:color="auto"/>
                <w:right w:val="none" w:sz="0" w:space="0" w:color="auto"/>
              </w:divBdr>
            </w:div>
          </w:divsChild>
        </w:div>
        <w:div w:id="827328974">
          <w:marLeft w:val="0"/>
          <w:marRight w:val="0"/>
          <w:marTop w:val="0"/>
          <w:marBottom w:val="0"/>
          <w:divBdr>
            <w:top w:val="none" w:sz="0" w:space="0" w:color="auto"/>
            <w:left w:val="none" w:sz="0" w:space="0" w:color="auto"/>
            <w:bottom w:val="none" w:sz="0" w:space="0" w:color="auto"/>
            <w:right w:val="none" w:sz="0" w:space="0" w:color="auto"/>
          </w:divBdr>
          <w:divsChild>
            <w:div w:id="1127970752">
              <w:marLeft w:val="0"/>
              <w:marRight w:val="0"/>
              <w:marTop w:val="0"/>
              <w:marBottom w:val="0"/>
              <w:divBdr>
                <w:top w:val="none" w:sz="0" w:space="0" w:color="auto"/>
                <w:left w:val="none" w:sz="0" w:space="0" w:color="auto"/>
                <w:bottom w:val="none" w:sz="0" w:space="0" w:color="auto"/>
                <w:right w:val="none" w:sz="0" w:space="0" w:color="auto"/>
              </w:divBdr>
            </w:div>
          </w:divsChild>
        </w:div>
        <w:div w:id="693924919">
          <w:marLeft w:val="0"/>
          <w:marRight w:val="0"/>
          <w:marTop w:val="0"/>
          <w:marBottom w:val="0"/>
          <w:divBdr>
            <w:top w:val="none" w:sz="0" w:space="0" w:color="auto"/>
            <w:left w:val="none" w:sz="0" w:space="0" w:color="auto"/>
            <w:bottom w:val="none" w:sz="0" w:space="0" w:color="auto"/>
            <w:right w:val="none" w:sz="0" w:space="0" w:color="auto"/>
          </w:divBdr>
          <w:divsChild>
            <w:div w:id="753549541">
              <w:marLeft w:val="0"/>
              <w:marRight w:val="0"/>
              <w:marTop w:val="0"/>
              <w:marBottom w:val="0"/>
              <w:divBdr>
                <w:top w:val="none" w:sz="0" w:space="0" w:color="auto"/>
                <w:left w:val="none" w:sz="0" w:space="0" w:color="auto"/>
                <w:bottom w:val="none" w:sz="0" w:space="0" w:color="auto"/>
                <w:right w:val="none" w:sz="0" w:space="0" w:color="auto"/>
              </w:divBdr>
            </w:div>
          </w:divsChild>
        </w:div>
        <w:div w:id="1820415880">
          <w:marLeft w:val="0"/>
          <w:marRight w:val="0"/>
          <w:marTop w:val="0"/>
          <w:marBottom w:val="0"/>
          <w:divBdr>
            <w:top w:val="none" w:sz="0" w:space="0" w:color="auto"/>
            <w:left w:val="none" w:sz="0" w:space="0" w:color="auto"/>
            <w:bottom w:val="none" w:sz="0" w:space="0" w:color="auto"/>
            <w:right w:val="none" w:sz="0" w:space="0" w:color="auto"/>
          </w:divBdr>
          <w:divsChild>
            <w:div w:id="175072733">
              <w:marLeft w:val="0"/>
              <w:marRight w:val="0"/>
              <w:marTop w:val="0"/>
              <w:marBottom w:val="0"/>
              <w:divBdr>
                <w:top w:val="none" w:sz="0" w:space="0" w:color="auto"/>
                <w:left w:val="none" w:sz="0" w:space="0" w:color="auto"/>
                <w:bottom w:val="none" w:sz="0" w:space="0" w:color="auto"/>
                <w:right w:val="none" w:sz="0" w:space="0" w:color="auto"/>
              </w:divBdr>
            </w:div>
          </w:divsChild>
        </w:div>
        <w:div w:id="1056926386">
          <w:marLeft w:val="0"/>
          <w:marRight w:val="0"/>
          <w:marTop w:val="0"/>
          <w:marBottom w:val="0"/>
          <w:divBdr>
            <w:top w:val="none" w:sz="0" w:space="0" w:color="auto"/>
            <w:left w:val="none" w:sz="0" w:space="0" w:color="auto"/>
            <w:bottom w:val="none" w:sz="0" w:space="0" w:color="auto"/>
            <w:right w:val="none" w:sz="0" w:space="0" w:color="auto"/>
          </w:divBdr>
          <w:divsChild>
            <w:div w:id="295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dc:creator>
  <cp:keywords/>
  <dc:description/>
  <cp:lastModifiedBy>MARYAM</cp:lastModifiedBy>
  <cp:revision>1</cp:revision>
  <dcterms:created xsi:type="dcterms:W3CDTF">2026-10-02T01:59:00Z</dcterms:created>
  <dcterms:modified xsi:type="dcterms:W3CDTF">2026-10-02T02:15:00Z</dcterms:modified>
</cp:coreProperties>
</file>