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Double folded stub microstrip stopband filter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2282190</wp:posOffset>
            </wp:positionH>
            <wp:positionV relativeFrom="paragraph">
              <wp:posOffset>5715</wp:posOffset>
            </wp:positionV>
            <wp:extent cx="4114800" cy="1666875"/>
            <wp:effectExtent l="0" t="0" r="0" b="0"/>
            <wp:wrapTight wrapText="bothSides">
              <wp:wrapPolygon edited="0">
                <wp:start x="-50" y="0"/>
                <wp:lineTo x="-50" y="21426"/>
                <wp:lineTo x="21499" y="21426"/>
                <wp:lineTo x="21499" y="0"/>
                <wp:lineTo x="-50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S</w:t>
      </w:r>
      <w:r>
        <w:rPr>
          <w:sz w:val="20"/>
          <w:szCs w:val="20"/>
        </w:rPr>
        <w:t>ystem response: S21</w:t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sz w:val="20"/>
          <w:szCs w:val="20"/>
        </w:rPr>
        <w:t>Target stop-band width = 7.5 GHz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Target center frequency = 14 +- 0.5 GHz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Feasible region </w:t>
      </w:r>
      <w:r>
        <w:rPr>
          <w:b/>
          <w:bCs/>
          <w:sz w:val="20"/>
          <w:szCs w:val="20"/>
        </w:rPr>
        <w:t>problem</w:t>
      </w:r>
      <w:r>
        <w:rPr>
          <w:b/>
          <w:bCs/>
          <w:sz w:val="20"/>
          <w:szCs w:val="20"/>
        </w:rPr>
        <w:t xml:space="preserve">: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BW &gt; 7 GHz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13.5 &lt; f0 &lt; 14.5 GHz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Layout: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number of polygons = 5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number of vertices = 20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Parameters: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L = stub length - S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S = line-stub gap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h_ox = 0.127 mm: substrate height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e_ox = 9.9: substrate relative permittivity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loss tangent= 0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conductor material: perfect electric conductor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-----Parameter ranges-----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44"/>
        <w:gridCol w:w="1311"/>
        <w:gridCol w:w="1310"/>
        <w:gridCol w:w="1841"/>
        <w:gridCol w:w="1821"/>
        <w:gridCol w:w="1822"/>
      </w:tblGrid>
      <w:tr>
        <w:trPr>
          <w:trHeight w:val="372" w:hRule="atLeast"/>
        </w:trPr>
        <w:tc>
          <w:tcPr>
            <w:tcW w:w="12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15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Old ranges</w:t>
            </w:r>
          </w:p>
        </w:tc>
        <w:tc>
          <w:tcPr>
            <w:tcW w:w="364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ranges</w:t>
            </w:r>
            <w:bookmarkStart w:id="0" w:name="_GoBack"/>
            <w:bookmarkEnd w:id="0"/>
          </w:p>
        </w:tc>
      </w:tr>
      <w:tr>
        <w:trPr>
          <w:trHeight w:val="372" w:hRule="atLeast"/>
        </w:trPr>
        <w:tc>
          <w:tcPr>
            <w:tcW w:w="12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1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Initial design</w:t>
            </w:r>
          </w:p>
        </w:tc>
        <w:tc>
          <w:tcPr>
            <w:tcW w:w="131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bound</w:t>
            </w:r>
          </w:p>
        </w:tc>
        <w:tc>
          <w:tcPr>
            <w:tcW w:w="184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Upper bound</w:t>
            </w:r>
          </w:p>
        </w:tc>
        <w:tc>
          <w:tcPr>
            <w:tcW w:w="1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Lower bound</w:t>
            </w:r>
          </w:p>
        </w:tc>
        <w:tc>
          <w:tcPr>
            <w:tcW w:w="182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Upper bound</w:t>
            </w:r>
          </w:p>
        </w:tc>
      </w:tr>
      <w:tr>
        <w:trPr>
          <w:trHeight w:val="372" w:hRule="atLeast"/>
        </w:trPr>
        <w:tc>
          <w:tcPr>
            <w:tcW w:w="12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2.195 mm</w:t>
            </w:r>
          </w:p>
        </w:tc>
        <w:tc>
          <w:tcPr>
            <w:tcW w:w="131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1.98 mm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2.38 mm</w:t>
            </w:r>
          </w:p>
        </w:tc>
        <w:tc>
          <w:tcPr>
            <w:tcW w:w="1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mm</w:t>
            </w:r>
          </w:p>
        </w:tc>
        <w:tc>
          <w:tcPr>
            <w:tcW w:w="182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 mm</w:t>
            </w:r>
          </w:p>
        </w:tc>
      </w:tr>
      <w:tr>
        <w:trPr>
          <w:trHeight w:val="372" w:hRule="atLeast"/>
        </w:trPr>
        <w:tc>
          <w:tcPr>
            <w:tcW w:w="12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0.122 mm</w:t>
            </w:r>
          </w:p>
        </w:tc>
        <w:tc>
          <w:tcPr>
            <w:tcW w:w="131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0.081 mm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0.161 mm</w:t>
            </w:r>
          </w:p>
        </w:tc>
        <w:tc>
          <w:tcPr>
            <w:tcW w:w="1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 mm</w:t>
            </w:r>
          </w:p>
        </w:tc>
        <w:tc>
          <w:tcPr>
            <w:tcW w:w="182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 mm</w:t>
            </w:r>
          </w:p>
        </w:tc>
      </w:tr>
      <w:tr>
        <w:trPr>
          <w:trHeight w:val="372" w:hRule="atLeast"/>
        </w:trPr>
        <w:tc>
          <w:tcPr>
            <w:tcW w:w="12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E_ox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9.9</w:t>
            </w:r>
          </w:p>
        </w:tc>
        <w:tc>
          <w:tcPr>
            <w:tcW w:w="131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9.6</w:t>
            </w:r>
          </w:p>
        </w:tc>
        <w:tc>
          <w:tcPr>
            <w:tcW w:w="184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9.5</w:t>
            </w:r>
          </w:p>
        </w:tc>
        <w:tc>
          <w:tcPr>
            <w:tcW w:w="182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>
        <w:trPr>
          <w:trHeight w:val="372" w:hRule="atLeast"/>
        </w:trPr>
        <w:tc>
          <w:tcPr>
            <w:tcW w:w="1244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H_ox</w:t>
            </w:r>
          </w:p>
        </w:tc>
        <w:tc>
          <w:tcPr>
            <w:tcW w:w="131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0.127 mm </w:t>
            </w:r>
          </w:p>
        </w:tc>
        <w:tc>
          <w:tcPr>
            <w:tcW w:w="131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0.110 mm</w:t>
            </w:r>
          </w:p>
        </w:tc>
        <w:tc>
          <w:tcPr>
            <w:tcW w:w="184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0.150 mm</w:t>
            </w:r>
          </w:p>
        </w:tc>
        <w:tc>
          <w:tcPr>
            <w:tcW w:w="1821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0.100 mm</w:t>
            </w:r>
          </w:p>
        </w:tc>
        <w:tc>
          <w:tcPr>
            <w:tcW w:w="1822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0.150 mm</w:t>
            </w:r>
          </w:p>
        </w:tc>
      </w:tr>
    </w:tbl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-----Simulation setup-----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solver = Momentum Microwave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start frequency = 5 GHz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stop frequency = 25 GHz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sweep type = Linear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number of points = 101</w:t>
      </w:r>
    </w:p>
    <w:p>
      <w:pPr>
        <w:pStyle w:val="Heading1"/>
        <w:spacing w:before="280" w:after="280"/>
        <w:rPr>
          <w:b w:val="false"/>
          <w:b w:val="false"/>
          <w:bCs w:val="false"/>
        </w:rPr>
      </w:pPr>
      <w:r>
        <w:rPr>
          <w:sz w:val="20"/>
          <w:szCs w:val="20"/>
        </w:rPr>
        <w:t>SOURCE</w:t>
      </w:r>
      <w:r>
        <w:rPr>
          <w:b w:val="false"/>
          <w:bCs w:val="false"/>
          <w:i/>
          <w:iCs/>
          <w:sz w:val="20"/>
          <w:szCs w:val="20"/>
        </w:rPr>
        <w:t xml:space="preserve">: Variability analysis of multiport systems via polynomial-chaos expansion </w:t>
      </w:r>
      <w:r>
        <w:rPr>
          <w:b w:val="false"/>
          <w:bCs w:val="false"/>
          <w:sz w:val="20"/>
          <w:szCs w:val="20"/>
        </w:rPr>
        <w:t>(D. Spina et al.)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Simulation result for 144 uniform samples:</w:t>
      </w:r>
    </w:p>
    <w:p>
      <w:pPr>
        <w:pStyle w:val="Normal"/>
        <w:keepNext w:val="true"/>
        <w:spacing w:before="0" w:after="0"/>
        <w:rPr/>
      </w:pPr>
      <w:r>
        <w:rPr>
          <w:sz w:val="20"/>
          <w:szCs w:val="20"/>
        </w:rPr>
        <w:t>35 in the feasible region (24%)</w:t>
      </w:r>
      <w:r>
        <w:rPr/>
        <w:drawing>
          <wp:inline distT="0" distB="0" distL="0" distR="0">
            <wp:extent cx="6143625" cy="319468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rPr>
          <w:sz w:val="20"/>
          <w:szCs w:val="20"/>
        </w:rPr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all samples</w:t>
      </w:r>
    </w:p>
    <w:p>
      <w:pPr>
        <w:pStyle w:val="Normal"/>
        <w:keepNext w:val="true"/>
        <w:spacing w:before="0" w:after="0"/>
        <w:rPr/>
      </w:pPr>
      <w:r>
        <w:rPr/>
        <w:drawing>
          <wp:inline distT="0" distB="0" distL="0" distR="0">
            <wp:extent cx="5652135" cy="338328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933" t="0" r="1428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rPr>
          <w:sz w:val="20"/>
          <w:szCs w:val="20"/>
        </w:rPr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samples in feasible region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a40089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809d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0089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809d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ption1">
    <w:name w:val="caption"/>
    <w:basedOn w:val="Normal"/>
    <w:next w:val="Normal"/>
    <w:uiPriority w:val="35"/>
    <w:unhideWhenUsed/>
    <w:qFormat/>
    <w:rsid w:val="00216576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1269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LibreOffice/6.4.7.2$Linux_X86_64 LibreOffice_project/40$Build-2</Application>
  <Pages>2</Pages>
  <Words>195</Words>
  <Characters>896</Characters>
  <CharactersWithSpaces>1033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2020-02-04T15:14:00Z</dcterms:created>
  <dc:creator>Federico Garbuglia (UGent-imec)</dc:creator>
  <dc:description/>
  <dc:language>en-US</dc:language>
  <cp:lastModifiedBy/>
  <dcterms:modified xsi:type="dcterms:W3CDTF">2022-03-21T17:48:08Z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