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sz w:val="40"/>
          <w:szCs w:val="40"/>
        </w:rPr>
        <w:t xml:space="preserve">Performance Analysis and Parallelization of</w:t>
      </w:r>
    </w:p>
    <w:p>
      <w:pPr>
        <w:jc w:val="center"/>
      </w:pPr>
      <w:r>
        <w:rPr>
          <w:b/>
          <w:bCs/>
          <w:sz w:val="40"/>
          <w:szCs w:val="40"/>
        </w:rPr>
        <w:t xml:space="preserve">Dense Matrix Multiplication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using OpenMP, MPI and CUDA</w:t>
      </w:r>
    </w:p>
    <w:p>
      <w:pPr>
        <w:jc w:val="center"/>
      </w:pPr>
      <w:r>
        <w:rPr>
          <w:color w:val="555555"/>
          <w:sz w:val="22"/>
          <w:szCs w:val="22"/>
        </w:rPr>
        <w:t xml:space="preserve">High Performance Computing — Prof. Daniele D'Agostino, University of Genoa</w:t>
      </w:r>
    </w:p>
    <w:p>
      <w:pPr>
        <w:spacing w:before="200"/>
        <w:jc w:val="center"/>
      </w:pPr>
      <w:r>
        <w:rPr>
          <w:sz w:val="24"/>
          <w:szCs w:val="24"/>
        </w:rPr>
        <w:t xml:space="preserve">Maryam Hajishah</w:t>
      </w:r>
    </w:p>
    <w:p>
      <w:pPr>
        <w:jc w:val="center"/>
      </w:pPr>
      <w:r>
        <w:rPr>
          <w:i/>
          <w:iCs/>
          <w:color w:val="999999"/>
          <w:sz w:val="22"/>
          <w:szCs w:val="22"/>
        </w:rPr>
        <w:t xml:space="preserve">[co-author(s) if any]</w:t>
      </w:r>
    </w:p>
    <w:p>
      <w:pPr>
        <w:spacing w:before="120"/>
        <w:jc w:val="center"/>
      </w:pPr>
      <w:r>
        <w:rPr>
          <w:color w:val="2E4B7A"/>
          <w:sz w:val="20"/>
          <w:szCs w:val="20"/>
        </w:rPr>
        <w:t xml:space="preserve">github.com/MaryamHajishah/HPC-benchmark</w:t>
      </w:r>
    </w:p>
    <w:p>
      <w:pPr>
        <w:spacing w:before="60"/>
        <w:jc w:val="center"/>
      </w:pPr>
      <w:r>
        <w:rPr>
          <w:color w:val="777777"/>
          <w:sz w:val="20"/>
          <w:szCs w:val="20"/>
        </w:rPr>
        <w:t xml:space="preserve">[date] — 9-credit project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Introduction and Objectives</w:t>
      </w:r>
    </w:p>
    <w:p>
      <w:pPr>
        <w:spacing w:after="100"/>
      </w:pPr>
      <w:r>
        <w:t xml:space="preserve">This project parallelizes the professor's sequential dense matrix multiplication (C = A×B, n×n doubles, i-k-j accumulation) across the three paradigms of the course: shared-memory (OpenMP), distributed-memory (MPI) and GPU (CUDA). Following the course methodology, the focus is not only on peak performance but on the reasoning: how the hot spot was identified, how each optimization was justified, and how speed-up, efficiency and scaling are presented and discussed.</w:t>
      </w:r>
    </w:p>
    <w:p>
      <w:pPr>
        <w:spacing w:after="100"/>
      </w:pPr>
      <w:r>
        <w:t xml:space="preserve">Correctness oracle. With A[i][j]=2 and B[i][j]=3, every C[i][j] must equal 6·n exactly. Every run reports max|C[i][j] − 6n| over the whole matrix; a non-zero value means the result is wrong and the timing is void.</w:t>
      </w:r>
    </w:p>
    <w:p>
      <w:pPr>
        <w:spacing w:after="100"/>
      </w:pPr>
      <w:r>
        <w:t xml:space="preserve">Goals of this report: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Establish the BEST vectorized sequential time as the single baseline reused for every speed-up.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Parallelize with OpenMP, MPI and CUDA, each in an iterative progression of variants.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Present speed-up + efficiency tables and strong-scaling plots (each configuration vs. its own ideal).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Explain every anomaly and relate performance to the architecture (caches, AVX2, memory bandwidth, T4).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Resource Description</w:t>
      </w:r>
    </w:p>
    <w:p>
      <w:pPr>
        <w:spacing w:after="100"/>
      </w:pPr>
      <w:r>
        <w:t xml:space="preserve">All CPU timings (sequential, OpenMP, MPI) were taken on the university lab workstations. CUDA timings were taken on Google Colab. Development may happen anywhere; only the final timings reported here come from these two fixed platforms so they are comparable and reproducible.</w:t>
      </w:r>
    </w:p>
    <w:p>
      <w:pPr>
        <w:pStyle w:val="Heading2"/>
        <w:spacing w:after="80" w:before="180"/>
      </w:pPr>
      <w:r>
        <w:t xml:space="preserve">2.1 Lab workstation — Intel Core i9-12900K (Alder Lake)</w:t>
      </w:r>
    </w:p>
    <w:p>
      <w:pPr>
        <w:spacing w:after="100"/>
      </w:pPr>
      <w:r>
        <w:t xml:space="preserve">Fill/confirm from lscpu and lstopo run on the lab machine (paste screenshot in Appendix). Alder Lake is a hybrid 8 P-core + 8 E-core chip; Hyper-Threading on the P-cores gives 24 logical CPUs on 16 physical cores, a single socket / single NUMA node.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Processor feature</w:t>
            </w:r>
          </w:p>
        </w:tc>
        <w:tc>
          <w:tcPr>
            <w:tcW w:type="dxa" w:w="57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 (confirm on lab)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 Core i9-12900K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x86_64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Logical CPUs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Physical cores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(8 P + 8 E)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Threads per core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(P-cores) / 1 (E-cores)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Sockets / NUMA nodes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/ 1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 frequency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~4.02–5.2 GHz (confirm)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SIMD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SSE…AVX2 + FMA (NO AVX-512)</w:t>
            </w:r>
          </w:p>
        </w:tc>
      </w:tr>
    </w:tbl>
    <w:p>
      <w:pPr>
        <w:pBdr>
          <w:left w:val="single" w:color="E0A800" w:sz="18" w:space="6"/>
        </w:pBdr>
        <w:shd w:fill="FFF7E0" w:val="clear"/>
        <w:spacing w:after="100"/>
      </w:pPr>
      <w:r>
        <w:rPr>
          <w:i/>
          <w:iCs/>
          <w:color w:val="7A5A00"/>
        </w:rPr>
        <w:t xml:space="preserve">Accuracy note vs. the 26/30 reference: the chip has AVX2 (256-bit), NOT AVX-512, and 16 physical / 24 logical cores. State this explicitly — it caps single-core peak at 4 doubles/FMA and is the #1 factual correction over the reference report.</w:t>
      </w:r>
    </w:p>
    <w:p>
      <w:pPr>
        <w:pStyle w:val="Heading3"/>
        <w:spacing w:after="60" w:before="140"/>
      </w:pPr>
      <w:r>
        <w:t xml:space="preserve">Cache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Cache level</w:t>
            </w:r>
          </w:p>
        </w:tc>
        <w:tc>
          <w:tcPr>
            <w:tcW w:type="dxa" w:w="4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Size (confirm)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 data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640 KB total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 instruction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768 KB total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MB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L3 (shared)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MB</w:t>
            </w:r>
          </w:p>
        </w:tc>
      </w:tr>
    </w:tbl>
    <w:p>
      <w:pPr>
        <w:spacing w:after="100"/>
      </w:pPr>
      <w:r>
        <w:t xml:space="preserve">The large shared 30 MB L3 is what makes cache blocking pay off: a tile of A and B stays resident across the inner k-loop, cutting main-memory traffic. This is the analytical justification used later for the block-size sweeps.</w:t>
      </w:r>
    </w:p>
    <w:p>
      <w:pPr>
        <w:pStyle w:val="Heading2"/>
        <w:spacing w:after="80" w:before="180"/>
      </w:pPr>
      <w:r>
        <w:t xml:space="preserve">2.2 GPU — NVIDIA Tesla T4 (Colab)</w:t>
      </w:r>
    </w:p>
    <w:p>
      <w:pPr>
        <w:spacing w:after="100"/>
      </w:pPr>
      <w:r>
        <w:t xml:space="preserve">Confirm with nvidia-smi and deviceQuery (screenshot in Appendix). Compilation MUST target sm_75.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GPU feature</w:t>
            </w:r>
          </w:p>
        </w:tc>
        <w:tc>
          <w:tcPr>
            <w:tcW w:type="dxa" w:w="57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 (confirm on Colab)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NVIDIA Tesla T4 (Turing)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Compute capability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 → nvcc -arch=sm_75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SMs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 memory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GB GDDR6, ~320 GB/s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FP32 peak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~8.1 TFLOP/s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FP64 peak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~0.25 TFLOP/s (1:32 of FP32)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mem / SM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 to 64 KB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 threads / block</w:t>
            </w:r>
          </w:p>
        </w:tc>
        <w:tc>
          <w:tcPr>
            <w:tcW w:type="dxa" w:w="5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</w:t>
            </w:r>
          </w:p>
        </w:tc>
      </w:tr>
    </w:tbl>
    <w:p>
      <w:pPr>
        <w:pBdr>
          <w:left w:val="single" w:color="E0A800" w:sz="18" w:space="6"/>
        </w:pBdr>
        <w:shd w:fill="FFF7E0" w:val="clear"/>
        <w:spacing w:after="100"/>
      </w:pPr>
      <w:r>
        <w:rPr>
          <w:i/>
          <w:iCs/>
          <w:color w:val="7A5A00"/>
        </w:rPr>
        <w:t xml:space="preserve">FP64 on the T4 is 1/32 of FP32. Report both precisions and explain the ~30× gap by this hardware ratio, not by a coding mistake.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Methodology</w:t>
      </w:r>
    </w:p>
    <w:p>
      <w:pPr>
        <w:spacing w:after="100"/>
      </w:pPr>
      <w:r>
        <w:t xml:space="preserve">This section is the main differentiator over the reference report, which had no methodology section. Define everything once here and reuse it.</w:t>
      </w:r>
    </w:p>
    <w:p>
      <w:pPr>
        <w:pStyle w:val="Heading2"/>
        <w:spacing w:after="80" w:before="180"/>
      </w:pPr>
      <w:r>
        <w:t xml:space="preserve">3.1 Timing primitive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Sequential: clock_gettime(CLOCK_MONOTONIC) — wall-clock, NOT clock() (clock() sums CPU time across threads and inflates parallel runs).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OpenMP: omp_get_wtime(). MPI: MPI_Wtime() (report the max over ranks). CUDA: cudaEvent timers around the kernel; host↔device copies timed separately.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Only the multiply kernel is timed. Allocation, initialization and correctness checking are excluded.</w:t>
      </w:r>
    </w:p>
    <w:p>
      <w:pPr>
        <w:pStyle w:val="Heading2"/>
        <w:spacing w:after="80" w:before="180"/>
      </w:pPr>
      <w:r>
        <w:t xml:space="preserve">3.2 Repetitions and statistic reported</w:t>
      </w:r>
    </w:p>
    <w:p>
      <w:pPr>
        <w:spacing w:after="100"/>
      </w:pPr>
      <w:r>
        <w:t xml:space="preserve">Each configuration is run at least 3 times; we report the MINIMUM (least perturbed) and the MEDIAN. A warm-up run is discarded. Sizes are chosen so the sequential kernel runs ≥ 60 s (professor's rule): n = 5000, 10000, and up to ~15000.</w:t>
      </w:r>
    </w:p>
    <w:p>
      <w:pPr>
        <w:pStyle w:val="Heading2"/>
        <w:spacing w:after="80" w:before="180"/>
      </w:pPr>
      <w:r>
        <w:t xml:space="preserve">3.3 Correctness oracle</w:t>
      </w:r>
    </w:p>
    <w:p>
      <w:pPr>
        <w:spacing w:after="100"/>
      </w:pPr>
      <w:r>
        <w:t xml:space="preserve">max|C[i][j] − 6n| over the entire matrix (not just C[0][0]). Reported for every run; must be 0.</w:t>
      </w:r>
    </w:p>
    <w:p>
      <w:pPr>
        <w:pStyle w:val="Heading2"/>
        <w:spacing w:after="80" w:before="180"/>
      </w:pPr>
      <w:r>
        <w:t xml:space="preserve">3.4 Performance metrics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Speed-up S(p) = T_seq_best / T_p, where T_seq_best is the single best vectorized sequential time — the SAME denominator everywhere.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Efficiency E(p) = S(p) / p, where p = number of parallel units (threads / processes / — for GPU we compare GFLOP/s and vs. cuBLAS, not a core count).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GFLOP/s = 2·n³ / t / 1e9.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Amdahl serial fraction f estimated from measured S(p): f = (1/S − 1/p)/(1 − 1/p); report the implied max speed-up 1/f.</w:t>
      </w:r>
    </w:p>
    <w:p>
      <w:pPr>
        <w:pStyle w:val="Heading2"/>
        <w:spacing w:after="80" w:before="180"/>
      </w:pPr>
      <w:r>
        <w:t xml:space="preserve">3.5 Scaling presentation rules (professor's rubric)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Present STRONG scaling (fixed problem, growing p). Weak scaling is shown only as a supporting MPI experiment.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Isolate ONE variable per chart (never vary threads AND block size in the same figure).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Compare each configuration against ITS OWN ideal line (e.g. p threads → ideal speed-up p).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 anomalous/chaotic point is explained in text, or the experiment is re-run.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 figure shows speed-up + efficiency and states the reference sequential time.</w:t>
      </w:r>
    </w:p>
    <w:p>
      <w:pPr>
        <w:pBdr>
          <w:left w:val="single" w:color="E0A800" w:sz="18" w:space="6"/>
        </w:pBdr>
        <w:shd w:fill="FFF7E0" w:val="clear"/>
        <w:spacing w:after="100"/>
      </w:pPr>
      <w:r>
        <w:rPr>
          <w:i/>
          <w:iCs/>
          <w:color w:val="7A5A00"/>
        </w:rPr>
        <w:t xml:space="preserve">Screenshots: the professor wants a terminal screenshot of every timed run, not only the plots. Capture each command+output and drop it into the matching section or Appendix B.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Sequential Baseline and Optimization</w:t>
      </w:r>
    </w:p>
    <w:p>
      <w:pPr>
        <w:spacing w:after="100"/>
      </w:pPr>
      <w:r>
        <w:t xml:space="preserve">What we optimize here: single-core efficiency — loop order (cache locality), compiler auto-vectorization (AVX2/FMA), and cache blocking. The output of this section is T_seq_best, the denominator for all later speed-ups.</w:t>
      </w:r>
    </w:p>
    <w:p>
      <w:pPr>
        <w:pStyle w:val="Heading2"/>
        <w:spacing w:after="80" w:before="180"/>
      </w:pPr>
      <w:r>
        <w:t xml:space="preserve">4.1 Implementation and hot-spot</w:t>
      </w:r>
    </w:p>
    <w:p>
      <w:pPr>
        <w:spacing w:after="100"/>
      </w:pPr>
      <w:r>
        <w:t xml:space="preserve">The triple-nested loop is the entire hot spot (≈100% of runtime); confirm with gprof/Advisor and paste the survey. Loop order i-k-j keeps the inner j-loop unit-stride on C and B so -O3 -xHost auto-vectorizes it; the reference i-j-k order walks B column-wise (stride-n) and is cache-hostile.</w:t>
      </w:r>
    </w:p>
    <w:p>
      <w:pPr>
        <w:pStyle w:val="Heading3"/>
        <w:spacing w:after="60" w:before="140"/>
      </w:pPr>
      <w:r>
        <w:t xml:space="preserve">Build commands (lab, Intel oneAPI)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source /opt/intel/oneapi/setvars.sh   # if icx not already on PATH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icx -O3 -xHost -qopt-report=3 -std=c11 matmul_seq.c -o matmul_seq   # inspect *.optrpt for vectorization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gcc -O3 -march=native -std=c11 matmul_seq.c -o matmul_seq          # Colab / GCC fallback</w:t>
      </w:r>
    </w:p>
    <w:p>
      <w:pPr>
        <w:pStyle w:val="Heading2"/>
        <w:spacing w:after="80" w:before="180"/>
      </w:pPr>
      <w:r>
        <w:t xml:space="preserve">4.2 Loop-order comparison (n = 2000)</w:t>
      </w:r>
    </w:p>
    <w:p>
      <w:pPr>
        <w:spacing w:after="100"/>
      </w:pPr>
      <w:r>
        <w:t xml:space="preserve">Expected: i-j-k naive is far slower; i-k-j vectorizes and is several× faster; blocked i-k-j is similar or better at large 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360"/>
        <w:gridCol w:w="24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Variant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t_min (s)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13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max_err</w:t>
            </w:r>
          </w:p>
        </w:tc>
        <w:tc>
          <w:tcPr>
            <w:tcW w:type="dxa" w:w="2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Comment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Figure 4.1 — bar chart: GFLOP/s by loop order</w:t>
      </w:r>
    </w:p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4.3 Compiler-flag sweep (n = 5000, i-k-j)</w:t>
      </w:r>
    </w:p>
    <w:p>
      <w:pPr>
        <w:spacing w:after="100"/>
      </w:pPr>
      <w:r>
        <w:t xml:space="preserve">Expected: big jump -O0→-O2; -O3 -xHost adds AVX2 vectorization (~2× over scalar). Note GCC clamps -O4 to -O3 (another factual correction over the reference).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Flags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t_min (s)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Speed-up vs -O0</w:t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-O0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-O1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-O2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-O3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-O3 -xHost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4.4 Cache block-size sweep (n = 5000, -O3 -xHost)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40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Block size</w:t>
            </w:r>
          </w:p>
        </w:tc>
        <w:tc>
          <w:tcPr>
            <w:tcW w:type="dxa" w:w="1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t_min (s)</w:t>
            </w:r>
          </w:p>
        </w:tc>
        <w:tc>
          <w:tcPr>
            <w:tcW w:type="dxa" w:w="1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4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Comment (L1/L2/L3 fit)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(none)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4.5 Roofline of the best sequential kernel</w:t>
      </w:r>
    </w:p>
    <w:p>
      <w:pPr>
        <w:spacing w:after="100"/>
      </w:pPr>
      <w:r>
        <w:t xml:space="preserve">Run Intel Advisor survey + roofline; place the kernel dot and read its arithmetic intensity. Matrix multiply with blocking should move from memory-bound toward compute-bound. State the machine peak lines used.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advixe-cl -collect roofline -project-dir ./adv -- ./matmul_seq 5000 &lt;best_block&gt; 3</w:t>
      </w:r>
    </w:p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Figure 4.2 — Intel Advisor roofline (screenshot), kernel dot annotated</w:t>
      </w:r>
    </w:p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4.6 THE sequential baseline (reused everywhere)</w:t>
      </w:r>
    </w:p>
    <w:p>
      <w:pPr>
        <w:spacing w:after="100"/>
      </w:pPr>
      <w:r>
        <w:t xml:space="preserve">Best variant + flags + block size, run at each size ≥60 s. These t_min values are T_seq_best.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6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31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Best config (flags/block)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t_min (s)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t_med (s)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max_err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10000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15000 (optional)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0A800" w:sz="18" w:space="6"/>
        </w:pBdr>
        <w:shd w:fill="FFF7E0" w:val="clear"/>
        <w:spacing w:after="100"/>
      </w:pPr>
      <w:r>
        <w:rPr>
          <w:i/>
          <w:iCs/>
          <w:color w:val="7A5A00"/>
        </w:rPr>
        <w:t xml:space="preserve">Consistency check vs. reference: use the SAME best block size for sequential, OpenMP and MPI. The reference used block=32 for the serial baseline but found block=16 better only inside MPI and never re-applied it, making all its speed-ups wrong. Do not repeat that.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First Paradigm — OpenMP (shared memory)</w:t>
      </w:r>
    </w:p>
    <w:p>
      <w:pPr>
        <w:spacing w:after="100"/>
      </w:pPr>
      <w:r>
        <w:t xml:space="preserve">What we optimize: multi-core parallelism on one workstation. We parallelize the OUTER loop only (each thread owns whole rows of C → race-free, no atomics), with parallel first-touch init and schedule(runtime).</w:t>
      </w:r>
    </w:p>
    <w:p>
      <w:pPr>
        <w:pStyle w:val="Heading3"/>
        <w:spacing w:after="60" w:before="140"/>
      </w:pPr>
      <w:r>
        <w:t xml:space="preserve">Build &amp; run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icx -O3 -xHost -qopenmp -std=c11 matmul_omp.c -o matmul_omp   # gcc: -fopenmp -march=native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OMP_NUM_THREADS=&lt;T&gt; OMP_SCHEDULE=static ./matmul_omp &lt;n&gt; &lt;block&gt; 3</w:t>
      </w:r>
    </w:p>
    <w:p>
      <w:pPr>
        <w:pStyle w:val="Heading2"/>
        <w:spacing w:after="80" w:before="180"/>
      </w:pPr>
      <w:r>
        <w:t xml:space="preserve">5.1 Thread scaling (strong scaling) — fixed n, block, schedule=static</w:t>
      </w:r>
    </w:p>
    <w:p>
      <w:pPr>
        <w:spacing w:after="100"/>
      </w:pPr>
      <w:r>
        <w:t xml:space="preserve">Expected: near-linear speed-up up to ~8 P-cores; efficiency drops beyond, since E-cores are slower and HT shares execution units, and because matmul saturates memory bandwidth. Explain the knee.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360"/>
        <w:gridCol w:w="20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Threads p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t_min (s)</w:t>
            </w:r>
          </w:p>
        </w:tc>
        <w:tc>
          <w:tcPr>
            <w:tcW w:type="dxa" w:w="2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Speed-up S=Tseq/Tp</w:t>
            </w:r>
          </w:p>
        </w:tc>
        <w:tc>
          <w:tcPr>
            <w:tcW w:type="dxa" w:w="13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Ideal S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Efficiency S/p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Figure 5.1 — strong-scaling: measured speed-up vs. ideal line (state T_seq_best)</w:t>
      </w:r>
    </w:p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Figure 5.2 — efficiency vs. thread count</w:t>
      </w:r>
    </w:p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5.2 Block-size sweep under OpenMP (fixed T = best)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000"/>
        <w:gridCol w:w="30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Block size</w:t>
            </w:r>
          </w:p>
        </w:tc>
        <w:tc>
          <w:tcPr>
            <w:tcW w:type="dxa" w:w="23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t_min (s)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Efficiency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5.3 Scheduling strategy (fixed T, block)</w:t>
      </w:r>
    </w:p>
    <w:p>
      <w:pPr>
        <w:spacing w:after="100"/>
      </w:pPr>
      <w:r>
        <w:t xml:space="preserve">static vs dynamic vs guided. For matmul the load is uniform, so static should win (least overhead); show it rather than assert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2000"/>
        <w:gridCol w:w="3000"/>
      </w:tblGrid>
      <w:tr>
        <w:trPr>
          <w:tblHeader/>
        </w:trPr>
        <w:tc>
          <w:tcPr>
            <w:tcW w:type="dxa" w:w="23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OMP_SCHEDULE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t_min (s)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Comment</w:t>
            </w:r>
          </w:p>
        </w:tc>
      </w:tr>
      <w:tr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guided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5.4 Amdahl serial-fraction estimate</w:t>
      </w:r>
    </w:p>
    <w:p>
      <w:pPr>
        <w:spacing w:after="100"/>
      </w:pPr>
      <w:r>
        <w:t xml:space="preserve">From the measured S(p), estimate f and the implied ceiling 1/f; discuss whether the plateau matches bandwidth saturation rather than serial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Measured S</w:t>
            </w:r>
          </w:p>
        </w:tc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Implied f</w:t>
            </w:r>
          </w:p>
        </w:tc>
        <w:tc>
          <w:tcPr>
            <w:tcW w:type="dxa" w:w="27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Implied max speed-up 1/f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Second Paradigm — MPI (distributed memory)</w:t>
      </w:r>
    </w:p>
    <w:p>
      <w:pPr>
        <w:spacing w:after="100"/>
      </w:pPr>
      <w:r>
        <w:t xml:space="preserve">What we optimize: distributed-memory parallelism. Decomposition: row-block. Rank 0 Scatterv's the rows of A, Bcast's B, each rank computes its stripe of C, Gatherv collects it. We also compare a manual point-to-point (Send/Recv) version against the collectives.</w:t>
      </w:r>
    </w:p>
    <w:p>
      <w:pPr>
        <w:pBdr>
          <w:left w:val="single" w:color="E0A800" w:sz="18" w:space="6"/>
        </w:pBdr>
        <w:shd w:fill="FFF7E0" w:val="clear"/>
        <w:spacing w:after="100"/>
      </w:pPr>
      <w:r>
        <w:rPr>
          <w:i/>
          <w:iCs/>
          <w:color w:val="7A5A00"/>
        </w:rPr>
        <w:t xml:space="preserve">Lab MPI runs on a single workstation (no cluster available). p = MPI processes on the 24 logical cores. This is stated as a limitation; scaling is still strong scaling over processes.</w:t>
      </w:r>
    </w:p>
    <w:p>
      <w:pPr>
        <w:pStyle w:val="Heading3"/>
        <w:spacing w:after="60" w:before="140"/>
      </w:pPr>
      <w:r>
        <w:t xml:space="preserve">Build &amp; run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mpiicx -O3 -xHost -std=c11 matmul_mpi.c -o matmul_mpi   # or: mpicc -O3 -march=native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mpirun -np &lt;P&gt; ./matmul_mpi &lt;n&gt; &lt;block&gt; 3</w:t>
      </w:r>
    </w:p>
    <w:p>
      <w:pPr>
        <w:pStyle w:val="Heading2"/>
        <w:spacing w:after="80" w:before="180"/>
      </w:pPr>
      <w:r>
        <w:t xml:space="preserve">6.1 Process scaling (strong scaling)</w:t>
      </w:r>
    </w:p>
    <w:p>
      <w:pPr>
        <w:spacing w:after="100"/>
      </w:pPr>
      <w:r>
        <w:t xml:space="preserve">Expected: speed-up rises then flattens earlier than OpenMP because of Scatterv/Bcast/Gatherv communication AND memory-bandwidth saturation on one node. Attribute the flattening to bandwidth, not just Bcast (correction over the reference, which hand-waved it as Bcast overhead).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160"/>
        <w:gridCol w:w="1600"/>
        <w:gridCol w:w="176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Processes P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t_min (s)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Speed-up</w:t>
            </w:r>
          </w:p>
        </w:tc>
        <w:tc>
          <w:tcPr>
            <w:tcW w:type="dxa" w:w="11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Ideal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Efficiency</w:t>
            </w:r>
          </w:p>
        </w:tc>
        <w:tc>
          <w:tcPr>
            <w:tcW w:type="dxa" w:w="17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 time (s)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Figure 6.1 — MPI strong-scaling vs. ideal (state T_seq_best)</w:t>
      </w:r>
    </w:p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6.2 Collectives vs. manual point-to-point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760"/>
        <w:gridCol w:w="1760"/>
        <w:gridCol w:w="224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17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t_min (s)</w:t>
            </w:r>
          </w:p>
        </w:tc>
        <w:tc>
          <w:tcPr>
            <w:tcW w:type="dxa" w:w="17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224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Comment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6.3 Weak scaling (supporting experiment)</w:t>
      </w:r>
    </w:p>
    <w:p>
      <w:pPr>
        <w:spacing w:after="100"/>
      </w:pPr>
      <w:r>
        <w:t xml:space="preserve">Keep work-per-process fixed (grow n with P); show efficiency behaviour. Weak scaling can hide inefficiencies, so it supplements, not replaces, strong scaling.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000"/>
        <w:gridCol w:w="300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31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 (per-proc work fixed)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t_min (s)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Weak-scaling efficiency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r>
        <w:br w:type="page"/>
      </w:r>
    </w:p>
    <w:p>
      <w:pPr>
        <w:pStyle w:val="Heading1"/>
        <w:spacing w:after="120" w:before="240"/>
      </w:pPr>
      <w:r>
        <w:t xml:space="preserve">7. Third Paradigm — CUDA (GPU, Tesla T4)</w:t>
      </w:r>
    </w:p>
    <w:p>
      <w:pPr>
        <w:spacing w:after="100"/>
      </w:pPr>
      <w:r>
        <w:t xml:space="preserve">What we optimize: massive data parallelism + memory-coalescing + shared-memory tiling. Progression: naive global-memory kernel → shared-memory tiled kernel → cuBLAS reference. One thread computes one C element; block/grid sized to cover n×n.</w:t>
      </w:r>
    </w:p>
    <w:p>
      <w:pPr>
        <w:pStyle w:val="Heading3"/>
        <w:spacing w:after="60" w:before="140"/>
      </w:pPr>
      <w:r>
        <w:t xml:space="preserve">Build &amp; run (Colab)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nvcc -O3 -arch=sm_75 matmul_cuda.cu -o matmul_cuda   # sm_75 REQUIRED for T4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./matmul_cuda &lt;n&gt;    # kernel timed with cudaEvents; H2D/D2H copies timed separately</w:t>
      </w:r>
    </w:p>
    <w:p>
      <w:pPr>
        <w:pStyle w:val="Heading2"/>
        <w:spacing w:after="80" w:before="180"/>
      </w:pPr>
      <w:r>
        <w:t xml:space="preserve">7.1 Naive kernel + block-size swap</w:t>
      </w:r>
    </w:p>
    <w:p>
      <w:pPr>
        <w:spacing w:after="100"/>
      </w:pPr>
      <w:r>
        <w:t xml:space="preserve">Naive kernel is memory-bound (each element re-reads a row and column from global memory). Try block 8×8, 16×16, 32×32; expect 16×16 or 32×32 best.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60"/>
        <w:gridCol w:w="2500"/>
        <w:gridCol w:w="20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Block (threads/blk)</w:t>
            </w:r>
          </w:p>
        </w:tc>
        <w:tc>
          <w:tcPr>
            <w:tcW w:type="dxa" w:w="22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t_kernel (ms)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max_err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8×8</w:t>
            </w:r>
          </w:p>
        </w:tc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16×16</w:t>
            </w:r>
          </w:p>
        </w:tc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32×32</w:t>
            </w:r>
          </w:p>
        </w:tc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7.2 Shared-memory tiled kernel + tile-size</w:t>
      </w:r>
    </w:p>
    <w:p>
      <w:pPr>
        <w:spacing w:after="100"/>
      </w:pPr>
      <w:r>
        <w:t xml:space="preserve">Tiling loads a TILE×TILE block of A and B into shared memory once and reuses it, cutting global-memory traffic ~TILE×. Expect a large jump over naive.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2500"/>
        <w:gridCol w:w="2500"/>
      </w:tblGrid>
      <w:tr>
        <w:trPr>
          <w:tblHeader/>
        </w:trPr>
        <w:tc>
          <w:tcPr>
            <w:tcW w:type="dxa" w:w="23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Tile size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t_kernel (ms)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Speed-up vs naive</w:t>
            </w:r>
          </w:p>
        </w:tc>
      </w:tr>
      <w:tr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Figure 7.1 — kernel progression bar chart: naive → tiled → cuBLAS (GFLOP/s)</w:t>
      </w:r>
    </w:p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7.3 cuBLAS reference</w:t>
      </w:r>
    </w:p>
    <w:p>
      <w:pPr>
        <w:spacing w:after="100"/>
      </w:pPr>
      <w:r>
        <w:t xml:space="preserve">cublasDgemm/Sgemm gives the practical peak; report how close the tiled kernel gets (%).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Kernel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t_kernel (ms)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 of cuBLAS</w:t>
            </w:r>
          </w:p>
        </w:tc>
      </w:tr>
      <w:tr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Naive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Tiled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cuBLAS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pPr>
        <w:pStyle w:val="Heading2"/>
        <w:spacing w:after="80" w:before="180"/>
      </w:pPr>
      <w:r>
        <w:t xml:space="preserve">7.4 FP32 vs FP64 and transfer overhead</w:t>
      </w:r>
    </w:p>
    <w:p>
      <w:pPr>
        <w:spacing w:after="100"/>
      </w:pPr>
      <w:r>
        <w:t xml:space="preserve">Report both precisions; FP64 ≈ 1/32 FP32 on T4 (hardware, not a bug). Also break out H2D + D2H copy time vs. kernel time — for a single matmul, transfers can dominate (this is the Amdahl serial part of the GPU offload).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200"/>
        <w:gridCol w:w="2200"/>
        <w:gridCol w:w="1600"/>
        <w:gridCol w:w="1600"/>
      </w:tblGrid>
      <w:tr>
        <w:trPr>
          <w:tblHeader/>
        </w:trPr>
        <w:tc>
          <w:tcPr>
            <w:tcW w:type="dxa" w:w="17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t_kernel (ms)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H2D+D2H (ms)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max_err</w:t>
            </w:r>
          </w:p>
        </w:tc>
      </w:tr>
      <w:tr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FP32 (float)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FP64 (double)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60"/>
      </w:pPr>
      <w:r>
        <w:rPr>
          <w:b/>
          <w:bCs/>
          <w:color w:val="1F6B3B"/>
        </w:rPr>
        <w:t xml:space="preserve">Conclusion from this test: </w:t>
      </w:r>
      <w:r>
        <w:rPr>
          <w:i/>
          <w:iCs/>
          <w:color w:val="888888"/>
        </w:rPr>
        <w:t xml:space="preserve">[write what the numbers show — which config won, why, any anomaly + explanation, link back to the architecture]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Comparative Analysis and Overall Conclusions</w:t>
      </w:r>
    </w:p>
    <w:p>
      <w:pPr>
        <w:spacing w:after="100"/>
      </w:pPr>
      <w:r>
        <w:t xml:space="preserve">Bring the three paradigms together against the SAME sequential baseline. Compare best achievable GFLOP/s and where each is limited (AVX2 peak, memory bandwidth, PCIe transfer, FP64 ratio).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60"/>
        <w:gridCol w:w="1900"/>
        <w:gridCol w:w="1800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Paradigm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Best config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3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GFLOP/s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Speed-up vs T_seq_best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Limiting factor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Sequential (best)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1.00×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OpenMP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MPI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CUDA (tiled)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CUDA (cuBLAS)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Figure 8.1 — comparative GFLOP/s across all paradigms (log scale)</w:t>
      </w:r>
    </w:p>
    <w:p>
      <w:pPr>
        <w:pStyle w:val="Heading2"/>
        <w:spacing w:after="80" w:before="180"/>
      </w:pPr>
      <w:r>
        <w:t xml:space="preserve">8.1 Discussion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CPU paradigms saturate memory bandwidth well before the AVX2 FLOP peak — matmul is memory-bound at these sizes without deep tiling.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MPI on one node ≈ OpenMP minus communication; the value of MPI is scale-out to many nodes, which we could not test (limitation).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GPU wins on throughput once data is resident; single-matmul transfer cost is the offload's serial fraction (Amdahl).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FP64 vs FP32 gap on T4 is the 1:32 hardware ratio.</w:t>
      </w:r>
    </w:p>
    <w:p>
      <w:pPr>
        <w:pStyle w:val="Heading2"/>
        <w:spacing w:after="80" w:before="180"/>
      </w:pPr>
      <w:r>
        <w:t xml:space="preserve">8.2 Conclusions</w:t>
      </w:r>
    </w:p>
    <w:p>
      <w:pPr>
        <w:spacing w:after="100"/>
      </w:pPr>
      <w:r>
        <w:t xml:space="preserve">[Summarize: which paradigm for which situation; how close to each ceiling; what you would do with a real cluster / a compute-grade GPU.]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Appendix A — Reproducibility: all commands</w:t>
      </w:r>
    </w:p>
    <w:p>
      <w:pPr>
        <w:spacing w:after="100"/>
      </w:pPr>
      <w:r>
        <w:t xml:space="preserve">Paste the exact compile + run commands for every result (professor requires this). Template: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specs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lscpu ; lstopo --output-format txt ; free -h ; nvidia-smi ; ./deviceQuery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sequential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bash scripts/run_seq.sh   &gt;&gt; outputs/run_seq.txt 2&gt;&amp;1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openmp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bash scripts/run_omp.sh   &gt;&gt; outputs/run_omp.txt 2&gt;&amp;1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mpi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bash scripts/run_mpi.sh   &gt;&gt; outputs/run_mpi.txt 2&gt;&amp;1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cuda (Colab)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nvcc -O3 -arch=sm_75 matmul_cuda.cu -o matmul_cuda &amp;&amp; ./matmul_cuda 5000</w:t>
      </w:r>
    </w:p>
    <w:p>
      <w:pPr>
        <w:pStyle w:val="Heading1"/>
        <w:spacing w:after="120" w:before="240"/>
      </w:pPr>
      <w:r>
        <w:t xml:space="preserve">Appendix B — Terminal screenshots of every run</w:t>
      </w:r>
    </w:p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[SCREENSHOT: specs.sh output]</w:t>
      </w:r>
    </w:p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[SCREENSHOT: sequential runs]</w:t>
      </w:r>
    </w:p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[SCREENSHOT: OpenMP thread sweep]</w:t>
      </w:r>
    </w:p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[SCREENSHOT: MPI process sweep]</w:t>
      </w:r>
    </w:p>
    <w:p>
      <w:pPr>
        <w:pBdr>
          <w:top w:val="dashed" w:color="9DB8E0" w:sz="8"/>
          <w:bottom w:val="dashed" w:color="9DB8E0" w:sz="8"/>
          <w:left w:val="dashed" w:color="9DB8E0" w:sz="8"/>
          <w:right w:val="dashed" w:color="9DB8E0" w:sz="8"/>
        </w:pBdr>
        <w:shd w:fill="EEF3FB" w:val="clear"/>
        <w:spacing w:after="120" w:before="80"/>
        <w:jc w:val="center"/>
      </w:pPr>
      <w:r>
        <w:rPr>
          <w:i/>
          <w:iCs/>
          <w:color w:val="2E4B7A"/>
        </w:rPr>
        <w:t xml:space="preserve">🖼  [SCREENSHOT: CUDA runs + deviceQuery]</w:t>
      </w:r>
    </w:p>
    <w:p>
      <w:pPr>
        <w:pStyle w:val="Heading1"/>
        <w:spacing w:after="120" w:before="240"/>
      </w:pPr>
      <w:r>
        <w:t xml:space="preserve">Appendix C — Raw output files</w:t>
      </w:r>
    </w:p>
    <w:p>
      <w:pPr>
        <w:spacing w:after="100"/>
      </w:pPr>
      <w:r>
        <w:t xml:space="preserve">Reference the outputs/*.txt committed in the repo (do not paste thousands of lines; summarize + link).</w:t>
      </w:r>
    </w:p>
    <w:p>
      <w:pPr>
        <w:pStyle w:val="Heading1"/>
        <w:spacing w:after="120" w:before="240"/>
      </w:pPr>
      <w:r>
        <w:t xml:space="preserve">Appendix D — Code listings</w:t>
      </w:r>
    </w:p>
    <w:p>
      <w:pPr>
        <w:spacing w:after="100"/>
      </w:pPr>
      <w:r>
        <w:t xml:space="preserve">matmul_seq.c, matmul_omp.c, matmul_mpi.c, matmul_cuda.cu — either inline key kernels or reference the GitHub repo with a commit hash.</w:t>
      </w:r>
    </w:p>
    <w:p>
      <w:pPr>
        <w:pStyle w:val="Heading1"/>
        <w:spacing w:after="120" w:before="240"/>
      </w:pPr>
      <w:r>
        <w:t xml:space="preserve">Appendix E — References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Goto &amp; van de Geijn, "Anatomy of High-Performance Matrix Multiplication", ACM TOMS, 2008.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Williams, Waterman, Patterson, "Roofline: an insightful visual performance model", CACM, 2009.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Amdahl, "Validity of the single-processor approach…", AFIPS, 1967.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Intel oneAPI / Advisor documentation; NVIDIA CUDA C Best Practices Guide; OpenMP 5.x and MPI 4.x specifications.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[add any others you actually cite]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 Light" w:cs="Calibri Light" w:eastAsia="Calibri Light" w:hAnsi="Calibri Light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</w:pPr>
    <w:rPr>
      <w:rFonts w:ascii="Calibri Light" w:cs="Calibri Light" w:eastAsia="Calibri Light" w:hAnsi="Calibri Light"/>
      <w:b/>
      <w:bCs/>
      <w:color w:val="2E74B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2026-07-09T22:46:01.150Z</dcterms:created>
  <dcterms:modified xsi:type="dcterms:W3CDTF">2026-07-09T22:46:01.150Z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