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 handler's journal</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April 21, 2026</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07">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#1</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76"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Initial report of a ransomware incident affecting a small U.S. health care clinic. A phishing email with a malicious attachment was opened, resulting in encrypted files and major business disruption.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None reported at this stage.</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3">
            <w:pPr>
              <w:numPr>
                <w:ilvl w:val="0"/>
                <w:numId w:val="1"/>
              </w:numPr>
              <w:spacing w:line="276"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14">
            <w:pPr>
              <w:spacing w:line="276"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An organized group of unethical hackers caused the incident. The ransom note indicates this was a deliberate criminal attack.</w:t>
            </w:r>
          </w:p>
          <w:p w:rsidR="00000000" w:rsidDel="00000000" w:rsidP="00000000" w:rsidRDefault="00000000" w:rsidRPr="00000000" w14:paraId="00000015">
            <w:pPr>
              <w:spacing w:line="276"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16">
            <w:pPr>
              <w:numPr>
                <w:ilvl w:val="0"/>
                <w:numId w:val="1"/>
              </w:numPr>
              <w:spacing w:line="276"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17">
            <w:pPr>
              <w:spacing w:line="276"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 phishing email containing a malicious attachment was downloaded, and ransomware was deployed. The ransomware encrypted the organization’s computer files, and the attackers demanded payment for the decryption key.</w:t>
            </w:r>
          </w:p>
          <w:p w:rsidR="00000000" w:rsidDel="00000000" w:rsidP="00000000" w:rsidRDefault="00000000" w:rsidRPr="00000000" w14:paraId="00000018">
            <w:pPr>
              <w:spacing w:line="276"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19">
            <w:pPr>
              <w:numPr>
                <w:ilvl w:val="0"/>
                <w:numId w:val="1"/>
              </w:numPr>
              <w:spacing w:line="276"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1A">
            <w:pPr>
              <w:spacing w:line="276"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incident occurred on Tuesday at 9:00 a.m. That is the time the security incident was discovered and began disrupting operations.</w:t>
            </w:r>
          </w:p>
          <w:p w:rsidR="00000000" w:rsidDel="00000000" w:rsidP="00000000" w:rsidRDefault="00000000" w:rsidRPr="00000000" w14:paraId="0000001B">
            <w:pPr>
              <w:spacing w:line="276"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1C">
            <w:pPr>
              <w:numPr>
                <w:ilvl w:val="0"/>
                <w:numId w:val="1"/>
              </w:numPr>
              <w:spacing w:line="276"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1D">
            <w:pPr>
              <w:spacing w:line="276"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incident happened at a small U.S. health care clinic. The attack affected the clinic’s computer systems and business operations.</w:t>
            </w:r>
          </w:p>
          <w:p w:rsidR="00000000" w:rsidDel="00000000" w:rsidP="00000000" w:rsidRDefault="00000000" w:rsidRPr="00000000" w14:paraId="0000001E">
            <w:pPr>
              <w:spacing w:line="276"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1F">
            <w:pPr>
              <w:numPr>
                <w:ilvl w:val="0"/>
                <w:numId w:val="1"/>
              </w:numPr>
              <w:spacing w:line="276"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20">
            <w:pPr>
              <w:spacing w:line="276"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incident happened because an employee likely opened a phishing email attachment that contained ransomware. The attackers were motivated by money and attempted to extort the clinic for payment.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76"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This incident may have exposed sensitive health information or interrupted patient services, so the impact could be serious. It would be important to determine which systems were affected, whether backups are available, and whether the infection spread to other devices.</w:t>
            </w:r>
          </w:p>
        </w:tc>
      </w:tr>
    </w:tbl>
    <w:p w:rsidR="00000000" w:rsidDel="00000000" w:rsidP="00000000" w:rsidRDefault="00000000" w:rsidRPr="00000000" w14:paraId="00000027">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8">
      <w:pPr>
        <w:spacing w:after="200" w:line="360" w:lineRule="auto"/>
        <w:ind w:left="-360" w:right="-360" w:firstLine="0"/>
        <w:rPr>
          <w:rFonts w:ascii="Google Sans" w:cs="Google Sans" w:eastAsia="Google Sans" w:hAnsi="Google Sans"/>
          <w:b w:val="1"/>
          <w:bCs w:val="1"/>
          <w:color w:val="3c4043"/>
          <w:sz w:val="40"/>
          <w:szCs w:val="40"/>
        </w:rPr>
      </w:pPr>
      <w:r w:rsidDel="00000000" w:rsidR="00000000" w:rsidRPr="00000000">
        <w:pict>
          <v:rect style="width:0.0pt;height:1.5pt" o:hr="t" o:hrstd="t" o:hralign="center" fillcolor="#A0A0A0" stroked="f"/>
        </w:pic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drawing>
        <wp:inline distB="19050" distT="19050" distL="19050" distR="19050">
          <wp:extent cx="820591" cy="642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0591" cy="642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