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 report analysis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organization experienced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Denial of Service (DoS) attack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via an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ICMP flood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(ping flood). A malicious actor exploited an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unconfigured firewall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to overwhelm the internal network with traffic. This resulted in a total loss of network resource accessibility for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two hours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halting all web design, graphic design, and marketing operations. The attack was resolved by blocking ICMP traffic and cycling non-critical services to flush the congestion.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Identify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Asset Inventory: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Critical web design servers, internal file shares, and employee workstations.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Vulnerability: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An unconfigured (open) firewall allowed unrestricted ICMP packets.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Risk: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High dependency on network availability for client-facing multimedia services.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Action: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Conduct a full audit of all network edge devices and internal access privileges to ensure no other "default-allow" rules exist.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To mitigate the risk of a repeat ICMP flood or similar volumetric attacks, the following technical controls must be solidified: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Firewall Hardening: Implement a permanent rule to limit the rate of incoming ICMP packets (rate-limiting).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IP Hygiene: Enable Source IP address verification (Unicast Reverse Path Forwarding) to prevent attackers from spoofing internal or trusted external IPs.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Access Control: Apply the Principle of Least Privilege (PoLP) to network configurations, ensuring only authorized administrators can modify firewall sets.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Hardening Standards: Create a "Secure Baseline" configuration for all new networking hardware before it is deployed to production.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Speed of detection is vital to preventing a two-hour outage in the future. We will implement: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IDS/IPS Deployment:</w:t>
            </w:r>
            <w:r w:rsidDel="00000000" w:rsidR="00000000" w:rsidRPr="00000000">
              <w:rPr>
                <w:rtl w:val="0"/>
              </w:rPr>
              <w:t xml:space="preserve"> Configure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Intrusion Detection/Prevention System</w:t>
            </w:r>
            <w:r w:rsidDel="00000000" w:rsidR="00000000" w:rsidRPr="00000000">
              <w:rPr>
                <w:rtl w:val="0"/>
              </w:rPr>
              <w:t xml:space="preserve"> to automatically flag and drop packets that exhibit "ping of death" or malformed ICMP characteristics.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5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 Baselining:</w:t>
            </w:r>
            <w:r w:rsidDel="00000000" w:rsidR="00000000" w:rsidRPr="00000000">
              <w:rPr>
                <w:rtl w:val="0"/>
              </w:rPr>
              <w:t xml:space="preserve"> Utilize network monitoring software (e.g., SolarWinds, Wireshark, or Nagios) to establish "normal" traffic levels.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5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Alerting:</w:t>
            </w:r>
            <w:r w:rsidDel="00000000" w:rsidR="00000000" w:rsidRPr="00000000">
              <w:rPr>
                <w:rtl w:val="0"/>
              </w:rPr>
              <w:t xml:space="preserve"> Set up automated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threshold alerts</w:t>
            </w:r>
            <w:r w:rsidDel="00000000" w:rsidR="00000000" w:rsidRPr="00000000">
              <w:rPr>
                <w:rtl w:val="0"/>
              </w:rPr>
              <w:t xml:space="preserve"> that notify the security team via SMS/Email if ICMP traffic exceeds 10% of total bandwidth or if a single source IP generates excessive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Respond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 the event of a future breach or flood, the team will follow this protocol: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Containment: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Immediately isolate the segment of the network being targeted. If the firewall is bypassed, use "Blackhole Routing" to drop malicious traffic at the ISP level.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Neutralization: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Disable non-essential services to preserve CPU and memory for critical business functions.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Analysis: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Collect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Syslog data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Packet Captures (PCAPs)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from the firewall and IDS to identify the attack's geographic origin and specific packet signatures.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Improvement: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Post-incident, hold a "Lessons Learned" meeting to update the Incident Response Plan (IRP) based on the attacker's behavior.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Recover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goal is to return to "Business as Usual" (BAU) with minimal data loss: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Prioritization: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Restore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client-facing web services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first, followed by internal design tools, and finally non-essential social media marketing dashboards.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Integrity Checks: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Verify that the flood was not a "smokescreen" for a deeper intrusion by scanning internal logs for unauthorized lateral movement during the downtime.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Communication: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Notify stakeholders and clients of the service restoration and provide a high-level summary of the mitigation steps taken to ensure future stability.</w:t>
            </w:r>
          </w:p>
        </w:tc>
      </w:tr>
    </w:tbl>
    <w:p w:rsidR="00000000" w:rsidDel="00000000" w:rsidP="00000000" w:rsidRDefault="00000000" w:rsidRPr="00000000" w14:paraId="0000002B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 The primary failure was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configuration gap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(the firewall). While the manual response was successful, it was reactive. Moving forward, the shift from manual intervention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automated detection (IDS/IPS)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will be the most significant factor in reducing our Mean Time to Respond (MTTR).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/>
      <w:drawing>
        <wp:inline distB="114300" distT="114300" distL="114300" distR="114300">
          <wp:extent cx="1096601" cy="8143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77" l="13942" r="18910" t="28613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