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0"/>
      <w:bookmarkEnd w:id="0"/>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before="0" w:line="276" w:lineRule="auto"/>
        <w:rPr/>
      </w:pPr>
      <w:r w:rsidDel="00000000" w:rsidR="00000000" w:rsidRPr="00000000">
        <w:rPr>
          <w:rtl w:val="0"/>
        </w:rPr>
        <w:t xml:space="preserve">The database server is valuable because it stores customer and business data that employees rely on to identify prospects, support sales, and maintain daily operations. Securing this information is important because unauthorized access could expose sensitive records, damage customer trust, and create legal or financial consequences. If the server were disabled, employees could not reliably query data, which would delay customer outreach, disrupt revenue-generating work, and interrupt normal business functions. This assessment is being conducted to identify the most significant risks and recommend controls that protect confidentiality, integrity, and availability.</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Perform reconnaissance and surveillance of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Outsider / 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Privileged user /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Alter or 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2">
      <w:pPr>
        <w:rPr/>
      </w:pPr>
      <w:r w:rsidDel="00000000" w:rsidR="00000000" w:rsidRPr="00000000">
        <w:rPr>
          <w:rtl w:val="0"/>
        </w:rPr>
        <w:t xml:space="preserve">Risks considered the data storage and management methods of the business. The likelihood of a threat occurrence and the impact of these potential events were weighed against the risks to day-to-day operational needs.</w:t>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