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3387777"/>
        <w:docPartObj>
          <w:docPartGallery w:val="Cover Pages"/>
          <w:docPartUnique/>
        </w:docPartObj>
      </w:sdtPr>
      <w:sdtContent>
        <w:p w14:paraId="487BFC39" w14:textId="5A665DCE" w:rsidR="00C54E05" w:rsidRDefault="00C54E05"/>
        <w:p w14:paraId="5A0D6A8B" w14:textId="1843490D" w:rsidR="00C54E05" w:rsidRDefault="00C54E05">
          <w:r>
            <w:rPr>
              <w:noProof/>
            </w:rPr>
            <mc:AlternateContent>
              <mc:Choice Requires="wpg">
                <w:drawing>
                  <wp:anchor distT="0" distB="0" distL="114300" distR="114300" simplePos="0" relativeHeight="251655680" behindDoc="1" locked="0" layoutInCell="1" allowOverlap="1" wp14:anchorId="1349B1DF" wp14:editId="7925485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50D1F" w14:textId="5DFC8068" w:rsidR="00C54E05" w:rsidRDefault="00C54E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C54E05">
                                        <w:rPr>
                                          <w:color w:val="FFFFFF" w:themeColor="background1"/>
                                          <w:sz w:val="72"/>
                                          <w:szCs w:val="72"/>
                                        </w:rPr>
                                        <w:t>Pathways to Food Security in Rural African Commun</w:t>
                                      </w:r>
                                      <w:r>
                                        <w:rPr>
                                          <w:color w:val="FFFFFF" w:themeColor="background1"/>
                                          <w:sz w:val="72"/>
                                          <w:szCs w:val="72"/>
                                        </w:rPr>
                                        <w:t>ities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49B1DF" id="Group 28"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050D1F" w14:textId="5DFC8068" w:rsidR="00C54E05" w:rsidRDefault="00C54E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C54E05">
                                  <w:rPr>
                                    <w:color w:val="FFFFFF" w:themeColor="background1"/>
                                    <w:sz w:val="72"/>
                                    <w:szCs w:val="72"/>
                                  </w:rPr>
                                  <w:t>Pathways to Food Security in Rural African Commun</w:t>
                                </w:r>
                                <w:r>
                                  <w:rPr>
                                    <w:color w:val="FFFFFF" w:themeColor="background1"/>
                                    <w:sz w:val="72"/>
                                    <w:szCs w:val="72"/>
                                  </w:rPr>
                                  <w:t>ities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7728" behindDoc="0" locked="0" layoutInCell="1" allowOverlap="1" wp14:anchorId="1C1B5734" wp14:editId="53557CA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F4F37B" w14:textId="2F7E4516" w:rsidR="00C54E05" w:rsidRDefault="00C54E05">
                                    <w:pPr>
                                      <w:pStyle w:val="NoSpacing"/>
                                      <w:spacing w:before="40" w:after="40"/>
                                      <w:rPr>
                                        <w:caps/>
                                        <w:color w:val="4472C4" w:themeColor="accent1"/>
                                        <w:sz w:val="28"/>
                                        <w:szCs w:val="28"/>
                                      </w:rPr>
                                    </w:pPr>
                                    <w:r w:rsidRPr="00C54E05">
                                      <w:rPr>
                                        <w:caps/>
                                        <w:color w:val="4472C4" w:themeColor="accent1"/>
                                        <w:sz w:val="28"/>
                                        <w:szCs w:val="28"/>
                                      </w:rPr>
                                      <w:t>2023 Innovation 2XY</w:t>
                                    </w:r>
                                  </w:p>
                                </w:sdtContent>
                              </w:sdt>
                              <w:sdt>
                                <w:sdtPr>
                                  <w:rPr>
                                    <w:b/>
                                    <w:bC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2D9CEF" w14:textId="47913CF0" w:rsidR="00C54E05" w:rsidRDefault="00C54E05">
                                    <w:pPr>
                                      <w:pStyle w:val="NoSpacing"/>
                                      <w:spacing w:before="40" w:after="40"/>
                                      <w:rPr>
                                        <w:caps/>
                                        <w:color w:val="5B9BD5" w:themeColor="accent5"/>
                                        <w:sz w:val="24"/>
                                        <w:szCs w:val="24"/>
                                      </w:rPr>
                                    </w:pPr>
                                    <w:r w:rsidRPr="00C54E05">
                                      <w:rPr>
                                        <w:b/>
                                        <w:bCs/>
                                      </w:rPr>
                                      <w:t>Project Description: In this student-led project, we will investigate and address the challenges of food security in rural African communities. We will use a combination of the "5 Whys" technique and “Rich Pictures" to gain a deeper understanding of the problem, identify root causes, and develop innovative solutions.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C1B5734" id="_x0000_t202" coordsize="21600,21600" o:spt="202" path="m,l,21600r21600,l21600,xe">
                    <v:stroke joinstyle="miter"/>
                    <v:path gradientshapeok="t" o:connecttype="rect"/>
                  </v:shapetype>
                  <v:shape id="Text Box 30" o:spid="_x0000_s1029" type="#_x0000_t202" style="position:absolute;margin-left:0;margin-top:0;width:453pt;height:38.1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F4F37B" w14:textId="2F7E4516" w:rsidR="00C54E05" w:rsidRDefault="00C54E05">
                              <w:pPr>
                                <w:pStyle w:val="NoSpacing"/>
                                <w:spacing w:before="40" w:after="40"/>
                                <w:rPr>
                                  <w:caps/>
                                  <w:color w:val="4472C4" w:themeColor="accent1"/>
                                  <w:sz w:val="28"/>
                                  <w:szCs w:val="28"/>
                                </w:rPr>
                              </w:pPr>
                              <w:r w:rsidRPr="00C54E05">
                                <w:rPr>
                                  <w:caps/>
                                  <w:color w:val="4472C4" w:themeColor="accent1"/>
                                  <w:sz w:val="28"/>
                                  <w:szCs w:val="28"/>
                                </w:rPr>
                                <w:t>2023 Innovation 2XY</w:t>
                              </w:r>
                            </w:p>
                          </w:sdtContent>
                        </w:sdt>
                        <w:sdt>
                          <w:sdtPr>
                            <w:rPr>
                              <w:b/>
                              <w:bC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2D9CEF" w14:textId="47913CF0" w:rsidR="00C54E05" w:rsidRDefault="00C54E05">
                              <w:pPr>
                                <w:pStyle w:val="NoSpacing"/>
                                <w:spacing w:before="40" w:after="40"/>
                                <w:rPr>
                                  <w:caps/>
                                  <w:color w:val="5B9BD5" w:themeColor="accent5"/>
                                  <w:sz w:val="24"/>
                                  <w:szCs w:val="24"/>
                                </w:rPr>
                              </w:pPr>
                              <w:r w:rsidRPr="00C54E05">
                                <w:rPr>
                                  <w:b/>
                                  <w:bCs/>
                                </w:rPr>
                                <w:t>Project Description: In this student-led project, we will investigate and address the challenges of food security in rural African communities. We will use a combination of the "5 Whys" technique and “Rich Pictures" to gain a deeper understanding of the problem, identify root causes, and develop innovative solutions.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28C75C3B" wp14:editId="032A1A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2C63583" w14:textId="7B5CBF3B" w:rsidR="00C54E05" w:rsidRDefault="00C54E0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C75C3B" id="Rectangle 31" o:spid="_x0000_s1030"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2C63583" w14:textId="7B5CBF3B" w:rsidR="00C54E05" w:rsidRDefault="00C54E0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747376545"/>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444F1C73" w14:textId="0B2F63C7" w:rsidR="00C54E05" w:rsidRDefault="00C54E05">
          <w:pPr>
            <w:pStyle w:val="TOCHeading"/>
          </w:pPr>
          <w:r>
            <w:t>Contents</w:t>
          </w:r>
        </w:p>
        <w:p w14:paraId="35EF8F8A" w14:textId="3A11EE6B" w:rsidR="00C54E05" w:rsidRDefault="00C54E05">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52199011" w:history="1">
            <w:r w:rsidRPr="00FD7C01">
              <w:rPr>
                <w:rStyle w:val="Hyperlink"/>
                <w:noProof/>
              </w:rPr>
              <w:t>Phase 1: Research and Data Collection</w:t>
            </w:r>
            <w:r>
              <w:rPr>
                <w:noProof/>
                <w:webHidden/>
              </w:rPr>
              <w:tab/>
            </w:r>
            <w:r>
              <w:rPr>
                <w:noProof/>
                <w:webHidden/>
              </w:rPr>
              <w:fldChar w:fldCharType="begin"/>
            </w:r>
            <w:r>
              <w:rPr>
                <w:noProof/>
                <w:webHidden/>
              </w:rPr>
              <w:instrText xml:space="preserve"> PAGEREF _Toc152199011 \h </w:instrText>
            </w:r>
            <w:r>
              <w:rPr>
                <w:noProof/>
                <w:webHidden/>
              </w:rPr>
            </w:r>
            <w:r>
              <w:rPr>
                <w:noProof/>
                <w:webHidden/>
              </w:rPr>
              <w:fldChar w:fldCharType="separate"/>
            </w:r>
            <w:r>
              <w:rPr>
                <w:noProof/>
                <w:webHidden/>
              </w:rPr>
              <w:t>2</w:t>
            </w:r>
            <w:r>
              <w:rPr>
                <w:noProof/>
                <w:webHidden/>
              </w:rPr>
              <w:fldChar w:fldCharType="end"/>
            </w:r>
          </w:hyperlink>
        </w:p>
        <w:p w14:paraId="426276ED" w14:textId="02850870" w:rsidR="00C54E05" w:rsidRDefault="00C54E05">
          <w:pPr>
            <w:pStyle w:val="TOC3"/>
            <w:tabs>
              <w:tab w:val="right" w:leader="dot" w:pos="9016"/>
            </w:tabs>
            <w:rPr>
              <w:noProof/>
            </w:rPr>
          </w:pPr>
          <w:hyperlink w:anchor="_Toc152199012" w:history="1">
            <w:r w:rsidRPr="00FD7C01">
              <w:rPr>
                <w:rStyle w:val="Hyperlink"/>
                <w:noProof/>
              </w:rPr>
              <w:t>food security in selected rural communities in the Limpopo province of South Africa can be summarized as follows:</w:t>
            </w:r>
            <w:r>
              <w:rPr>
                <w:noProof/>
                <w:webHidden/>
              </w:rPr>
              <w:tab/>
            </w:r>
            <w:r>
              <w:rPr>
                <w:noProof/>
                <w:webHidden/>
              </w:rPr>
              <w:fldChar w:fldCharType="begin"/>
            </w:r>
            <w:r>
              <w:rPr>
                <w:noProof/>
                <w:webHidden/>
              </w:rPr>
              <w:instrText xml:space="preserve"> PAGEREF _Toc152199012 \h </w:instrText>
            </w:r>
            <w:r>
              <w:rPr>
                <w:noProof/>
                <w:webHidden/>
              </w:rPr>
            </w:r>
            <w:r>
              <w:rPr>
                <w:noProof/>
                <w:webHidden/>
              </w:rPr>
              <w:fldChar w:fldCharType="separate"/>
            </w:r>
            <w:r>
              <w:rPr>
                <w:noProof/>
                <w:webHidden/>
              </w:rPr>
              <w:t>2</w:t>
            </w:r>
            <w:r>
              <w:rPr>
                <w:noProof/>
                <w:webHidden/>
              </w:rPr>
              <w:fldChar w:fldCharType="end"/>
            </w:r>
          </w:hyperlink>
        </w:p>
        <w:p w14:paraId="56793B1D" w14:textId="5F27B716" w:rsidR="00C54E05" w:rsidRDefault="00C54E05">
          <w:pPr>
            <w:pStyle w:val="TOC1"/>
            <w:tabs>
              <w:tab w:val="right" w:leader="dot" w:pos="9016"/>
            </w:tabs>
            <w:rPr>
              <w:rFonts w:eastAsiaTheme="minorEastAsia"/>
              <w:noProof/>
              <w:lang w:eastAsia="en-ZA"/>
            </w:rPr>
          </w:pPr>
          <w:hyperlink w:anchor="_Toc152199013" w:history="1">
            <w:r w:rsidRPr="00FD7C01">
              <w:rPr>
                <w:rStyle w:val="Hyperlink"/>
                <w:noProof/>
              </w:rPr>
              <w:t>Phase 2: The "5 Whys" Analysis</w:t>
            </w:r>
            <w:r>
              <w:rPr>
                <w:noProof/>
                <w:webHidden/>
              </w:rPr>
              <w:tab/>
            </w:r>
            <w:r>
              <w:rPr>
                <w:noProof/>
                <w:webHidden/>
              </w:rPr>
              <w:fldChar w:fldCharType="begin"/>
            </w:r>
            <w:r>
              <w:rPr>
                <w:noProof/>
                <w:webHidden/>
              </w:rPr>
              <w:instrText xml:space="preserve"> PAGEREF _Toc152199013 \h </w:instrText>
            </w:r>
            <w:r>
              <w:rPr>
                <w:noProof/>
                <w:webHidden/>
              </w:rPr>
            </w:r>
            <w:r>
              <w:rPr>
                <w:noProof/>
                <w:webHidden/>
              </w:rPr>
              <w:fldChar w:fldCharType="separate"/>
            </w:r>
            <w:r>
              <w:rPr>
                <w:noProof/>
                <w:webHidden/>
              </w:rPr>
              <w:t>4</w:t>
            </w:r>
            <w:r>
              <w:rPr>
                <w:noProof/>
                <w:webHidden/>
              </w:rPr>
              <w:fldChar w:fldCharType="end"/>
            </w:r>
          </w:hyperlink>
        </w:p>
        <w:p w14:paraId="03DD9949" w14:textId="6EE63A5C" w:rsidR="00C54E05" w:rsidRDefault="00C54E05">
          <w:pPr>
            <w:pStyle w:val="TOC3"/>
            <w:tabs>
              <w:tab w:val="right" w:leader="dot" w:pos="9016"/>
            </w:tabs>
            <w:rPr>
              <w:noProof/>
            </w:rPr>
          </w:pPr>
          <w:hyperlink w:anchor="_Toc152199014" w:history="1">
            <w:r w:rsidRPr="00FD7C01">
              <w:rPr>
                <w:rStyle w:val="Hyperlink"/>
                <w:noProof/>
              </w:rPr>
              <w:t>Major Issues Related to Food Security:</w:t>
            </w:r>
            <w:r>
              <w:rPr>
                <w:noProof/>
                <w:webHidden/>
              </w:rPr>
              <w:tab/>
            </w:r>
            <w:r>
              <w:rPr>
                <w:noProof/>
                <w:webHidden/>
              </w:rPr>
              <w:fldChar w:fldCharType="begin"/>
            </w:r>
            <w:r>
              <w:rPr>
                <w:noProof/>
                <w:webHidden/>
              </w:rPr>
              <w:instrText xml:space="preserve"> PAGEREF _Toc152199014 \h </w:instrText>
            </w:r>
            <w:r>
              <w:rPr>
                <w:noProof/>
                <w:webHidden/>
              </w:rPr>
            </w:r>
            <w:r>
              <w:rPr>
                <w:noProof/>
                <w:webHidden/>
              </w:rPr>
              <w:fldChar w:fldCharType="separate"/>
            </w:r>
            <w:r>
              <w:rPr>
                <w:noProof/>
                <w:webHidden/>
              </w:rPr>
              <w:t>4</w:t>
            </w:r>
            <w:r>
              <w:rPr>
                <w:noProof/>
                <w:webHidden/>
              </w:rPr>
              <w:fldChar w:fldCharType="end"/>
            </w:r>
          </w:hyperlink>
        </w:p>
        <w:p w14:paraId="674E3F83" w14:textId="2241BAB0" w:rsidR="00C54E05" w:rsidRDefault="00C54E05">
          <w:pPr>
            <w:pStyle w:val="TOC2"/>
            <w:tabs>
              <w:tab w:val="right" w:leader="dot" w:pos="9016"/>
            </w:tabs>
            <w:rPr>
              <w:noProof/>
            </w:rPr>
          </w:pPr>
          <w:hyperlink w:anchor="_Toc152199015" w:history="1">
            <w:r w:rsidRPr="00FD7C01">
              <w:rPr>
                <w:rStyle w:val="Hyperlink"/>
                <w:noProof/>
              </w:rPr>
              <w:t>Short Report on Findings:</w:t>
            </w:r>
            <w:r>
              <w:rPr>
                <w:noProof/>
                <w:webHidden/>
              </w:rPr>
              <w:tab/>
            </w:r>
            <w:r>
              <w:rPr>
                <w:noProof/>
                <w:webHidden/>
              </w:rPr>
              <w:fldChar w:fldCharType="begin"/>
            </w:r>
            <w:r>
              <w:rPr>
                <w:noProof/>
                <w:webHidden/>
              </w:rPr>
              <w:instrText xml:space="preserve"> PAGEREF _Toc152199015 \h </w:instrText>
            </w:r>
            <w:r>
              <w:rPr>
                <w:noProof/>
                <w:webHidden/>
              </w:rPr>
            </w:r>
            <w:r>
              <w:rPr>
                <w:noProof/>
                <w:webHidden/>
              </w:rPr>
              <w:fldChar w:fldCharType="separate"/>
            </w:r>
            <w:r>
              <w:rPr>
                <w:noProof/>
                <w:webHidden/>
              </w:rPr>
              <w:t>5</w:t>
            </w:r>
            <w:r>
              <w:rPr>
                <w:noProof/>
                <w:webHidden/>
              </w:rPr>
              <w:fldChar w:fldCharType="end"/>
            </w:r>
          </w:hyperlink>
        </w:p>
        <w:p w14:paraId="3FE7750F" w14:textId="1BCC8C17" w:rsidR="00C54E05" w:rsidRDefault="00C54E05">
          <w:pPr>
            <w:pStyle w:val="TOC1"/>
            <w:tabs>
              <w:tab w:val="right" w:leader="dot" w:pos="9016"/>
            </w:tabs>
            <w:rPr>
              <w:rFonts w:eastAsiaTheme="minorEastAsia"/>
              <w:noProof/>
              <w:lang w:eastAsia="en-ZA"/>
            </w:rPr>
          </w:pPr>
          <w:hyperlink w:anchor="_Toc152199016" w:history="1">
            <w:r w:rsidRPr="00FD7C01">
              <w:rPr>
                <w:rStyle w:val="Hyperlink"/>
                <w:noProof/>
              </w:rPr>
              <w:t>Citations</w:t>
            </w:r>
            <w:r>
              <w:rPr>
                <w:noProof/>
                <w:webHidden/>
              </w:rPr>
              <w:tab/>
            </w:r>
            <w:r>
              <w:rPr>
                <w:noProof/>
                <w:webHidden/>
              </w:rPr>
              <w:fldChar w:fldCharType="begin"/>
            </w:r>
            <w:r>
              <w:rPr>
                <w:noProof/>
                <w:webHidden/>
              </w:rPr>
              <w:instrText xml:space="preserve"> PAGEREF _Toc152199016 \h </w:instrText>
            </w:r>
            <w:r>
              <w:rPr>
                <w:noProof/>
                <w:webHidden/>
              </w:rPr>
            </w:r>
            <w:r>
              <w:rPr>
                <w:noProof/>
                <w:webHidden/>
              </w:rPr>
              <w:fldChar w:fldCharType="separate"/>
            </w:r>
            <w:r>
              <w:rPr>
                <w:noProof/>
                <w:webHidden/>
              </w:rPr>
              <w:t>6</w:t>
            </w:r>
            <w:r>
              <w:rPr>
                <w:noProof/>
                <w:webHidden/>
              </w:rPr>
              <w:fldChar w:fldCharType="end"/>
            </w:r>
          </w:hyperlink>
        </w:p>
        <w:p w14:paraId="2A033B40" w14:textId="2D828C94" w:rsidR="00C54E05" w:rsidRDefault="00C54E05">
          <w:r>
            <w:rPr>
              <w:b/>
              <w:bCs/>
              <w:noProof/>
            </w:rPr>
            <w:fldChar w:fldCharType="end"/>
          </w:r>
        </w:p>
      </w:sdtContent>
    </w:sdt>
    <w:p w14:paraId="779F5A45" w14:textId="77777777" w:rsidR="002C6C0F" w:rsidRDefault="002C6C0F">
      <w:r>
        <w:br w:type="page"/>
      </w:r>
    </w:p>
    <w:p w14:paraId="703BB110" w14:textId="7621D075" w:rsidR="00E95769" w:rsidRDefault="002C6C0F" w:rsidP="00C54E05">
      <w:pPr>
        <w:pStyle w:val="Heading1"/>
      </w:pPr>
      <w:bookmarkStart w:id="0" w:name="_Toc152199011"/>
      <w:r w:rsidRPr="002C6C0F">
        <w:lastRenderedPageBreak/>
        <w:t>Phase 1: Research and Data Collection</w:t>
      </w:r>
      <w:bookmarkEnd w:id="0"/>
    </w:p>
    <w:p w14:paraId="73A79640" w14:textId="77777777" w:rsidR="002C6C0F" w:rsidRDefault="002C6C0F" w:rsidP="002C6C0F"/>
    <w:p w14:paraId="03D08B2A" w14:textId="524D1EE8" w:rsidR="002C6C0F" w:rsidRPr="00C54E05" w:rsidRDefault="002C6C0F" w:rsidP="00C54E05">
      <w:pPr>
        <w:pStyle w:val="Heading3"/>
        <w:rPr>
          <w:rStyle w:val="Heading1Char"/>
          <w:color w:val="1F3763" w:themeColor="accent1" w:themeShade="7F"/>
          <w:sz w:val="24"/>
          <w:szCs w:val="24"/>
        </w:rPr>
      </w:pPr>
      <w:bookmarkStart w:id="1" w:name="_Toc152199012"/>
      <w:r w:rsidRPr="00C54E05">
        <w:rPr>
          <w:rStyle w:val="Heading1Char"/>
          <w:color w:val="1F3763" w:themeColor="accent1" w:themeShade="7F"/>
          <w:sz w:val="24"/>
          <w:szCs w:val="24"/>
        </w:rPr>
        <w:t>food security in selected rural communities in the Limpopo province of South Africa can be</w:t>
      </w:r>
      <w:r w:rsidRPr="00C54E05">
        <w:t xml:space="preserve"> </w:t>
      </w:r>
      <w:r w:rsidRPr="00C54E05">
        <w:rPr>
          <w:rStyle w:val="Heading1Char"/>
          <w:color w:val="1F3763" w:themeColor="accent1" w:themeShade="7F"/>
          <w:sz w:val="24"/>
          <w:szCs w:val="24"/>
        </w:rPr>
        <w:t>summarized as follows:</w:t>
      </w:r>
      <w:bookmarkEnd w:id="1"/>
    </w:p>
    <w:p w14:paraId="5872BAC3" w14:textId="77777777" w:rsidR="002C6C0F" w:rsidRPr="002C6C0F" w:rsidRDefault="002C6C0F" w:rsidP="002C6C0F">
      <w:pPr>
        <w:numPr>
          <w:ilvl w:val="0"/>
          <w:numId w:val="1"/>
        </w:numPr>
      </w:pPr>
      <w:r w:rsidRPr="002C6C0F">
        <w:rPr>
          <w:b/>
          <w:bCs/>
        </w:rPr>
        <w:t>Overall Food Security:</w:t>
      </w:r>
    </w:p>
    <w:p w14:paraId="4473BE9B" w14:textId="77777777" w:rsidR="002C6C0F" w:rsidRPr="002C6C0F" w:rsidRDefault="002C6C0F" w:rsidP="002C6C0F">
      <w:pPr>
        <w:numPr>
          <w:ilvl w:val="1"/>
          <w:numId w:val="1"/>
        </w:numPr>
      </w:pPr>
      <w:r w:rsidRPr="002C6C0F">
        <w:t>While South Africa, as a nation, is considered food secure, the study reveals that many households in the rural areas of the Limpopo province remain food insecure.</w:t>
      </w:r>
    </w:p>
    <w:p w14:paraId="27640C23" w14:textId="77777777" w:rsidR="002C6C0F" w:rsidRPr="002C6C0F" w:rsidRDefault="002C6C0F" w:rsidP="002C6C0F">
      <w:pPr>
        <w:numPr>
          <w:ilvl w:val="0"/>
          <w:numId w:val="1"/>
        </w:numPr>
      </w:pPr>
      <w:r w:rsidRPr="002C6C0F">
        <w:rPr>
          <w:b/>
          <w:bCs/>
        </w:rPr>
        <w:t>Government Initiatives:</w:t>
      </w:r>
    </w:p>
    <w:p w14:paraId="44326DA9" w14:textId="77777777" w:rsidR="002C6C0F" w:rsidRPr="002C6C0F" w:rsidRDefault="002C6C0F" w:rsidP="002C6C0F">
      <w:pPr>
        <w:numPr>
          <w:ilvl w:val="1"/>
          <w:numId w:val="1"/>
        </w:numPr>
      </w:pPr>
      <w:r w:rsidRPr="002C6C0F">
        <w:t>The government of South Africa has recognized food security challenges and adopted the Integrated Food Security Strategy (IFSS) with the goal of achieving universal access to sufficient, safe, and nutritious food for all citizens.</w:t>
      </w:r>
    </w:p>
    <w:p w14:paraId="5DA5C927" w14:textId="77777777" w:rsidR="002C6C0F" w:rsidRPr="002C6C0F" w:rsidRDefault="002C6C0F" w:rsidP="002C6C0F">
      <w:pPr>
        <w:numPr>
          <w:ilvl w:val="0"/>
          <w:numId w:val="1"/>
        </w:numPr>
      </w:pPr>
      <w:r w:rsidRPr="002C6C0F">
        <w:rPr>
          <w:b/>
          <w:bCs/>
        </w:rPr>
        <w:t>Lack of Measurement Methods:</w:t>
      </w:r>
    </w:p>
    <w:p w14:paraId="3C22D86D" w14:textId="77777777" w:rsidR="002C6C0F" w:rsidRPr="002C6C0F" w:rsidRDefault="002C6C0F" w:rsidP="002C6C0F">
      <w:pPr>
        <w:numPr>
          <w:ilvl w:val="1"/>
          <w:numId w:val="1"/>
        </w:numPr>
      </w:pPr>
      <w:r w:rsidRPr="002C6C0F">
        <w:t>Despite the government's recognition of food security challenges, the study highlights that there is a lack of specific and accepted methods to measure food security in South Africa, and there is currently no regulated way to monitor the food security status of the population.</w:t>
      </w:r>
    </w:p>
    <w:p w14:paraId="1FD59FB9" w14:textId="77777777" w:rsidR="002C6C0F" w:rsidRPr="002C6C0F" w:rsidRDefault="002C6C0F" w:rsidP="002C6C0F">
      <w:pPr>
        <w:numPr>
          <w:ilvl w:val="0"/>
          <w:numId w:val="1"/>
        </w:numPr>
      </w:pPr>
      <w:r w:rsidRPr="002C6C0F">
        <w:rPr>
          <w:b/>
          <w:bCs/>
        </w:rPr>
        <w:t>Research Approach:</w:t>
      </w:r>
    </w:p>
    <w:p w14:paraId="615D32AE" w14:textId="77777777" w:rsidR="002C6C0F" w:rsidRPr="002C6C0F" w:rsidRDefault="002C6C0F" w:rsidP="002C6C0F">
      <w:pPr>
        <w:numPr>
          <w:ilvl w:val="1"/>
          <w:numId w:val="1"/>
        </w:numPr>
      </w:pPr>
      <w:r w:rsidRPr="002C6C0F">
        <w:t>The study employed a two-stage stratified approach with quota sampling to collect qualitative and quantitative data from 599 households across five districts in the Limpopo province.</w:t>
      </w:r>
    </w:p>
    <w:p w14:paraId="4F6E1913" w14:textId="77777777" w:rsidR="002C6C0F" w:rsidRPr="002C6C0F" w:rsidRDefault="002C6C0F" w:rsidP="002C6C0F">
      <w:pPr>
        <w:numPr>
          <w:ilvl w:val="0"/>
          <w:numId w:val="1"/>
        </w:numPr>
      </w:pPr>
      <w:r w:rsidRPr="002C6C0F">
        <w:rPr>
          <w:b/>
          <w:bCs/>
        </w:rPr>
        <w:t>Demographic Characteristics:</w:t>
      </w:r>
    </w:p>
    <w:p w14:paraId="4DC4BBE7" w14:textId="77777777" w:rsidR="002C6C0F" w:rsidRPr="002C6C0F" w:rsidRDefault="002C6C0F" w:rsidP="002C6C0F">
      <w:pPr>
        <w:numPr>
          <w:ilvl w:val="1"/>
          <w:numId w:val="1"/>
        </w:numPr>
      </w:pPr>
      <w:r w:rsidRPr="002C6C0F">
        <w:t>On average, households in the selected sample have 6.5 members, and the average age of the household head is 56.1 years old.</w:t>
      </w:r>
    </w:p>
    <w:p w14:paraId="0F696A22" w14:textId="77777777" w:rsidR="002C6C0F" w:rsidRPr="002C6C0F" w:rsidRDefault="002C6C0F" w:rsidP="002C6C0F">
      <w:pPr>
        <w:numPr>
          <w:ilvl w:val="1"/>
          <w:numId w:val="1"/>
        </w:numPr>
      </w:pPr>
      <w:r w:rsidRPr="002C6C0F">
        <w:t>The majority of households are headed by men (60.5%), and there are generally low levels of education among household heads.</w:t>
      </w:r>
    </w:p>
    <w:p w14:paraId="5A194C54" w14:textId="77777777" w:rsidR="002C6C0F" w:rsidRPr="002C6C0F" w:rsidRDefault="002C6C0F" w:rsidP="002C6C0F">
      <w:pPr>
        <w:numPr>
          <w:ilvl w:val="0"/>
          <w:numId w:val="1"/>
        </w:numPr>
      </w:pPr>
      <w:r w:rsidRPr="002C6C0F">
        <w:rPr>
          <w:b/>
          <w:bCs/>
        </w:rPr>
        <w:t>Food Security Indicators:</w:t>
      </w:r>
    </w:p>
    <w:p w14:paraId="17921247" w14:textId="77777777" w:rsidR="002C6C0F" w:rsidRPr="002C6C0F" w:rsidRDefault="002C6C0F" w:rsidP="002C6C0F">
      <w:pPr>
        <w:numPr>
          <w:ilvl w:val="1"/>
          <w:numId w:val="1"/>
        </w:numPr>
      </w:pPr>
      <w:r w:rsidRPr="002C6C0F">
        <w:t>The Household Food Insecurity Access Scale (HFIAS) was used as a measure, revealing that 53.1% of sampled households were severely food insecure.</w:t>
      </w:r>
    </w:p>
    <w:p w14:paraId="59D3E683" w14:textId="77777777" w:rsidR="002C6C0F" w:rsidRPr="002C6C0F" w:rsidRDefault="002C6C0F" w:rsidP="002C6C0F">
      <w:pPr>
        <w:numPr>
          <w:ilvl w:val="0"/>
          <w:numId w:val="1"/>
        </w:numPr>
      </w:pPr>
      <w:r w:rsidRPr="002C6C0F">
        <w:rPr>
          <w:b/>
          <w:bCs/>
        </w:rPr>
        <w:t>Income Levels:</w:t>
      </w:r>
    </w:p>
    <w:p w14:paraId="313F1CB0" w14:textId="77777777" w:rsidR="002C6C0F" w:rsidRPr="002C6C0F" w:rsidRDefault="002C6C0F" w:rsidP="002C6C0F">
      <w:pPr>
        <w:numPr>
          <w:ilvl w:val="1"/>
          <w:numId w:val="1"/>
        </w:numPr>
      </w:pPr>
      <w:r w:rsidRPr="002C6C0F">
        <w:t>The average monthly household income in the area is R3055, with 7.6% of households earning less than R500 per month and 7.6% earning more than R7,500 per month.</w:t>
      </w:r>
    </w:p>
    <w:p w14:paraId="5D3C5165" w14:textId="77777777" w:rsidR="002C6C0F" w:rsidRPr="002C6C0F" w:rsidRDefault="002C6C0F" w:rsidP="002C6C0F">
      <w:pPr>
        <w:numPr>
          <w:ilvl w:val="1"/>
          <w:numId w:val="1"/>
        </w:numPr>
      </w:pPr>
      <w:r w:rsidRPr="002C6C0F">
        <w:t>Social grants from the state are the most prevalent source of income across all districts.</w:t>
      </w:r>
    </w:p>
    <w:p w14:paraId="6E0B7824" w14:textId="77777777" w:rsidR="002C6C0F" w:rsidRPr="002C6C0F" w:rsidRDefault="002C6C0F" w:rsidP="002C6C0F">
      <w:pPr>
        <w:numPr>
          <w:ilvl w:val="0"/>
          <w:numId w:val="1"/>
        </w:numPr>
      </w:pPr>
      <w:r w:rsidRPr="002C6C0F">
        <w:rPr>
          <w:b/>
          <w:bCs/>
        </w:rPr>
        <w:t>Agricultural Activities:</w:t>
      </w:r>
    </w:p>
    <w:p w14:paraId="490CDEDC" w14:textId="77777777" w:rsidR="002C6C0F" w:rsidRPr="002C6C0F" w:rsidRDefault="002C6C0F" w:rsidP="002C6C0F">
      <w:pPr>
        <w:numPr>
          <w:ilvl w:val="1"/>
          <w:numId w:val="1"/>
        </w:numPr>
      </w:pPr>
      <w:r w:rsidRPr="002C6C0F">
        <w:lastRenderedPageBreak/>
        <w:t>Approximately half of the households are involved in agriculture, with poultry, maize, mango, and cattle identified as the most important activities.</w:t>
      </w:r>
    </w:p>
    <w:p w14:paraId="0DCE796A" w14:textId="77777777" w:rsidR="002C6C0F" w:rsidRPr="002C6C0F" w:rsidRDefault="002C6C0F" w:rsidP="002C6C0F">
      <w:pPr>
        <w:numPr>
          <w:ilvl w:val="0"/>
          <w:numId w:val="1"/>
        </w:numPr>
      </w:pPr>
      <w:r w:rsidRPr="002C6C0F">
        <w:rPr>
          <w:b/>
          <w:bCs/>
        </w:rPr>
        <w:t>Poverty Rates:</w:t>
      </w:r>
    </w:p>
    <w:p w14:paraId="451482AB" w14:textId="77777777" w:rsidR="002C6C0F" w:rsidRPr="002C6C0F" w:rsidRDefault="002C6C0F" w:rsidP="002C6C0F">
      <w:pPr>
        <w:numPr>
          <w:ilvl w:val="1"/>
          <w:numId w:val="1"/>
        </w:numPr>
      </w:pPr>
      <w:r w:rsidRPr="002C6C0F">
        <w:t>The Mopani district has the highest poverty rates (50%), while the Vhembe district has the lowest poverty rates (19%).</w:t>
      </w:r>
    </w:p>
    <w:p w14:paraId="3EE5A593" w14:textId="77777777" w:rsidR="002C6C0F" w:rsidRPr="002C6C0F" w:rsidRDefault="002C6C0F" w:rsidP="002C6C0F">
      <w:pPr>
        <w:numPr>
          <w:ilvl w:val="0"/>
          <w:numId w:val="1"/>
        </w:numPr>
      </w:pPr>
      <w:r w:rsidRPr="002C6C0F">
        <w:rPr>
          <w:b/>
          <w:bCs/>
        </w:rPr>
        <w:t>Internal Consistency:</w:t>
      </w:r>
    </w:p>
    <w:p w14:paraId="0B0DCEE0" w14:textId="77777777" w:rsidR="002C6C0F" w:rsidRPr="002C6C0F" w:rsidRDefault="002C6C0F" w:rsidP="002C6C0F">
      <w:pPr>
        <w:numPr>
          <w:ilvl w:val="1"/>
          <w:numId w:val="1"/>
        </w:numPr>
      </w:pPr>
      <w:r w:rsidRPr="002C6C0F">
        <w:t>The discussion notes that expected links between variables, such as the relationship between income and food security status, and between education and food security status, are present, indicating internal consistency in the results.</w:t>
      </w:r>
    </w:p>
    <w:p w14:paraId="654714A5" w14:textId="77777777" w:rsidR="002C6C0F" w:rsidRDefault="002C6C0F">
      <w:pPr>
        <w:rPr>
          <w:rFonts w:asciiTheme="majorHAnsi" w:eastAsiaTheme="majorEastAsia" w:hAnsiTheme="majorHAnsi" w:cstheme="majorBidi"/>
          <w:spacing w:val="-10"/>
          <w:kern w:val="28"/>
          <w:sz w:val="56"/>
          <w:szCs w:val="56"/>
        </w:rPr>
      </w:pPr>
      <w:r>
        <w:br w:type="page"/>
      </w:r>
    </w:p>
    <w:p w14:paraId="604D1A62" w14:textId="2AFA7429" w:rsidR="002C6C0F" w:rsidRDefault="002C6C0F" w:rsidP="00C54E05">
      <w:pPr>
        <w:pStyle w:val="Heading1"/>
      </w:pPr>
      <w:bookmarkStart w:id="2" w:name="_Toc152199013"/>
      <w:r w:rsidRPr="002C6C0F">
        <w:lastRenderedPageBreak/>
        <w:t>Phase 2: The "5 Whys" Analysis</w:t>
      </w:r>
      <w:bookmarkEnd w:id="2"/>
    </w:p>
    <w:p w14:paraId="3D9745C1" w14:textId="547B5171" w:rsidR="002C6C0F" w:rsidRDefault="002C6C0F" w:rsidP="00C54E05">
      <w:pPr>
        <w:pStyle w:val="Heading3"/>
      </w:pPr>
      <w:bookmarkStart w:id="3" w:name="_Toc152199014"/>
      <w:r w:rsidRPr="002C6C0F">
        <w:t>Major Issues Related to Food Security:</w:t>
      </w:r>
      <w:bookmarkEnd w:id="3"/>
    </w:p>
    <w:p w14:paraId="7450EE11" w14:textId="77777777" w:rsidR="002C6C0F" w:rsidRPr="002C6C0F" w:rsidRDefault="002C6C0F" w:rsidP="002C6C0F">
      <w:pPr>
        <w:numPr>
          <w:ilvl w:val="0"/>
          <w:numId w:val="2"/>
        </w:numPr>
      </w:pPr>
      <w:r w:rsidRPr="002C6C0F">
        <w:rPr>
          <w:b/>
          <w:bCs/>
        </w:rPr>
        <w:t>High Levels of Food Insecurity:</w:t>
      </w:r>
    </w:p>
    <w:p w14:paraId="19D83F05" w14:textId="77777777" w:rsidR="002C6C0F" w:rsidRDefault="002C6C0F" w:rsidP="002C6C0F">
      <w:pPr>
        <w:numPr>
          <w:ilvl w:val="1"/>
          <w:numId w:val="2"/>
        </w:numPr>
      </w:pPr>
      <w:r w:rsidRPr="002C6C0F">
        <w:rPr>
          <w:b/>
          <w:bCs/>
        </w:rPr>
        <w:t>Why 1:</w:t>
      </w:r>
      <w:r w:rsidRPr="002C6C0F">
        <w:t xml:space="preserve"> 53.1% of households are severely food insecure.</w:t>
      </w:r>
    </w:p>
    <w:p w14:paraId="3C6E91D4" w14:textId="77777777" w:rsidR="002C6C0F" w:rsidRDefault="002C6C0F" w:rsidP="002C6C0F">
      <w:pPr>
        <w:numPr>
          <w:ilvl w:val="1"/>
          <w:numId w:val="2"/>
        </w:numPr>
      </w:pPr>
      <w:r w:rsidRPr="002C6C0F">
        <w:rPr>
          <w:b/>
          <w:bCs/>
        </w:rPr>
        <w:t>Why 2:</w:t>
      </w:r>
      <w:r w:rsidRPr="002C6C0F">
        <w:t xml:space="preserve"> Limited access to sufficient, safe, and nutritious food.</w:t>
      </w:r>
    </w:p>
    <w:p w14:paraId="3ACF3651" w14:textId="77777777" w:rsidR="002C6C0F" w:rsidRDefault="002C6C0F" w:rsidP="002C6C0F">
      <w:pPr>
        <w:numPr>
          <w:ilvl w:val="1"/>
          <w:numId w:val="2"/>
        </w:numPr>
      </w:pPr>
      <w:r w:rsidRPr="002C6C0F">
        <w:rPr>
          <w:b/>
          <w:bCs/>
        </w:rPr>
        <w:t>Why 3:</w:t>
      </w:r>
      <w:r w:rsidRPr="002C6C0F">
        <w:t xml:space="preserve"> Insufficient income to afford an adequate food supply.</w:t>
      </w:r>
    </w:p>
    <w:p w14:paraId="023648F9" w14:textId="77777777" w:rsidR="002C6C0F" w:rsidRDefault="002C6C0F" w:rsidP="002C6C0F">
      <w:pPr>
        <w:numPr>
          <w:ilvl w:val="1"/>
          <w:numId w:val="2"/>
        </w:numPr>
      </w:pPr>
      <w:r w:rsidRPr="002C6C0F">
        <w:rPr>
          <w:b/>
          <w:bCs/>
        </w:rPr>
        <w:t>Why 4:</w:t>
      </w:r>
      <w:r w:rsidRPr="002C6C0F">
        <w:t xml:space="preserve"> Limited job opportunities and income-generating activities.</w:t>
      </w:r>
    </w:p>
    <w:p w14:paraId="733607C5" w14:textId="10F0D55F" w:rsidR="002C6C0F" w:rsidRPr="002C6C0F" w:rsidRDefault="002C6C0F" w:rsidP="002C6C0F">
      <w:pPr>
        <w:numPr>
          <w:ilvl w:val="1"/>
          <w:numId w:val="2"/>
        </w:numPr>
      </w:pPr>
      <w:r w:rsidRPr="002C6C0F">
        <w:rPr>
          <w:b/>
          <w:bCs/>
        </w:rPr>
        <w:t>Why 5:</w:t>
      </w:r>
      <w:r w:rsidRPr="002C6C0F">
        <w:t xml:space="preserve"> Economic disparities and lack of diversified income sources.</w:t>
      </w:r>
    </w:p>
    <w:p w14:paraId="7AD50E5E" w14:textId="77777777" w:rsidR="002C6C0F" w:rsidRPr="002C6C0F" w:rsidRDefault="002C6C0F" w:rsidP="002C6C0F">
      <w:pPr>
        <w:numPr>
          <w:ilvl w:val="0"/>
          <w:numId w:val="2"/>
        </w:numPr>
      </w:pPr>
      <w:r w:rsidRPr="002C6C0F">
        <w:rPr>
          <w:b/>
          <w:bCs/>
        </w:rPr>
        <w:t>Regional Disparities in Poverty Rates:</w:t>
      </w:r>
    </w:p>
    <w:p w14:paraId="5A952B73" w14:textId="77777777" w:rsidR="002C6C0F" w:rsidRPr="002C6C0F" w:rsidRDefault="002C6C0F" w:rsidP="002C6C0F">
      <w:pPr>
        <w:numPr>
          <w:ilvl w:val="1"/>
          <w:numId w:val="2"/>
        </w:numPr>
        <w:rPr>
          <w:b/>
          <w:bCs/>
        </w:rPr>
      </w:pPr>
      <w:r w:rsidRPr="002C6C0F">
        <w:rPr>
          <w:b/>
          <w:bCs/>
        </w:rPr>
        <w:t xml:space="preserve">Why 1: </w:t>
      </w:r>
      <w:r w:rsidRPr="002C6C0F">
        <w:t>Mopani district has a 50% poverty rate, while Vhembe district has a 19% poverty rate.</w:t>
      </w:r>
    </w:p>
    <w:p w14:paraId="27B0CBFF" w14:textId="77777777" w:rsidR="002C6C0F" w:rsidRPr="002C6C0F" w:rsidRDefault="002C6C0F" w:rsidP="002C6C0F">
      <w:pPr>
        <w:numPr>
          <w:ilvl w:val="1"/>
          <w:numId w:val="2"/>
        </w:numPr>
      </w:pPr>
      <w:r w:rsidRPr="002C6C0F">
        <w:rPr>
          <w:b/>
          <w:bCs/>
        </w:rPr>
        <w:t xml:space="preserve">Why 2: </w:t>
      </w:r>
      <w:r w:rsidRPr="002C6C0F">
        <w:t>Disparities in economic opportunities and resources.</w:t>
      </w:r>
    </w:p>
    <w:p w14:paraId="448EBAB8" w14:textId="77777777" w:rsidR="002C6C0F" w:rsidRPr="002C6C0F" w:rsidRDefault="002C6C0F" w:rsidP="002C6C0F">
      <w:pPr>
        <w:numPr>
          <w:ilvl w:val="1"/>
          <w:numId w:val="2"/>
        </w:numPr>
        <w:rPr>
          <w:b/>
          <w:bCs/>
        </w:rPr>
      </w:pPr>
      <w:r w:rsidRPr="002C6C0F">
        <w:rPr>
          <w:b/>
          <w:bCs/>
        </w:rPr>
        <w:t xml:space="preserve">Why 3: </w:t>
      </w:r>
      <w:r w:rsidRPr="002C6C0F">
        <w:t>Limited infrastructure and development initiatives in certain regions</w:t>
      </w:r>
      <w:r w:rsidRPr="002C6C0F">
        <w:rPr>
          <w:b/>
          <w:bCs/>
        </w:rPr>
        <w:t>.</w:t>
      </w:r>
    </w:p>
    <w:p w14:paraId="329E10D1" w14:textId="77777777" w:rsidR="002C6C0F" w:rsidRPr="002C6C0F" w:rsidRDefault="002C6C0F" w:rsidP="002C6C0F">
      <w:pPr>
        <w:numPr>
          <w:ilvl w:val="1"/>
          <w:numId w:val="2"/>
        </w:numPr>
      </w:pPr>
      <w:r w:rsidRPr="002C6C0F">
        <w:rPr>
          <w:b/>
          <w:bCs/>
        </w:rPr>
        <w:t>Why 4</w:t>
      </w:r>
      <w:r w:rsidRPr="002C6C0F">
        <w:t>: Historical neglect and unequal distribution of resources.</w:t>
      </w:r>
    </w:p>
    <w:p w14:paraId="74F7F1F2" w14:textId="77777777" w:rsidR="002C6C0F" w:rsidRPr="002C6C0F" w:rsidRDefault="002C6C0F" w:rsidP="002C6C0F">
      <w:pPr>
        <w:numPr>
          <w:ilvl w:val="1"/>
          <w:numId w:val="2"/>
        </w:numPr>
        <w:rPr>
          <w:b/>
          <w:bCs/>
        </w:rPr>
      </w:pPr>
      <w:r w:rsidRPr="002C6C0F">
        <w:rPr>
          <w:b/>
          <w:bCs/>
        </w:rPr>
        <w:t xml:space="preserve">Why 5: </w:t>
      </w:r>
      <w:r w:rsidRPr="002C6C0F">
        <w:t>Systemic issues in regional development and economic planning.</w:t>
      </w:r>
    </w:p>
    <w:p w14:paraId="6709D0D1" w14:textId="77777777" w:rsidR="002C6C0F" w:rsidRPr="002C6C0F" w:rsidRDefault="002C6C0F" w:rsidP="002C6C0F">
      <w:pPr>
        <w:numPr>
          <w:ilvl w:val="0"/>
          <w:numId w:val="2"/>
        </w:numPr>
      </w:pPr>
      <w:r w:rsidRPr="002C6C0F">
        <w:rPr>
          <w:b/>
          <w:bCs/>
        </w:rPr>
        <w:t>Low Levels of Education among Household Heads:</w:t>
      </w:r>
    </w:p>
    <w:p w14:paraId="7E9CBE29" w14:textId="77777777" w:rsidR="002C6C0F" w:rsidRPr="002C6C0F" w:rsidRDefault="002C6C0F" w:rsidP="002C6C0F">
      <w:pPr>
        <w:numPr>
          <w:ilvl w:val="1"/>
          <w:numId w:val="2"/>
        </w:numPr>
      </w:pPr>
      <w:r w:rsidRPr="002C6C0F">
        <w:rPr>
          <w:b/>
          <w:bCs/>
        </w:rPr>
        <w:t xml:space="preserve">Why 1: </w:t>
      </w:r>
      <w:r w:rsidRPr="002C6C0F">
        <w:t>32.4% of household heads have had no schooling.</w:t>
      </w:r>
    </w:p>
    <w:p w14:paraId="5E381BBC" w14:textId="77777777" w:rsidR="002C6C0F" w:rsidRPr="002C6C0F" w:rsidRDefault="002C6C0F" w:rsidP="002C6C0F">
      <w:pPr>
        <w:numPr>
          <w:ilvl w:val="1"/>
          <w:numId w:val="2"/>
        </w:numPr>
      </w:pPr>
      <w:r w:rsidRPr="002C6C0F">
        <w:rPr>
          <w:b/>
          <w:bCs/>
        </w:rPr>
        <w:t xml:space="preserve">Why 2: </w:t>
      </w:r>
      <w:r w:rsidRPr="002C6C0F">
        <w:t>Historical limitations on formal education during the apartheid era.</w:t>
      </w:r>
    </w:p>
    <w:p w14:paraId="298CEA6B" w14:textId="77777777" w:rsidR="002C6C0F" w:rsidRPr="002C6C0F" w:rsidRDefault="002C6C0F" w:rsidP="002C6C0F">
      <w:pPr>
        <w:numPr>
          <w:ilvl w:val="1"/>
          <w:numId w:val="2"/>
        </w:numPr>
      </w:pPr>
      <w:r w:rsidRPr="002C6C0F">
        <w:rPr>
          <w:b/>
          <w:bCs/>
        </w:rPr>
        <w:t xml:space="preserve">Why 3: </w:t>
      </w:r>
      <w:r w:rsidRPr="002C6C0F">
        <w:t>Lack of access to educational resources and opportunities.</w:t>
      </w:r>
    </w:p>
    <w:p w14:paraId="1E09CCA9" w14:textId="77777777" w:rsidR="002C6C0F" w:rsidRPr="002C6C0F" w:rsidRDefault="002C6C0F" w:rsidP="002C6C0F">
      <w:pPr>
        <w:numPr>
          <w:ilvl w:val="1"/>
          <w:numId w:val="2"/>
        </w:numPr>
        <w:rPr>
          <w:b/>
          <w:bCs/>
        </w:rPr>
      </w:pPr>
      <w:r w:rsidRPr="002C6C0F">
        <w:rPr>
          <w:b/>
          <w:bCs/>
        </w:rPr>
        <w:t xml:space="preserve">Why 4: </w:t>
      </w:r>
      <w:r w:rsidRPr="002C6C0F">
        <w:t>Systemic discrimination and barriers to education during apartheid.</w:t>
      </w:r>
    </w:p>
    <w:p w14:paraId="78FD354D" w14:textId="77777777" w:rsidR="002C6C0F" w:rsidRPr="002C6C0F" w:rsidRDefault="002C6C0F" w:rsidP="002C6C0F">
      <w:pPr>
        <w:numPr>
          <w:ilvl w:val="1"/>
          <w:numId w:val="2"/>
        </w:numPr>
      </w:pPr>
      <w:r w:rsidRPr="002C6C0F">
        <w:rPr>
          <w:b/>
          <w:bCs/>
        </w:rPr>
        <w:t>Why 5</w:t>
      </w:r>
      <w:r w:rsidRPr="002C6C0F">
        <w:t>: Deep-rooted societal inequalities affecting education access.</w:t>
      </w:r>
    </w:p>
    <w:p w14:paraId="24F2B6DF" w14:textId="77777777" w:rsidR="002C6C0F" w:rsidRPr="002C6C0F" w:rsidRDefault="002C6C0F" w:rsidP="002C6C0F">
      <w:pPr>
        <w:numPr>
          <w:ilvl w:val="0"/>
          <w:numId w:val="2"/>
        </w:numPr>
      </w:pPr>
      <w:r w:rsidRPr="002C6C0F">
        <w:rPr>
          <w:b/>
          <w:bCs/>
        </w:rPr>
        <w:t>Limited Income Sources:</w:t>
      </w:r>
    </w:p>
    <w:p w14:paraId="0E5E5212" w14:textId="77777777" w:rsidR="002C6C0F" w:rsidRPr="002C6C0F" w:rsidRDefault="002C6C0F" w:rsidP="002C6C0F">
      <w:pPr>
        <w:numPr>
          <w:ilvl w:val="1"/>
          <w:numId w:val="2"/>
        </w:numPr>
      </w:pPr>
      <w:r w:rsidRPr="002C6C0F">
        <w:rPr>
          <w:b/>
          <w:bCs/>
        </w:rPr>
        <w:t>Why 1</w:t>
      </w:r>
      <w:r w:rsidRPr="002C6C0F">
        <w:t>: Average monthly household income is R3055.</w:t>
      </w:r>
    </w:p>
    <w:p w14:paraId="537F33D6" w14:textId="77777777" w:rsidR="002C6C0F" w:rsidRPr="002C6C0F" w:rsidRDefault="002C6C0F" w:rsidP="002C6C0F">
      <w:pPr>
        <w:numPr>
          <w:ilvl w:val="1"/>
          <w:numId w:val="2"/>
        </w:numPr>
      </w:pPr>
      <w:r w:rsidRPr="002C6C0F">
        <w:rPr>
          <w:b/>
          <w:bCs/>
        </w:rPr>
        <w:t xml:space="preserve">Why 2: </w:t>
      </w:r>
      <w:r w:rsidRPr="002C6C0F">
        <w:t>Reliance on social grants as the primary income source (75% of households).</w:t>
      </w:r>
    </w:p>
    <w:p w14:paraId="51F47487" w14:textId="77777777" w:rsidR="002C6C0F" w:rsidRPr="002C6C0F" w:rsidRDefault="002C6C0F" w:rsidP="002C6C0F">
      <w:pPr>
        <w:numPr>
          <w:ilvl w:val="1"/>
          <w:numId w:val="2"/>
        </w:numPr>
      </w:pPr>
      <w:r w:rsidRPr="002C6C0F">
        <w:rPr>
          <w:b/>
          <w:bCs/>
        </w:rPr>
        <w:t xml:space="preserve">Why 3: </w:t>
      </w:r>
      <w:r w:rsidRPr="002C6C0F">
        <w:t>Limited availability of alternative income-generating opportunities.</w:t>
      </w:r>
    </w:p>
    <w:p w14:paraId="2A274C71" w14:textId="77777777" w:rsidR="002C6C0F" w:rsidRPr="002C6C0F" w:rsidRDefault="002C6C0F" w:rsidP="002C6C0F">
      <w:pPr>
        <w:numPr>
          <w:ilvl w:val="1"/>
          <w:numId w:val="2"/>
        </w:numPr>
        <w:rPr>
          <w:b/>
          <w:bCs/>
        </w:rPr>
      </w:pPr>
      <w:r w:rsidRPr="002C6C0F">
        <w:rPr>
          <w:b/>
          <w:bCs/>
        </w:rPr>
        <w:t>Why 4</w:t>
      </w:r>
      <w:r w:rsidRPr="002C6C0F">
        <w:t>: Insufficient economic diversification and development programs.</w:t>
      </w:r>
    </w:p>
    <w:p w14:paraId="40AC4605" w14:textId="77777777" w:rsidR="002C6C0F" w:rsidRPr="002C6C0F" w:rsidRDefault="002C6C0F" w:rsidP="002C6C0F">
      <w:pPr>
        <w:numPr>
          <w:ilvl w:val="1"/>
          <w:numId w:val="2"/>
        </w:numPr>
      </w:pPr>
      <w:r w:rsidRPr="002C6C0F">
        <w:rPr>
          <w:b/>
          <w:bCs/>
        </w:rPr>
        <w:t xml:space="preserve">Why 5: </w:t>
      </w:r>
      <w:r w:rsidRPr="002C6C0F">
        <w:t>Lack of policies promoting diverse economic activities.</w:t>
      </w:r>
    </w:p>
    <w:p w14:paraId="2C0705C9" w14:textId="77777777" w:rsidR="002C6C0F" w:rsidRPr="002C6C0F" w:rsidRDefault="002C6C0F" w:rsidP="002C6C0F">
      <w:pPr>
        <w:numPr>
          <w:ilvl w:val="0"/>
          <w:numId w:val="2"/>
        </w:numPr>
      </w:pPr>
      <w:r w:rsidRPr="002C6C0F">
        <w:rPr>
          <w:b/>
          <w:bCs/>
        </w:rPr>
        <w:t>Agricultural Dependency:</w:t>
      </w:r>
    </w:p>
    <w:p w14:paraId="2475ACF0" w14:textId="77777777" w:rsidR="002C6C0F" w:rsidRPr="002C6C0F" w:rsidRDefault="002C6C0F" w:rsidP="002C6C0F">
      <w:pPr>
        <w:numPr>
          <w:ilvl w:val="1"/>
          <w:numId w:val="2"/>
        </w:numPr>
      </w:pPr>
      <w:r w:rsidRPr="002C6C0F">
        <w:rPr>
          <w:b/>
          <w:bCs/>
        </w:rPr>
        <w:t>Why 1</w:t>
      </w:r>
      <w:r w:rsidRPr="002C6C0F">
        <w:t>: Half of the households are involved in agriculture.</w:t>
      </w:r>
    </w:p>
    <w:p w14:paraId="51784083" w14:textId="77777777" w:rsidR="002C6C0F" w:rsidRPr="002C6C0F" w:rsidRDefault="002C6C0F" w:rsidP="002C6C0F">
      <w:pPr>
        <w:numPr>
          <w:ilvl w:val="1"/>
          <w:numId w:val="2"/>
        </w:numPr>
      </w:pPr>
      <w:r w:rsidRPr="002C6C0F">
        <w:rPr>
          <w:b/>
          <w:bCs/>
        </w:rPr>
        <w:t xml:space="preserve">Why 2: </w:t>
      </w:r>
      <w:r w:rsidRPr="002C6C0F">
        <w:t>Agricultural activities are crucial for income generation.</w:t>
      </w:r>
    </w:p>
    <w:p w14:paraId="0D4FCCD1" w14:textId="77777777" w:rsidR="002C6C0F" w:rsidRPr="002C6C0F" w:rsidRDefault="002C6C0F" w:rsidP="002C6C0F">
      <w:pPr>
        <w:numPr>
          <w:ilvl w:val="1"/>
          <w:numId w:val="2"/>
        </w:numPr>
      </w:pPr>
      <w:r w:rsidRPr="002C6C0F">
        <w:rPr>
          <w:b/>
          <w:bCs/>
        </w:rPr>
        <w:lastRenderedPageBreak/>
        <w:t>Why 3</w:t>
      </w:r>
      <w:r w:rsidRPr="002C6C0F">
        <w:t>: Limited diversification of livelihoods, potentially leading to vulnerability.</w:t>
      </w:r>
    </w:p>
    <w:p w14:paraId="49711EA1" w14:textId="77777777" w:rsidR="002C6C0F" w:rsidRPr="002C6C0F" w:rsidRDefault="002C6C0F" w:rsidP="002C6C0F">
      <w:pPr>
        <w:numPr>
          <w:ilvl w:val="1"/>
          <w:numId w:val="2"/>
        </w:numPr>
        <w:rPr>
          <w:b/>
          <w:bCs/>
        </w:rPr>
      </w:pPr>
      <w:r w:rsidRPr="002C6C0F">
        <w:rPr>
          <w:b/>
          <w:bCs/>
        </w:rPr>
        <w:t xml:space="preserve">Why 4: </w:t>
      </w:r>
      <w:r w:rsidRPr="002C6C0F">
        <w:t>Lack of support and infrastructure for non-agricultural economic activities.</w:t>
      </w:r>
    </w:p>
    <w:p w14:paraId="13B0E2E1" w14:textId="77777777" w:rsidR="002C6C0F" w:rsidRDefault="002C6C0F" w:rsidP="002C6C0F">
      <w:pPr>
        <w:numPr>
          <w:ilvl w:val="1"/>
          <w:numId w:val="2"/>
        </w:numPr>
      </w:pPr>
      <w:r w:rsidRPr="002C6C0F">
        <w:rPr>
          <w:b/>
          <w:bCs/>
        </w:rPr>
        <w:t>Why 5</w:t>
      </w:r>
      <w:r w:rsidRPr="002C6C0F">
        <w:t>: Insufficient emphasis on promoting diverse livelihood options.</w:t>
      </w:r>
    </w:p>
    <w:p w14:paraId="3DA660BD" w14:textId="77777777" w:rsidR="002C6C0F" w:rsidRDefault="002C6C0F" w:rsidP="002C6C0F">
      <w:pPr>
        <w:rPr>
          <w:b/>
          <w:bCs/>
        </w:rPr>
      </w:pPr>
    </w:p>
    <w:p w14:paraId="215AC007" w14:textId="3A6E89B9" w:rsidR="002C6C0F" w:rsidRPr="002C6C0F" w:rsidRDefault="002C6C0F" w:rsidP="00C54E05">
      <w:pPr>
        <w:pStyle w:val="Heading2"/>
      </w:pPr>
      <w:bookmarkStart w:id="4" w:name="_Toc152199015"/>
      <w:r w:rsidRPr="002C6C0F">
        <w:t>Short Report on Findings:</w:t>
      </w:r>
      <w:bookmarkEnd w:id="4"/>
    </w:p>
    <w:p w14:paraId="540D67D9" w14:textId="658F0DA8" w:rsidR="00C54E05" w:rsidRDefault="00C54E05" w:rsidP="00C54E05">
      <w:r>
        <w:t>The analysis of rural areas in the province of Limpopo reveals a complicated network of problems that lead to extreme food insecurity in households. The main issue is a lack of access to appropriate income, which is made more difficult by differences in economic prospects, which are shown in the different poverty rates throughout areas.</w:t>
      </w:r>
    </w:p>
    <w:p w14:paraId="733D9C1E" w14:textId="3C0BC2F1" w:rsidR="00C54E05" w:rsidRDefault="00C54E05" w:rsidP="00C54E05">
      <w:r>
        <w:t>These problems have historical antecedents, most notably apartheid-era restrictions on formal education that led to a workforce with lower educational levels. Furthermore, a high reliance on social handouts as the main source of income highlights the dearth of other revenue streams, therefore sustaining a continuous cycle of financial fragility.</w:t>
      </w:r>
    </w:p>
    <w:p w14:paraId="1D9B300C" w14:textId="77777777" w:rsidR="00C54E05" w:rsidRDefault="00C54E05" w:rsidP="00C54E05">
      <w:r>
        <w:t>The dependence on agriculture emphasizes the need for a variety of sources of income in order to increase resilience and reduce vulnerability to outside influences that affect agricultural production.</w:t>
      </w:r>
    </w:p>
    <w:p w14:paraId="535DCB7B" w14:textId="2E0BBB5B" w:rsidR="00C54E05" w:rsidRDefault="00C54E05" w:rsidP="00C54E05">
      <w:r w:rsidRPr="00C54E05">
        <w:t xml:space="preserve">To successfully address these difficulties, interventions should focus improvements </w:t>
      </w:r>
      <w:proofErr w:type="gramStart"/>
      <w:r w:rsidRPr="00C54E05">
        <w:t>in</w:t>
      </w:r>
      <w:proofErr w:type="gramEnd"/>
      <w:r w:rsidRPr="00C54E05">
        <w:t xml:space="preserve"> educational opportunities, the establishment of alternative revenue streams, and the encouragement of economic development in low-income areas. Creating a more strong and sustainable food security environment in the areas under examination requires a deliberate focus on livelihood diversification in conjunction with targeted support for agricultural practices.</w:t>
      </w:r>
    </w:p>
    <w:p w14:paraId="12AF082B" w14:textId="77777777" w:rsidR="002C6C0F" w:rsidRPr="002C6C0F" w:rsidRDefault="002C6C0F" w:rsidP="002C6C0F"/>
    <w:p w14:paraId="4E620239" w14:textId="77777777" w:rsidR="002C6C0F" w:rsidRPr="002C6C0F" w:rsidRDefault="002C6C0F" w:rsidP="002C6C0F"/>
    <w:p w14:paraId="1D540A36" w14:textId="77777777" w:rsidR="002C6C0F" w:rsidRDefault="002C6C0F">
      <w:pPr>
        <w:rPr>
          <w:rFonts w:asciiTheme="majorHAnsi" w:eastAsiaTheme="majorEastAsia" w:hAnsiTheme="majorHAnsi" w:cstheme="majorBidi"/>
          <w:spacing w:val="-10"/>
          <w:kern w:val="28"/>
          <w:sz w:val="56"/>
          <w:szCs w:val="56"/>
        </w:rPr>
      </w:pPr>
      <w:r>
        <w:br w:type="page"/>
      </w:r>
    </w:p>
    <w:p w14:paraId="7D6EB2EA" w14:textId="2F85A8FB" w:rsidR="002C6C0F" w:rsidRDefault="002C6C0F" w:rsidP="00C54E05">
      <w:pPr>
        <w:pStyle w:val="Heading1"/>
      </w:pPr>
      <w:bookmarkStart w:id="5" w:name="_Toc152199016"/>
      <w:r>
        <w:lastRenderedPageBreak/>
        <w:t>Citations</w:t>
      </w:r>
      <w:bookmarkEnd w:id="5"/>
    </w:p>
    <w:p w14:paraId="27E0641B" w14:textId="354399C4" w:rsidR="002C6C0F" w:rsidRDefault="002C6C0F" w:rsidP="002C6C0F">
      <w:pPr>
        <w:pStyle w:val="NormalWeb"/>
      </w:pPr>
      <w:r>
        <w:t xml:space="preserve">De Cock, N., </w:t>
      </w:r>
      <w:proofErr w:type="spellStart"/>
      <w:r>
        <w:t>D’Haese</w:t>
      </w:r>
      <w:proofErr w:type="spellEnd"/>
      <w:r>
        <w:t xml:space="preserve">, M., Vink, N., Van Rooyen, C., Staelens, L., </w:t>
      </w:r>
      <w:proofErr w:type="spellStart"/>
      <w:r>
        <w:t>Schönfeldt</w:t>
      </w:r>
      <w:proofErr w:type="spellEnd"/>
      <w:r>
        <w:t xml:space="preserve">, H. C., &amp; </w:t>
      </w:r>
      <w:proofErr w:type="spellStart"/>
      <w:r>
        <w:t>D’Haese</w:t>
      </w:r>
      <w:proofErr w:type="spellEnd"/>
      <w:r>
        <w:t xml:space="preserve">, L. (2013, February 15). </w:t>
      </w:r>
      <w:r>
        <w:rPr>
          <w:i/>
          <w:iCs/>
        </w:rPr>
        <w:t>Food security in rural areas of Limpopo province, South Africa</w:t>
      </w:r>
      <w:r>
        <w:t>. Food Security. https://doi.org/10.1007/s12571-013-0247-y</w:t>
      </w:r>
    </w:p>
    <w:p w14:paraId="024B58C6" w14:textId="77777777" w:rsidR="00C54E05" w:rsidRDefault="002C6C0F" w:rsidP="002C6C0F">
      <w:pPr>
        <w:pStyle w:val="NormalWeb"/>
      </w:pPr>
      <w:r>
        <w:t xml:space="preserve">Anderson SA (1990). The 1990 Life Sciences Research Office (LSRO) Report on </w:t>
      </w:r>
      <w:proofErr w:type="spellStart"/>
      <w:r>
        <w:t>NutritionalAssessment</w:t>
      </w:r>
      <w:proofErr w:type="spellEnd"/>
      <w:r>
        <w:t xml:space="preserve"> defined terms associated with food access. Core indicators </w:t>
      </w:r>
      <w:proofErr w:type="spellStart"/>
      <w:r>
        <w:t>ofnutritional</w:t>
      </w:r>
      <w:proofErr w:type="spellEnd"/>
      <w:r>
        <w:t xml:space="preserve"> state for difficult to sample populations. J. </w:t>
      </w:r>
      <w:proofErr w:type="spellStart"/>
      <w:r>
        <w:t>Nutr</w:t>
      </w:r>
      <w:proofErr w:type="spellEnd"/>
      <w:r>
        <w:t xml:space="preserve">. 102:1559-1660. </w:t>
      </w:r>
      <w:proofErr w:type="spellStart"/>
      <w:r>
        <w:t>Athreyet</w:t>
      </w:r>
      <w:proofErr w:type="spellEnd"/>
      <w:r>
        <w:t xml:space="preserve"> VB, </w:t>
      </w:r>
    </w:p>
    <w:p w14:paraId="599578A0" w14:textId="77777777" w:rsidR="00C54E05" w:rsidRDefault="002C6C0F" w:rsidP="002C6C0F">
      <w:pPr>
        <w:pStyle w:val="NormalWeb"/>
      </w:pPr>
      <w:r>
        <w:t xml:space="preserve">Rukmani R, Bhavani RV, Anuradha G, Gopinath R Velan AS (2010). Report on the state of food insecurity in urban India. Centre for Research on Sustainable Agriculture and Rural Development. </w:t>
      </w:r>
      <w:proofErr w:type="spellStart"/>
      <w:r>
        <w:t>Perungudi</w:t>
      </w:r>
      <w:proofErr w:type="spellEnd"/>
      <w:r>
        <w:t xml:space="preserve">, </w:t>
      </w:r>
    </w:p>
    <w:p w14:paraId="29477857" w14:textId="77777777" w:rsidR="00C54E05" w:rsidRDefault="002C6C0F" w:rsidP="002C6C0F">
      <w:pPr>
        <w:pStyle w:val="NormalWeb"/>
      </w:pPr>
      <w:r>
        <w:t xml:space="preserve">Chennai. Du Toit DC (2011). Food Security. Directorate Economic Services Production Economics unit. Department of Agriculture, Forestry and Fisheries, South Africa. Available online: http://www.daff.gov.za/docs/GenReports/FoodSecurity.pdf Accessed on 01 August 2012. </w:t>
      </w:r>
    </w:p>
    <w:p w14:paraId="44DC21F8" w14:textId="56417C39" w:rsidR="002C6C0F" w:rsidRDefault="002C6C0F" w:rsidP="002C6C0F">
      <w:pPr>
        <w:pStyle w:val="NormalWeb"/>
      </w:pPr>
      <w:r>
        <w:t>Fanzo J (2012). The Nutrition Challenge in Sub-Saharan Africa. United Nations Development Programme. Working paper 2012-012. FAO (1996). Food and Agriculture Organization. Rome declaration on world food security, World Food Summit. Rome</w:t>
      </w:r>
    </w:p>
    <w:sectPr w:rsidR="002C6C0F" w:rsidSect="00C54E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F35"/>
    <w:multiLevelType w:val="multilevel"/>
    <w:tmpl w:val="88B86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46E6E"/>
    <w:multiLevelType w:val="multilevel"/>
    <w:tmpl w:val="8A86B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176370">
    <w:abstractNumId w:val="0"/>
  </w:num>
  <w:num w:numId="2" w16cid:durableId="62462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0F"/>
    <w:rsid w:val="002C6C0F"/>
    <w:rsid w:val="00C54E05"/>
    <w:rsid w:val="00CE19B8"/>
    <w:rsid w:val="00E957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2CC9"/>
  <w15:chartTrackingRefBased/>
  <w15:docId w15:val="{C719BB99-C170-47C2-8142-25B58C33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6C0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C6C0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Spacing">
    <w:name w:val="No Spacing"/>
    <w:link w:val="NoSpacingChar"/>
    <w:uiPriority w:val="1"/>
    <w:qFormat/>
    <w:rsid w:val="00C54E0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54E05"/>
    <w:rPr>
      <w:rFonts w:eastAsiaTheme="minorEastAsia"/>
      <w:kern w:val="0"/>
      <w:lang w:val="en-US"/>
      <w14:ligatures w14:val="none"/>
    </w:rPr>
  </w:style>
  <w:style w:type="paragraph" w:styleId="TOCHeading">
    <w:name w:val="TOC Heading"/>
    <w:basedOn w:val="Heading1"/>
    <w:next w:val="Normal"/>
    <w:uiPriority w:val="39"/>
    <w:unhideWhenUsed/>
    <w:qFormat/>
    <w:rsid w:val="00C54E05"/>
    <w:pPr>
      <w:outlineLvl w:val="9"/>
    </w:pPr>
    <w:rPr>
      <w:kern w:val="0"/>
      <w:lang w:val="en-US"/>
      <w14:ligatures w14:val="none"/>
    </w:rPr>
  </w:style>
  <w:style w:type="paragraph" w:styleId="TOC1">
    <w:name w:val="toc 1"/>
    <w:basedOn w:val="Normal"/>
    <w:next w:val="Normal"/>
    <w:autoRedefine/>
    <w:uiPriority w:val="39"/>
    <w:unhideWhenUsed/>
    <w:rsid w:val="00C54E05"/>
    <w:pPr>
      <w:spacing w:after="100"/>
    </w:pPr>
  </w:style>
  <w:style w:type="character" w:styleId="Hyperlink">
    <w:name w:val="Hyperlink"/>
    <w:basedOn w:val="DefaultParagraphFont"/>
    <w:uiPriority w:val="99"/>
    <w:unhideWhenUsed/>
    <w:rsid w:val="00C54E05"/>
    <w:rPr>
      <w:color w:val="0563C1" w:themeColor="hyperlink"/>
      <w:u w:val="single"/>
    </w:rPr>
  </w:style>
  <w:style w:type="character" w:customStyle="1" w:styleId="Heading2Char">
    <w:name w:val="Heading 2 Char"/>
    <w:basedOn w:val="DefaultParagraphFont"/>
    <w:link w:val="Heading2"/>
    <w:uiPriority w:val="9"/>
    <w:rsid w:val="00C54E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4E0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4E05"/>
    <w:pPr>
      <w:spacing w:after="100"/>
      <w:ind w:left="440"/>
    </w:pPr>
  </w:style>
  <w:style w:type="paragraph" w:styleId="TOC2">
    <w:name w:val="toc 2"/>
    <w:basedOn w:val="Normal"/>
    <w:next w:val="Normal"/>
    <w:autoRedefine/>
    <w:uiPriority w:val="39"/>
    <w:unhideWhenUsed/>
    <w:rsid w:val="00C54E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8726">
      <w:bodyDiv w:val="1"/>
      <w:marLeft w:val="0"/>
      <w:marRight w:val="0"/>
      <w:marTop w:val="0"/>
      <w:marBottom w:val="0"/>
      <w:divBdr>
        <w:top w:val="none" w:sz="0" w:space="0" w:color="auto"/>
        <w:left w:val="none" w:sz="0" w:space="0" w:color="auto"/>
        <w:bottom w:val="none" w:sz="0" w:space="0" w:color="auto"/>
        <w:right w:val="none" w:sz="0" w:space="0" w:color="auto"/>
      </w:divBdr>
    </w:div>
    <w:div w:id="534661520">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541551545">
      <w:bodyDiv w:val="1"/>
      <w:marLeft w:val="0"/>
      <w:marRight w:val="0"/>
      <w:marTop w:val="0"/>
      <w:marBottom w:val="0"/>
      <w:divBdr>
        <w:top w:val="none" w:sz="0" w:space="0" w:color="auto"/>
        <w:left w:val="none" w:sz="0" w:space="0" w:color="auto"/>
        <w:bottom w:val="none" w:sz="0" w:space="0" w:color="auto"/>
        <w:right w:val="none" w:sz="0" w:space="0" w:color="auto"/>
      </w:divBdr>
    </w:div>
    <w:div w:id="1610089477">
      <w:bodyDiv w:val="1"/>
      <w:marLeft w:val="0"/>
      <w:marRight w:val="0"/>
      <w:marTop w:val="0"/>
      <w:marBottom w:val="0"/>
      <w:divBdr>
        <w:top w:val="none" w:sz="0" w:space="0" w:color="auto"/>
        <w:left w:val="none" w:sz="0" w:space="0" w:color="auto"/>
        <w:bottom w:val="none" w:sz="0" w:space="0" w:color="auto"/>
        <w:right w:val="none" w:sz="0" w:space="0" w:color="auto"/>
      </w:divBdr>
    </w:div>
    <w:div w:id="1678532785">
      <w:bodyDiv w:val="1"/>
      <w:marLeft w:val="0"/>
      <w:marRight w:val="0"/>
      <w:marTop w:val="0"/>
      <w:marBottom w:val="0"/>
      <w:divBdr>
        <w:top w:val="none" w:sz="0" w:space="0" w:color="auto"/>
        <w:left w:val="none" w:sz="0" w:space="0" w:color="auto"/>
        <w:bottom w:val="none" w:sz="0" w:space="0" w:color="auto"/>
        <w:right w:val="none" w:sz="0" w:space="0" w:color="auto"/>
      </w:divBdr>
    </w:div>
    <w:div w:id="1719278111">
      <w:bodyDiv w:val="1"/>
      <w:marLeft w:val="0"/>
      <w:marRight w:val="0"/>
      <w:marTop w:val="0"/>
      <w:marBottom w:val="0"/>
      <w:divBdr>
        <w:top w:val="none" w:sz="0" w:space="0" w:color="auto"/>
        <w:left w:val="none" w:sz="0" w:space="0" w:color="auto"/>
        <w:bottom w:val="none" w:sz="0" w:space="0" w:color="auto"/>
        <w:right w:val="none" w:sz="0" w:space="0" w:color="auto"/>
      </w:divBdr>
    </w:div>
    <w:div w:id="20429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FCB1D52187C2428D1BF750EC3AA094" ma:contentTypeVersion="13" ma:contentTypeDescription="Create a new document." ma:contentTypeScope="" ma:versionID="cdf38f7b7421e99d24414bc275e13b70">
  <xsd:schema xmlns:xsd="http://www.w3.org/2001/XMLSchema" xmlns:xs="http://www.w3.org/2001/XMLSchema" xmlns:p="http://schemas.microsoft.com/office/2006/metadata/properties" xmlns:ns3="daff5a0d-7874-42e3-a43f-b57bdfe42fcf" xmlns:ns4="b0b8c4b4-54d1-4cdd-9f42-17763f4d4f2b" targetNamespace="http://schemas.microsoft.com/office/2006/metadata/properties" ma:root="true" ma:fieldsID="8e3693b9559944bfebccc49167fa50c4" ns3:_="" ns4:_="">
    <xsd:import namespace="daff5a0d-7874-42e3-a43f-b57bdfe42fcf"/>
    <xsd:import namespace="b0b8c4b4-54d1-4cdd-9f42-17763f4d4f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f5a0d-7874-42e3-a43f-b57bdfe42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b8c4b4-54d1-4cdd-9f42-17763f4d4f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aff5a0d-7874-42e3-a43f-b57bdfe42fc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DC719-F809-4246-93DB-6F1236C54613}">
  <ds:schemaRefs>
    <ds:schemaRef ds:uri="http://schemas.openxmlformats.org/officeDocument/2006/bibliography"/>
  </ds:schemaRefs>
</ds:datastoreItem>
</file>

<file path=customXml/itemProps3.xml><?xml version="1.0" encoding="utf-8"?>
<ds:datastoreItem xmlns:ds="http://schemas.openxmlformats.org/officeDocument/2006/customXml" ds:itemID="{4E76A33C-AF99-474A-92B6-D7C338DC8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f5a0d-7874-42e3-a43f-b57bdfe42fcf"/>
    <ds:schemaRef ds:uri="b0b8c4b4-54d1-4cdd-9f42-17763f4d4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0B48A6-DAF6-43ED-9B00-842F7386D396}">
  <ds:schemaRefs>
    <ds:schemaRef ds:uri="http://schemas.microsoft.com/sharepoint/v3/contenttype/forms"/>
  </ds:schemaRefs>
</ds:datastoreItem>
</file>

<file path=customXml/itemProps5.xml><?xml version="1.0" encoding="utf-8"?>
<ds:datastoreItem xmlns:ds="http://schemas.openxmlformats.org/officeDocument/2006/customXml" ds:itemID="{E75D879C-D056-486D-B25D-27C97FE181AF}">
  <ds:schemaRefs>
    <ds:schemaRef ds:uri="http://purl.org/dc/elements/1.1/"/>
    <ds:schemaRef ds:uri="b0b8c4b4-54d1-4cdd-9f42-17763f4d4f2b"/>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daff5a0d-7874-42e3-a43f-b57bdfe42fcf"/>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1139</Words>
  <Characters>6497</Characters>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2023-11-29T23:10:00Z</dcterms:created>
  <dcterms:modified xsi:type="dcterms:W3CDTF">2023-11-29T23:10:00Z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0x0101003FFCB1D52187C2428D1BF750EC3AA094</vt:lpwstr>
  </property>
</Properties>
</file>