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</w:pPr>
      <w:r>
        <w:rPr>
          <w:rFonts w:ascii="Calibri" w:cs="Calibri" w:eastAsia="Calibri" w:hAnsi="Calibri"/>
          <w:b/>
          <w:bCs/>
          <w:color w:val="3E4C59"/>
          <w:spacing w:val="25"/>
          <w:sz w:val="15"/>
          <w:szCs w:val="15"/>
        </w:rPr>
        <w:t xml:space="preserve">Typologie des territoires BITD  ·  fiche de lecture  ·  page 1</w:t>
      </w:r>
    </w:p>
    <w:p>
      <w:pPr>
        <w:spacing w:after="20" w:before="60" w:line="276"/>
      </w:pPr>
      <w:r>
        <w:rPr>
          <w:rFonts w:ascii="Calibri" w:cs="Calibri" w:eastAsia="Calibri" w:hAnsi="Calibri"/>
          <w:b/>
          <w:bCs/>
          <w:color w:val="1E3A5F"/>
          <w:sz w:val="38"/>
          <w:szCs w:val="38"/>
        </w:rPr>
        <w:t xml:space="preserve">Comment lit-on un territoire ?</w:t>
      </w:r>
    </w:p>
    <w:p>
      <w:pPr>
        <w:spacing w:after="40" w:before="0" w:line="235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La typologie ne cherche pas seulement où les départs seront nombreux : elle distingue des situations de renouvellement différentes, à partir de cinq indicateurs lisibles et de règles explicites.</w:t>
      </w:r>
    </w:p>
    <w:p>
      <w:pPr>
        <w:pBdr>
          <w:bottom w:val="single" w:color="D9DEE5" w:sz="6" w:space="1"/>
        </w:pBdr>
        <w:spacing w:after="60" w:before="20"/>
      </w:pPr>
      <w:r>
        <w:rPr>
          <w:rFonts w:ascii="Calibri" w:cs="Calibri" w:eastAsia="Calibri" w:hAnsi="Calibri"/>
          <w:color w:val="1F2933"/>
          <w:sz w:val="2"/>
          <w:szCs w:val="2"/>
        </w:rPr>
        <w:t xml:space="preserve"/>
      </w:r>
    </w:p>
    <w:p>
      <w:pPr>
        <w:spacing w:after="20" w:before="50" w:line="250"/>
      </w:pPr>
      <w:r>
        <w:rPr>
          <w:rFonts w:ascii="Calibri" w:cs="Calibri" w:eastAsia="Calibri" w:hAnsi="Calibri"/>
          <w:b/>
          <w:bCs/>
          <w:color w:val="1E3A5F"/>
          <w:spacing w:val="15"/>
          <w:sz w:val="14"/>
          <w:szCs w:val="14"/>
        </w:rPr>
        <w:t xml:space="preserve">LES CINQ INGRÉDIENTS DU CLASSEMENT (EXEMPLES FICTIFS)</w:t>
      </w:r>
    </w:p>
    <w:tbl>
      <w:tblPr>
        <w:tblW w:type="dxa" w:w="15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0"/>
        <w:gridCol w:w="150"/>
        <w:gridCol w:w="3020"/>
        <w:gridCol w:w="150"/>
        <w:gridCol w:w="3020"/>
        <w:gridCol w:w="150"/>
        <w:gridCol w:w="3020"/>
        <w:gridCol w:w="150"/>
        <w:gridCol w:w="3020"/>
      </w:tblGrid>
      <w:tr>
        <w:trPr>
          <w:cantSplit/>
        </w:trPr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30" w:before="0" w:line="250"/>
            </w:pPr>
            <w:r>
              <w:rPr>
                <w:rFonts w:ascii="Calibri" w:cs="Calibri" w:eastAsia="Calibri" w:hAnsi="Calibri"/>
                <w:b/>
                <w:bCs/>
                <w:color w:val="B2182B"/>
                <w:sz w:val="20"/>
                <w:szCs w:val="20"/>
              </w:rPr>
              <w:t xml:space="preserve">1  </w:t>
            </w:r>
            <w:r>
              <w:rPr>
                <w:rFonts w:ascii="Calibri" w:cs="Calibri" w:eastAsia="Calibri" w:hAnsi="Calibri"/>
                <w:b/>
                <w:bCs/>
                <w:color w:val="1E3A5F"/>
                <w:spacing w:val="12"/>
                <w:sz w:val="17"/>
                <w:szCs w:val="17"/>
              </w:rPr>
              <w:t xml:space="preserve">LE POIDS</w:t>
            </w:r>
          </w:p>
          <w:p>
            <w:pPr>
              <w:spacing w:after="50" w:before="0" w:line="23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Quelle place occupe ce département dans l’emploi BITD national ?</w:t>
            </w:r>
          </w:p>
          <w:p>
            <w:pPr>
              <w:spacing w:after="40" w:before="40"/>
            </w:pPr>
            <w:r>
              <w:drawing>
                <wp:inline distT="0" distB="0" distL="0" distR="0">
                  <wp:extent cx="1733550" cy="752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3E4C59"/>
                <w:sz w:val="15"/>
                <w:szCs w:val="15"/>
              </w:rPr>
              <w:t xml:space="preserve">Sur 100 salariés de la BITD en France, combien travaillent ici ? Ici 8 sur 100. Classé faible, moyen ou fort ; un très petit effectif est toujours « faible ».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30" w:before="0" w:line="250"/>
            </w:pPr>
            <w:r>
              <w:rPr>
                <w:rFonts w:ascii="Calibri" w:cs="Calibri" w:eastAsia="Calibri" w:hAnsi="Calibri"/>
                <w:b/>
                <w:bCs/>
                <w:color w:val="B2182B"/>
                <w:sz w:val="20"/>
                <w:szCs w:val="20"/>
              </w:rPr>
              <w:t xml:space="preserve">2  </w:t>
            </w:r>
            <w:r>
              <w:rPr>
                <w:rFonts w:ascii="Calibri" w:cs="Calibri" w:eastAsia="Calibri" w:hAnsi="Calibri"/>
                <w:b/>
                <w:bCs/>
                <w:color w:val="1E3A5F"/>
                <w:spacing w:val="12"/>
                <w:sz w:val="17"/>
                <w:szCs w:val="17"/>
              </w:rPr>
              <w:t xml:space="preserve">LE VOLUME</w:t>
            </w:r>
          </w:p>
          <w:p>
            <w:pPr>
              <w:spacing w:after="50" w:before="0" w:line="23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Combien de salariés pourraient partir d’ici 2030 ?</w:t>
            </w:r>
          </w:p>
          <w:p>
            <w:pPr>
              <w:spacing w:after="40" w:before="40"/>
            </w:pPr>
            <w:r>
              <w:drawing>
                <wp:inline distT="0" distB="0" distL="0" distR="0">
                  <wp:extent cx="1733550" cy="752475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3E4C59"/>
                <w:sz w:val="15"/>
                <w:szCs w:val="15"/>
              </w:rPr>
              <w:t xml:space="preserve">Un nombre de départs estimés, ici 900. Il dépend surtout de la taille du département. Classé faible, modéré ou élevé.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30" w:before="0" w:line="250"/>
            </w:pPr>
            <w:r>
              <w:rPr>
                <w:rFonts w:ascii="Calibri" w:cs="Calibri" w:eastAsia="Calibri" w:hAnsi="Calibri"/>
                <w:b/>
                <w:bCs/>
                <w:color w:val="B2182B"/>
                <w:sz w:val="20"/>
                <w:szCs w:val="20"/>
              </w:rPr>
              <w:t xml:space="preserve">3  </w:t>
            </w:r>
            <w:r>
              <w:rPr>
                <w:rFonts w:ascii="Calibri" w:cs="Calibri" w:eastAsia="Calibri" w:hAnsi="Calibri"/>
                <w:b/>
                <w:bCs/>
                <w:color w:val="1E3A5F"/>
                <w:spacing w:val="12"/>
                <w:sz w:val="17"/>
                <w:szCs w:val="17"/>
              </w:rPr>
              <w:t xml:space="preserve">L’INTENSITÉ</w:t>
            </w:r>
          </w:p>
          <w:p>
            <w:pPr>
              <w:spacing w:after="50" w:before="0" w:line="23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Sur 100 salariés en poste, combien correspondent aux départs estimés ?</w:t>
            </w:r>
          </w:p>
          <w:p>
            <w:pPr>
              <w:spacing w:after="40" w:before="40"/>
            </w:pPr>
            <w:r>
              <w:drawing>
                <wp:inline distT="0" distB="0" distL="0" distR="0">
                  <wp:extent cx="1733550" cy="752475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3E4C59"/>
                <w:sz w:val="15"/>
                <w:szCs w:val="15"/>
              </w:rPr>
              <w:t xml:space="preserve">Ici 12 sur 100 : une part de l’emploi actuel à remplacer, pas un taux de recrutement observé. Classée faible, modérée ou élevée.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30" w:before="0" w:line="250"/>
            </w:pPr>
            <w:r>
              <w:rPr>
                <w:rFonts w:ascii="Calibri" w:cs="Calibri" w:eastAsia="Calibri" w:hAnsi="Calibri"/>
                <w:b/>
                <w:bCs/>
                <w:color w:val="B2182B"/>
                <w:sz w:val="20"/>
                <w:szCs w:val="20"/>
              </w:rPr>
              <w:t xml:space="preserve">4  </w:t>
            </w:r>
            <w:r>
              <w:rPr>
                <w:rFonts w:ascii="Calibri" w:cs="Calibri" w:eastAsia="Calibri" w:hAnsi="Calibri"/>
                <w:b/>
                <w:bCs/>
                <w:color w:val="1E3A5F"/>
                <w:spacing w:val="12"/>
                <w:sz w:val="17"/>
                <w:szCs w:val="17"/>
              </w:rPr>
              <w:t xml:space="preserve">LA STRUCTURE</w:t>
            </w:r>
          </w:p>
          <w:p>
            <w:pPr>
              <w:spacing w:after="50" w:before="0" w:line="23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Quels salariés sont les plus représentés aujourd’hui ?</w:t>
            </w:r>
          </w:p>
          <w:p>
            <w:pPr>
              <w:spacing w:after="40" w:before="40"/>
            </w:pPr>
            <w:r>
              <w:drawing>
                <wp:inline distT="0" distB="0" distL="0" distR="0">
                  <wp:extent cx="1733550" cy="752475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3E4C59"/>
                <w:sz w:val="15"/>
                <w:szCs w:val="15"/>
              </w:rPr>
              <w:t xml:space="preserve">« Dominante » si une catégorie atteint une part suffisante de l’emploi, sinon « mixte ». Décrit le département ; n’entre pas dans le choix du profil.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30" w:before="0" w:line="250"/>
            </w:pPr>
            <w:r>
              <w:rPr>
                <w:rFonts w:ascii="Calibri" w:cs="Calibri" w:eastAsia="Calibri" w:hAnsi="Calibri"/>
                <w:b/>
                <w:bCs/>
                <w:color w:val="B2182B"/>
                <w:sz w:val="20"/>
                <w:szCs w:val="20"/>
              </w:rPr>
              <w:t xml:space="preserve">5  </w:t>
            </w:r>
            <w:r>
              <w:rPr>
                <w:rFonts w:ascii="Calibri" w:cs="Calibri" w:eastAsia="Calibri" w:hAnsi="Calibri"/>
                <w:b/>
                <w:bCs/>
                <w:color w:val="1E3A5F"/>
                <w:spacing w:val="12"/>
                <w:sz w:val="17"/>
                <w:szCs w:val="17"/>
              </w:rPr>
              <w:t xml:space="preserve">LA CONCENTRATION</w:t>
            </w:r>
          </w:p>
          <w:p>
            <w:pPr>
              <w:spacing w:after="50" w:before="0" w:line="23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Les départs concernent-ils surtout une catégorie ?</w:t>
            </w:r>
          </w:p>
          <w:p>
            <w:pPr>
              <w:spacing w:after="40" w:before="40"/>
            </w:pPr>
            <w:r>
              <w:drawing>
                <wp:inline distT="0" distB="0" distL="0" distR="0">
                  <wp:extent cx="1733550" cy="752475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3E4C59"/>
                <w:sz w:val="15"/>
                <w:szCs w:val="15"/>
              </w:rPr>
              <w:t xml:space="preserve">Ici 70 départs sur 100 concernent les ouvriers. Distinct de la structure : une catégorie peut dominer l’emploi sans dominer les départs. Peut décider du profil.</w:t>
            </w:r>
          </w:p>
        </w:tc>
      </w:tr>
    </w:tbl>
    <w:p>
      <w:pPr>
        <w:spacing w:after="0" w:before="0" w:line="100" w:lineRule="exact"/>
      </w:pPr>
      <w:r>
        <w:rPr>
          <w:rFonts w:ascii="Calibri" w:cs="Calibri" w:eastAsia="Calibri" w:hAnsi="Calibri"/>
          <w:color w:val="1F2933"/>
          <w:sz w:val="4"/>
          <w:szCs w:val="4"/>
        </w:rPr>
        <w:t xml:space="preserve"/>
      </w:r>
    </w:p>
    <w:tbl>
      <w:tblPr>
        <w:tblW w:type="dxa" w:w="15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300"/>
        <w:gridCol w:w="200"/>
        <w:gridCol w:w="7200"/>
      </w:tblGrid>
      <w:tr>
        <w:trPr>
          <w:cantSplit/>
        </w:trPr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20" w:before="50" w:line="25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VOLUME ET INTENSITÉ : DEUX DÉPARTEMENTS, DEUX LECTURES</w:t>
            </w:r>
          </w:p>
          <w:p>
            <w:pPr>
              <w:spacing w:after="40" w:before="0" w:line="23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A compte deux fois plus de départs. Pourtant, B est proportionnellement cinq fois plus concerné.</w:t>
            </w:r>
          </w:p>
          <w:p>
            <w:pPr>
              <w:spacing w:after="40" w:before="40"/>
            </w:pPr>
            <w:r>
              <w:drawing>
                <wp:inline distT="0" distB="0" distL="0" distR="0">
                  <wp:extent cx="5048250" cy="2085975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3E4C59"/>
                <w:sz w:val="15"/>
                <w:szCs w:val="15"/>
              </w:rPr>
              <w:t xml:space="preserve">Volume : combien de départs ? Intensité : quelle part de l’emploi actuel représentent-ils ? Exemples entièrement fictifs : ces taux illustrent une ampleur de renouvellement, pas une pénurie démontrée.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20" w:before="50" w:line="25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DES INDICATEURS AU PROFIL : LA PREMIÈRE RÈGLE QUI S’APPLIQUE L’EMPORTE</w:t>
            </w:r>
          </w:p>
          <w:p>
            <w:pPr>
              <w:spacing w:after="40" w:before="0" w:line="240"/>
            </w:pPr>
            <w:r>
              <w:rPr>
                <w:rFonts w:ascii="Calibri" w:cs="Calibri" w:eastAsia="Calibri" w:hAnsi="Calibri"/>
                <w:color w:val="3E4C59"/>
                <w:sz w:val="15"/>
                <w:szCs w:val="15"/>
              </w:rPr>
              <w:t xml:space="preserve">Règles examinées dans l’ordre : situations à expertiser et petites implantations d’abord, puis le premier profil dont la condition est remplie. Aucun score, aucune addition d’indicateurs.</w:t>
            </w:r>
          </w:p>
          <w:tbl>
            <w:tblPr>
              <w:tblW w:type="dxa" w:w="69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30"/>
              <w:gridCol w:w="3510"/>
              <w:gridCol w:w="3100"/>
            </w:tblGrid>
            <w:tr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4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color w:val="1F2933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3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"/>
                    <w:left w:type="dxa" w:w="60"/>
                    <w:bottom w:type="dxa" w:w="6"/>
                    <w:right w:type="dxa" w:w="6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pacing w:val="12"/>
                      <w:sz w:val="13"/>
                      <w:szCs w:val="13"/>
                    </w:rPr>
                    <w:t xml:space="preserve">SI…</w:t>
                  </w:r>
                </w:p>
              </w:tc>
              <w:tc>
                <w:tcPr>
                  <w:tcW w:type="dxa" w:w="3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"/>
                    <w:left w:type="dxa" w:w="60"/>
                    <w:bottom w:type="dxa" w:w="6"/>
                    <w:right w:type="dxa" w:w="6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pacing w:val="12"/>
                      <w:sz w:val="13"/>
                      <w:szCs w:val="13"/>
                    </w:rPr>
                    <w:t xml:space="preserve">ALORS LE PROFIL EST…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4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3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60"/>
                    <w:bottom w:type="dxa" w:w="8"/>
                    <w:right w:type="dxa" w:w="60"/>
                  </w:tcMar>
                  <w:vAlign w:val="top"/>
                </w:tcPr>
                <w:p>
                  <w:pPr>
                    <w:spacing w:after="0" w:before="0" w:line="215"/>
                  </w:pPr>
                  <w:r>
                    <w:rPr>
                      <w:rFonts w:ascii="Calibri" w:cs="Calibri" w:eastAsia="Calibri" w:hAnsi="Calibri"/>
                      <w:color w:val="1F2933"/>
                      <w:sz w:val="15"/>
                      <w:szCs w:val="15"/>
                    </w:rPr>
                    <w:t xml:space="preserve">un indicateur de classement manque</w:t>
                  </w:r>
                </w:p>
              </w:tc>
              <w:tc>
                <w:tcPr>
                  <w:tcW w:type="dxa" w:w="3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60"/>
                    <w:bottom w:type="dxa" w:w="8"/>
                    <w:right w:type="dxa" w:w="60"/>
                  </w:tcMar>
                  <w:vAlign w:val="top"/>
                </w:tcPr>
                <w:p>
                  <w:pPr>
                    <w:spacing w:after="0" w:before="0" w:line="215"/>
                  </w:pPr>
                  <w:r>
                    <w:rPr>
                      <w:rFonts w:ascii="Calibri" w:cs="Calibri" w:eastAsia="Calibri" w:hAnsi="Calibri"/>
                      <w:color w:val="F2C744"/>
                      <w:sz w:val="18"/>
                      <w:szCs w:val="18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4"/>
                      <w:szCs w:val="14"/>
                    </w:rPr>
                    <w:t xml:space="preserve">Situation à expertiser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4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3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60"/>
                    <w:bottom w:type="dxa" w:w="8"/>
                    <w:right w:type="dxa" w:w="60"/>
                  </w:tcMar>
                  <w:vAlign w:val="top"/>
                </w:tcPr>
                <w:p>
                  <w:pPr>
                    <w:spacing w:after="0" w:before="0" w:line="215"/>
                  </w:pPr>
                  <w:r>
                    <w:rPr>
                      <w:rFonts w:ascii="Calibri" w:cs="Calibri" w:eastAsia="Calibri" w:hAnsi="Calibri"/>
                      <w:color w:val="1F2933"/>
                      <w:sz w:val="15"/>
                      <w:szCs w:val="15"/>
                    </w:rPr>
                    <w:t xml:space="preserve">poids faible et intensité extrême (petit effectif)</w:t>
                  </w:r>
                </w:p>
              </w:tc>
              <w:tc>
                <w:tcPr>
                  <w:tcW w:type="dxa" w:w="3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60"/>
                    <w:bottom w:type="dxa" w:w="8"/>
                    <w:right w:type="dxa" w:w="60"/>
                  </w:tcMar>
                  <w:vAlign w:val="top"/>
                </w:tcPr>
                <w:p>
                  <w:pPr>
                    <w:spacing w:after="0" w:before="0" w:line="215"/>
                  </w:pPr>
                  <w:r>
                    <w:rPr>
                      <w:rFonts w:ascii="Calibri" w:cs="Calibri" w:eastAsia="Calibri" w:hAnsi="Calibri"/>
                      <w:color w:val="F2C744"/>
                      <w:sz w:val="18"/>
                      <w:szCs w:val="18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4"/>
                      <w:szCs w:val="14"/>
                    </w:rPr>
                    <w:t xml:space="preserve">Situation à expertiser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4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3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60"/>
                    <w:bottom w:type="dxa" w:w="8"/>
                    <w:right w:type="dxa" w:w="60"/>
                  </w:tcMar>
                  <w:vAlign w:val="top"/>
                </w:tcPr>
                <w:p>
                  <w:pPr>
                    <w:spacing w:after="0" w:before="0" w:line="215"/>
                  </w:pPr>
                  <w:r>
                    <w:rPr>
                      <w:rFonts w:ascii="Calibri" w:cs="Calibri" w:eastAsia="Calibri" w:hAnsi="Calibri"/>
                      <w:color w:val="1F2933"/>
                      <w:sz w:val="15"/>
                      <w:szCs w:val="15"/>
                    </w:rPr>
                    <w:t xml:space="preserve">poids faible</w:t>
                  </w:r>
                </w:p>
              </w:tc>
              <w:tc>
                <w:tcPr>
                  <w:tcW w:type="dxa" w:w="3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60"/>
                    <w:bottom w:type="dxa" w:w="8"/>
                    <w:right w:type="dxa" w:w="60"/>
                  </w:tcMar>
                  <w:vAlign w:val="top"/>
                </w:tcPr>
                <w:p>
                  <w:pPr>
                    <w:spacing w:after="0" w:before="0" w:line="215"/>
                  </w:pPr>
                  <w:r>
                    <w:rPr>
                      <w:rFonts w:ascii="Calibri" w:cs="Calibri" w:eastAsia="Calibri" w:hAnsi="Calibri"/>
                      <w:color w:val="B8C4D2"/>
                      <w:sz w:val="18"/>
                      <w:szCs w:val="18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4"/>
                      <w:szCs w:val="14"/>
                    </w:rPr>
                    <w:t xml:space="preserve">Implantation réduite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4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3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60"/>
                    <w:bottom w:type="dxa" w:w="8"/>
                    <w:right w:type="dxa" w:w="60"/>
                  </w:tcMar>
                  <w:vAlign w:val="top"/>
                </w:tcPr>
                <w:p>
                  <w:pPr>
                    <w:spacing w:after="0" w:before="0" w:line="215"/>
                  </w:pPr>
                  <w:r>
                    <w:rPr>
                      <w:rFonts w:ascii="Calibri" w:cs="Calibri" w:eastAsia="Calibri" w:hAnsi="Calibri"/>
                      <w:color w:val="1F2933"/>
                      <w:sz w:val="15"/>
                      <w:szCs w:val="15"/>
                    </w:rPr>
                    <w:t xml:space="preserve">au moins deux indicateurs tout près d’un seuil</w:t>
                  </w:r>
                </w:p>
              </w:tc>
              <w:tc>
                <w:tcPr>
                  <w:tcW w:type="dxa" w:w="3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60"/>
                    <w:bottom w:type="dxa" w:w="8"/>
                    <w:right w:type="dxa" w:w="60"/>
                  </w:tcMar>
                  <w:vAlign w:val="top"/>
                </w:tcPr>
                <w:p>
                  <w:pPr>
                    <w:spacing w:after="0" w:before="0" w:line="215"/>
                  </w:pPr>
                  <w:r>
                    <w:rPr>
                      <w:rFonts w:ascii="Calibri" w:cs="Calibri" w:eastAsia="Calibri" w:hAnsi="Calibri"/>
                      <w:color w:val="F2C744"/>
                      <w:sz w:val="18"/>
                      <w:szCs w:val="18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4"/>
                      <w:szCs w:val="14"/>
                    </w:rPr>
                    <w:t xml:space="preserve">Situation à expertiser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4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3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60"/>
                    <w:bottom w:type="dxa" w:w="8"/>
                    <w:right w:type="dxa" w:w="60"/>
                  </w:tcMar>
                  <w:vAlign w:val="top"/>
                </w:tcPr>
                <w:p>
                  <w:pPr>
                    <w:spacing w:after="0" w:before="0" w:line="215"/>
                  </w:pPr>
                  <w:r>
                    <w:rPr>
                      <w:rFonts w:ascii="Calibri" w:cs="Calibri" w:eastAsia="Calibri" w:hAnsi="Calibri"/>
                      <w:color w:val="1F2933"/>
                      <w:sz w:val="15"/>
                      <w:szCs w:val="15"/>
                    </w:rPr>
                    <w:t xml:space="preserve">volume élevé mais intensité faible (contradiction)</w:t>
                  </w:r>
                </w:p>
              </w:tc>
              <w:tc>
                <w:tcPr>
                  <w:tcW w:type="dxa" w:w="3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60"/>
                    <w:bottom w:type="dxa" w:w="8"/>
                    <w:right w:type="dxa" w:w="60"/>
                  </w:tcMar>
                  <w:vAlign w:val="top"/>
                </w:tcPr>
                <w:p>
                  <w:pPr>
                    <w:spacing w:after="0" w:before="0" w:line="215"/>
                  </w:pPr>
                  <w:r>
                    <w:rPr>
                      <w:rFonts w:ascii="Calibri" w:cs="Calibri" w:eastAsia="Calibri" w:hAnsi="Calibri"/>
                      <w:color w:val="F2C744"/>
                      <w:sz w:val="18"/>
                      <w:szCs w:val="18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4"/>
                      <w:szCs w:val="14"/>
                    </w:rPr>
                    <w:t xml:space="preserve">Situation à expertiser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4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15"/>
                      <w:szCs w:val="15"/>
                    </w:rPr>
                    <w:t xml:space="preserve">6</w:t>
                  </w:r>
                </w:p>
              </w:tc>
              <w:tc>
                <w:tcPr>
                  <w:tcW w:type="dxa" w:w="3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60"/>
                    <w:bottom w:type="dxa" w:w="8"/>
                    <w:right w:type="dxa" w:w="60"/>
                  </w:tcMar>
                  <w:vAlign w:val="top"/>
                </w:tcPr>
                <w:p>
                  <w:pPr>
                    <w:spacing w:after="0" w:before="0" w:line="215"/>
                  </w:pPr>
                  <w:r>
                    <w:rPr>
                      <w:rFonts w:ascii="Calibri" w:cs="Calibri" w:eastAsia="Calibri" w:hAnsi="Calibri"/>
                      <w:color w:val="1F2933"/>
                      <w:sz w:val="15"/>
                      <w:szCs w:val="15"/>
                    </w:rPr>
                    <w:t xml:space="preserve">poids fort, volume élevé et intensité élevée</w:t>
                  </w:r>
                </w:p>
              </w:tc>
              <w:tc>
                <w:tcPr>
                  <w:tcW w:type="dxa" w:w="3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60"/>
                    <w:bottom w:type="dxa" w:w="8"/>
                    <w:right w:type="dxa" w:w="60"/>
                  </w:tcMar>
                  <w:vAlign w:val="top"/>
                </w:tcPr>
                <w:p>
                  <w:pPr>
                    <w:spacing w:after="0" w:before="0" w:line="215"/>
                  </w:pPr>
                  <w:r>
                    <w:rPr>
                      <w:rFonts w:ascii="Calibri" w:cs="Calibri" w:eastAsia="Calibri" w:hAnsi="Calibri"/>
                      <w:color w:val="B2182B"/>
                      <w:sz w:val="18"/>
                      <w:szCs w:val="18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4"/>
                      <w:szCs w:val="14"/>
                    </w:rPr>
                    <w:t xml:space="preserve">Pôle majeur à renouveler rapidement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4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15"/>
                      <w:szCs w:val="15"/>
                    </w:rPr>
                    <w:t xml:space="preserve">7</w:t>
                  </w:r>
                </w:p>
              </w:tc>
              <w:tc>
                <w:tcPr>
                  <w:tcW w:type="dxa" w:w="3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60"/>
                    <w:bottom w:type="dxa" w:w="8"/>
                    <w:right w:type="dxa" w:w="60"/>
                  </w:tcMar>
                  <w:vAlign w:val="top"/>
                </w:tcPr>
                <w:p>
                  <w:pPr>
                    <w:spacing w:after="0" w:before="0" w:line="215"/>
                  </w:pPr>
                  <w:r>
                    <w:rPr>
                      <w:rFonts w:ascii="Calibri" w:cs="Calibri" w:eastAsia="Calibri" w:hAnsi="Calibri"/>
                      <w:color w:val="1F2933"/>
                      <w:sz w:val="15"/>
                      <w:szCs w:val="15"/>
                    </w:rPr>
                    <w:t xml:space="preserve">intensité élevée</w:t>
                  </w:r>
                </w:p>
              </w:tc>
              <w:tc>
                <w:tcPr>
                  <w:tcW w:type="dxa" w:w="3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60"/>
                    <w:bottom w:type="dxa" w:w="8"/>
                    <w:right w:type="dxa" w:w="60"/>
                  </w:tcMar>
                  <w:vAlign w:val="top"/>
                </w:tcPr>
                <w:p>
                  <w:pPr>
                    <w:spacing w:after="0" w:before="0" w:line="215"/>
                  </w:pPr>
                  <w:r>
                    <w:rPr>
                      <w:rFonts w:ascii="Calibri" w:cs="Calibri" w:eastAsia="Calibri" w:hAnsi="Calibri"/>
                      <w:color w:val="EF8A62"/>
                      <w:sz w:val="18"/>
                      <w:szCs w:val="18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4"/>
                      <w:szCs w:val="14"/>
                    </w:rPr>
                    <w:t xml:space="preserve">Renouvellement rapide à surveiller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4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15"/>
                      <w:szCs w:val="15"/>
                    </w:rPr>
                    <w:t xml:space="preserve">8</w:t>
                  </w:r>
                </w:p>
              </w:tc>
              <w:tc>
                <w:tcPr>
                  <w:tcW w:type="dxa" w:w="3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60"/>
                    <w:bottom w:type="dxa" w:w="8"/>
                    <w:right w:type="dxa" w:w="60"/>
                  </w:tcMar>
                  <w:vAlign w:val="top"/>
                </w:tcPr>
                <w:p>
                  <w:pPr>
                    <w:spacing w:after="0" w:before="0" w:line="215"/>
                  </w:pPr>
                  <w:r>
                    <w:rPr>
                      <w:rFonts w:ascii="Calibri" w:cs="Calibri" w:eastAsia="Calibri" w:hAnsi="Calibri"/>
                      <w:color w:val="1F2933"/>
                      <w:sz w:val="15"/>
                      <w:szCs w:val="15"/>
                    </w:rPr>
                    <w:t xml:space="preserve">volume élevé (intensité modérée)</w:t>
                  </w:r>
                </w:p>
              </w:tc>
              <w:tc>
                <w:tcPr>
                  <w:tcW w:type="dxa" w:w="3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60"/>
                    <w:bottom w:type="dxa" w:w="8"/>
                    <w:right w:type="dxa" w:w="60"/>
                  </w:tcMar>
                  <w:vAlign w:val="top"/>
                </w:tcPr>
                <w:p>
                  <w:pPr>
                    <w:spacing w:after="0" w:before="0" w:line="215"/>
                  </w:pPr>
                  <w:r>
                    <w:rPr>
                      <w:rFonts w:ascii="Calibri" w:cs="Calibri" w:eastAsia="Calibri" w:hAnsi="Calibri"/>
                      <w:color w:val="2166AC"/>
                      <w:sz w:val="18"/>
                      <w:szCs w:val="18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4"/>
                      <w:szCs w:val="14"/>
                    </w:rPr>
                    <w:t xml:space="preserve">Pôle majeur au renouvellement modéré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4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15"/>
                      <w:szCs w:val="15"/>
                    </w:rPr>
                    <w:t xml:space="preserve">9</w:t>
                  </w:r>
                </w:p>
              </w:tc>
              <w:tc>
                <w:tcPr>
                  <w:tcW w:type="dxa" w:w="3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60"/>
                    <w:bottom w:type="dxa" w:w="8"/>
                    <w:right w:type="dxa" w:w="60"/>
                  </w:tcMar>
                  <w:vAlign w:val="top"/>
                </w:tcPr>
                <w:p>
                  <w:pPr>
                    <w:spacing w:after="0" w:before="0" w:line="215"/>
                  </w:pPr>
                  <w:r>
                    <w:rPr>
                      <w:rFonts w:ascii="Calibri" w:cs="Calibri" w:eastAsia="Calibri" w:hAnsi="Calibri"/>
                      <w:color w:val="1F2933"/>
                      <w:sz w:val="15"/>
                      <w:szCs w:val="15"/>
                    </w:rPr>
                    <w:t xml:space="preserve">une catégorie porte au moins la moitié des départs</w:t>
                  </w:r>
                </w:p>
              </w:tc>
              <w:tc>
                <w:tcPr>
                  <w:tcW w:type="dxa" w:w="3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60"/>
                    <w:bottom w:type="dxa" w:w="8"/>
                    <w:right w:type="dxa" w:w="60"/>
                  </w:tcMar>
                  <w:vAlign w:val="top"/>
                </w:tcPr>
                <w:p>
                  <w:pPr>
                    <w:spacing w:after="0" w:before="0" w:line="215"/>
                  </w:pPr>
                  <w:r>
                    <w:rPr>
                      <w:rFonts w:ascii="Calibri" w:cs="Calibri" w:eastAsia="Calibri" w:hAnsi="Calibri"/>
                      <w:color w:val="8C6BB1"/>
                      <w:sz w:val="18"/>
                      <w:szCs w:val="18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4"/>
                      <w:szCs w:val="14"/>
                    </w:rPr>
                    <w:t xml:space="preserve">Renouvellement porté par une catégorie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4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15"/>
                      <w:szCs w:val="15"/>
                    </w:rPr>
                    <w:t xml:space="preserve">10</w:t>
                  </w:r>
                </w:p>
              </w:tc>
              <w:tc>
                <w:tcPr>
                  <w:tcW w:type="dxa" w:w="3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60"/>
                    <w:bottom w:type="dxa" w:w="8"/>
                    <w:right w:type="dxa" w:w="60"/>
                  </w:tcMar>
                  <w:vAlign w:val="top"/>
                </w:tcPr>
                <w:p>
                  <w:pPr>
                    <w:spacing w:after="0" w:before="0" w:line="215"/>
                  </w:pPr>
                  <w:r>
                    <w:rPr>
                      <w:rFonts w:ascii="Calibri" w:cs="Calibri" w:eastAsia="Calibri" w:hAnsi="Calibri"/>
                      <w:color w:val="1F2933"/>
                      <w:sz w:val="15"/>
                      <w:szCs w:val="15"/>
                    </w:rPr>
                    <w:t xml:space="preserve">aucune des règles précédentes</w:t>
                  </w:r>
                </w:p>
              </w:tc>
              <w:tc>
                <w:tcPr>
                  <w:tcW w:type="dxa" w:w="3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60"/>
                    <w:bottom w:type="dxa" w:w="8"/>
                    <w:right w:type="dxa" w:w="60"/>
                  </w:tcMar>
                  <w:vAlign w:val="top"/>
                </w:tcPr>
                <w:p>
                  <w:pPr>
                    <w:spacing w:after="0" w:before="0" w:line="215"/>
                  </w:pPr>
                  <w:r>
                    <w:rPr>
                      <w:rFonts w:ascii="Calibri" w:cs="Calibri" w:eastAsia="Calibri" w:hAnsi="Calibri"/>
                      <w:color w:val="74C476"/>
                      <w:sz w:val="18"/>
                      <w:szCs w:val="18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4"/>
                      <w:szCs w:val="14"/>
                    </w:rPr>
                    <w:t xml:space="preserve">Implantation stable</w:t>
                  </w:r>
                </w:p>
              </w:tc>
            </w:tr>
          </w:tbl>
          <w:p>
            <w:pPr>
              <w:spacing w:after="20" w:before="50" w:line="25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UN SEUL INDICATEUR CHANGE LA LECTURE</w:t>
            </w:r>
          </w:p>
          <w:tbl>
            <w:tblPr>
              <w:tblW w:type="dxa" w:w="69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560"/>
              <w:gridCol w:w="1200"/>
              <w:gridCol w:w="80"/>
              <w:gridCol w:w="1200"/>
              <w:gridCol w:w="80"/>
              <w:gridCol w:w="1300"/>
              <w:gridCol w:w="360"/>
              <w:gridCol w:w="2160"/>
            </w:tblGrid>
            <w:tr>
              <w:trPr>
                <w:cantSplit/>
              </w:trP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pacing w:val="12"/>
                      <w:sz w:val="13"/>
                      <w:szCs w:val="13"/>
                    </w:rPr>
                    <w:t xml:space="preserve">AVANT</w:t>
                  </w:r>
                </w:p>
              </w:tc>
              <w:tc>
                <w:tcPr>
                  <w:tcW w:type="dxa" w:w="1200"/>
                  <w:tcBorders>
                    <w:top w:val="single" w:color="D9DEE5" w:sz="4"/>
                    <w:left w:val="single" w:color="D9DEE5" w:sz="4"/>
                    <w:bottom w:val="single" w:color="D9DEE5" w:sz="4"/>
                    <w:right w:val="single" w:color="D9DEE5" w:sz="4"/>
                  </w:tcBorders>
                  <w:shd w:fill="FFFFFF" w:color="auto" w:val="clear"/>
                  <w:tcMar>
                    <w:top w:type="dxa" w:w="24"/>
                    <w:left w:type="dxa" w:w="40"/>
                    <w:bottom w:type="dxa" w:w="24"/>
                    <w:right w:type="dxa" w:w="40"/>
                  </w:tcMar>
                  <w:vAlign w:val="center"/>
                </w:tcPr>
                <w:p>
                  <w:pPr>
                    <w:spacing w:after="0" w:before="0" w:line="215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5"/>
                      <w:szCs w:val="15"/>
                    </w:rPr>
                    <w:t xml:space="preserve">Poids fort</w:t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1200"/>
                  <w:tcBorders>
                    <w:top w:val="single" w:color="D9DEE5" w:sz="4"/>
                    <w:left w:val="single" w:color="D9DEE5" w:sz="4"/>
                    <w:bottom w:val="single" w:color="D9DEE5" w:sz="4"/>
                    <w:right w:val="single" w:color="D9DEE5" w:sz="4"/>
                  </w:tcBorders>
                  <w:shd w:fill="FFFFFF" w:color="auto" w:val="clear"/>
                  <w:tcMar>
                    <w:top w:type="dxa" w:w="24"/>
                    <w:left w:type="dxa" w:w="40"/>
                    <w:bottom w:type="dxa" w:w="24"/>
                    <w:right w:type="dxa" w:w="40"/>
                  </w:tcMar>
                  <w:vAlign w:val="center"/>
                </w:tcPr>
                <w:p>
                  <w:pPr>
                    <w:spacing w:after="0" w:before="0" w:line="215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5"/>
                      <w:szCs w:val="15"/>
                    </w:rPr>
                    <w:t xml:space="preserve">Volume élevé</w:t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D9DEE5" w:sz="4"/>
                    <w:left w:val="single" w:color="D9DEE5" w:sz="4"/>
                    <w:bottom w:val="single" w:color="D9DEE5" w:sz="4"/>
                    <w:right w:val="single" w:color="D9DEE5" w:sz="4"/>
                  </w:tcBorders>
                  <w:shd w:fill="FFFFFF" w:color="auto" w:val="clear"/>
                  <w:tcMar>
                    <w:top w:type="dxa" w:w="24"/>
                    <w:left w:type="dxa" w:w="40"/>
                    <w:bottom w:type="dxa" w:w="24"/>
                    <w:right w:type="dxa" w:w="40"/>
                  </w:tcMar>
                  <w:vAlign w:val="center"/>
                </w:tcPr>
                <w:p>
                  <w:pPr>
                    <w:spacing w:after="0" w:before="0" w:line="215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5"/>
                      <w:szCs w:val="15"/>
                    </w:rPr>
                    <w:t xml:space="preserve">Intensité élevée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5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24"/>
                      <w:szCs w:val="24"/>
                    </w:rPr>
                    <w:t xml:space="preserve">→</w:t>
                  </w:r>
                </w:p>
              </w:tc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spacing w:after="0" w:before="0" w:line="215"/>
                  </w:pPr>
                  <w:r>
                    <w:rPr>
                      <w:rFonts w:ascii="Calibri" w:cs="Calibri" w:eastAsia="Calibri" w:hAnsi="Calibri"/>
                      <w:color w:val="B2182B"/>
                      <w:sz w:val="18"/>
                      <w:szCs w:val="18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6"/>
                      <w:szCs w:val="16"/>
                    </w:rPr>
                    <w:t xml:space="preserve">Pôle majeur à renouveler rapidement</w:t>
                  </w:r>
                </w:p>
              </w:tc>
            </w:tr>
            <w:tr>
              <w:trPr>
                <w:trHeight w:val="40" w:hRule="exact"/>
              </w:trP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pacing w:val="12"/>
                      <w:sz w:val="13"/>
                      <w:szCs w:val="13"/>
                    </w:rPr>
                    <w:t xml:space="preserve">APRÈS</w:t>
                  </w:r>
                </w:p>
              </w:tc>
              <w:tc>
                <w:tcPr>
                  <w:tcW w:type="dxa" w:w="1200"/>
                  <w:tcBorders>
                    <w:top w:val="single" w:color="D9DEE5" w:sz="4"/>
                    <w:left w:val="single" w:color="D9DEE5" w:sz="4"/>
                    <w:bottom w:val="single" w:color="D9DEE5" w:sz="4"/>
                    <w:right w:val="single" w:color="D9DEE5" w:sz="4"/>
                  </w:tcBorders>
                  <w:shd w:fill="FFFFFF" w:color="auto" w:val="clear"/>
                  <w:tcMar>
                    <w:top w:type="dxa" w:w="24"/>
                    <w:left w:type="dxa" w:w="40"/>
                    <w:bottom w:type="dxa" w:w="24"/>
                    <w:right w:type="dxa" w:w="40"/>
                  </w:tcMar>
                  <w:vAlign w:val="center"/>
                </w:tcPr>
                <w:p>
                  <w:pPr>
                    <w:spacing w:after="0" w:before="0" w:line="215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5"/>
                      <w:szCs w:val="15"/>
                    </w:rPr>
                    <w:t xml:space="preserve">Poids fort</w:t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1200"/>
                  <w:tcBorders>
                    <w:top w:val="single" w:color="D9DEE5" w:sz="4"/>
                    <w:left w:val="single" w:color="D9DEE5" w:sz="4"/>
                    <w:bottom w:val="single" w:color="D9DEE5" w:sz="4"/>
                    <w:right w:val="single" w:color="D9DEE5" w:sz="4"/>
                  </w:tcBorders>
                  <w:shd w:fill="FFFFFF" w:color="auto" w:val="clear"/>
                  <w:tcMar>
                    <w:top w:type="dxa" w:w="24"/>
                    <w:left w:type="dxa" w:w="40"/>
                    <w:bottom w:type="dxa" w:w="24"/>
                    <w:right w:type="dxa" w:w="40"/>
                  </w:tcMar>
                  <w:vAlign w:val="center"/>
                </w:tcPr>
                <w:p>
                  <w:pPr>
                    <w:spacing w:after="0" w:before="0" w:line="215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5"/>
                      <w:szCs w:val="15"/>
                    </w:rPr>
                    <w:t xml:space="preserve">Volume élevé</w:t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2182B" w:color="auto" w:val="clear"/>
                  <w:tcMar>
                    <w:top w:type="dxa" w:w="24"/>
                    <w:left w:type="dxa" w:w="40"/>
                    <w:bottom w:type="dxa" w:w="24"/>
                    <w:right w:type="dxa" w:w="40"/>
                  </w:tcMar>
                  <w:vAlign w:val="center"/>
                </w:tcPr>
                <w:p>
                  <w:pPr>
                    <w:spacing w:after="0" w:before="0" w:line="215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5"/>
                      <w:szCs w:val="15"/>
                    </w:rPr>
                    <w:t xml:space="preserve">Intensité modérée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5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24"/>
                      <w:szCs w:val="24"/>
                    </w:rPr>
                    <w:t xml:space="preserve">→</w:t>
                  </w:r>
                </w:p>
              </w:tc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spacing w:after="0" w:before="0" w:line="215"/>
                  </w:pPr>
                  <w:r>
                    <w:rPr>
                      <w:rFonts w:ascii="Calibri" w:cs="Calibri" w:eastAsia="Calibri" w:hAnsi="Calibri"/>
                      <w:color w:val="2166AC"/>
                      <w:sz w:val="18"/>
                      <w:szCs w:val="18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6"/>
                      <w:szCs w:val="16"/>
                    </w:rPr>
                    <w:t xml:space="preserve">Pôle majeur au renouvellement modéré</w:t>
                  </w:r>
                </w:p>
              </w:tc>
            </w:tr>
          </w:tbl>
          <w:p>
            <w:pPr>
              <w:spacing w:after="0" w:before="0" w:line="3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</w:tr>
    </w:tbl>
    <w:p>
      <w:pPr>
        <w:sectPr>
          <w:footerReference w:type="default" r:id="rId6"/>
          <w:pgSz w:w="16838" w:h="11906" w:orient="landscape"/>
          <w:pgMar w:top="400" w:right="569" w:bottom="340" w:left="569" w:header="708" w:footer="708" w:gutter="0"/>
          <w:pgNumType/>
          <w:docGrid w:linePitch="360"/>
        </w:sectPr>
      </w:pPr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color w:val="3E4C59"/>
          <w:spacing w:val="25"/>
          <w:sz w:val="15"/>
          <w:szCs w:val="15"/>
        </w:rPr>
        <w:t xml:space="preserve">Typologie des territoires BITD  ·  fiche de lecture  ·  page 2</w:t>
      </w:r>
    </w:p>
    <w:p>
      <w:pPr>
        <w:spacing w:after="20" w:before="60" w:line="276"/>
      </w:pPr>
      <w:r>
        <w:rPr>
          <w:rFonts w:ascii="Calibri" w:cs="Calibri" w:eastAsia="Calibri" w:hAnsi="Calibri"/>
          <w:b/>
          <w:bCs/>
          <w:color w:val="1E3A5F"/>
          <w:sz w:val="38"/>
          <w:szCs w:val="38"/>
        </w:rPr>
        <w:t xml:space="preserve">Les sept situations territoriales</w:t>
      </w:r>
    </w:p>
    <w:p>
      <w:pPr>
        <w:spacing w:after="40" w:before="0" w:line="235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Sept profils, sans échelle unique de gravité : chacun décrit une situation de renouvellement différente. Exemples fictifs ; les classes (faible, moyen, fort…) dépendent des seuils en vigueur.</w:t>
      </w:r>
    </w:p>
    <w:p>
      <w:pPr>
        <w:pBdr>
          <w:bottom w:val="single" w:color="D9DEE5" w:sz="6" w:space="1"/>
        </w:pBdr>
        <w:spacing w:after="60" w:before="20"/>
      </w:pPr>
      <w:r>
        <w:rPr>
          <w:rFonts w:ascii="Calibri" w:cs="Calibri" w:eastAsia="Calibri" w:hAnsi="Calibri"/>
          <w:color w:val="1F2933"/>
          <w:sz w:val="2"/>
          <w:szCs w:val="2"/>
        </w:rPr>
        <w:t xml:space="preserve"/>
      </w:r>
    </w:p>
    <w:tbl>
      <w:tblPr>
        <w:tblW w:type="dxa" w:w="15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90"/>
        <w:gridCol w:w="180"/>
        <w:gridCol w:w="3790"/>
        <w:gridCol w:w="180"/>
        <w:gridCol w:w="3790"/>
        <w:gridCol w:w="180"/>
        <w:gridCol w:w="3790"/>
      </w:tblGrid>
      <w:tr>
        <w:trPr>
          <w:cantSplit/>
        </w:trPr>
        <w:tc>
          <w:tcPr>
            <w:tcW w:type="dxa" w:w="3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379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790"/>
            </w:tblGrid>
            <w:tr>
              <w:tc>
                <w:tcPr>
                  <w:tcW w:type="dxa" w:w="37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2182B" w:color="auto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Pôle majeur à renouveler rapidement</w:t>
                  </w:r>
                </w:p>
              </w:tc>
            </w:tr>
          </w:tbl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CE QUE CELA VEUT DIRE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Un grand pôle de la BITD où beaucoup de salariés pourraient partir, et où ces départs représentent une part importante des effectifs actuels.</w:t>
            </w:r>
          </w:p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POURQUOI CE CLASSEMENT ?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Les trois voyants sont au plus haut : poids fort, volume de départs élevé, intensité élevée (règle 6).</w:t>
            </w:r>
          </w:p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EXEMPLE FICTIF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8 % de l’emploi BITD national · 900 départs estimés · 14 % de l’emploi actuel à remplacer.</w:t>
            </w:r>
          </w:p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B2182B"/>
                <w:spacing w:val="15"/>
                <w:sz w:val="14"/>
                <w:szCs w:val="14"/>
              </w:rPr>
              <w:t xml:space="preserve">CE QU’IL FAUT RETENIR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Priorité : anticiper les recrutements et la transmission des savoir-faire sur plusieurs années.</w:t>
            </w:r>
          </w:p>
          <w:p>
            <w:pPr>
              <w:spacing w:after="0" w:before="0" w:line="4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3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379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790"/>
            </w:tblGrid>
            <w:tr>
              <w:tc>
                <w:tcPr>
                  <w:tcW w:type="dxa" w:w="37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8A62" w:color="auto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Renouvellement rapide à surveiller</w:t>
                  </w:r>
                </w:p>
              </w:tc>
            </w:tr>
          </w:tbl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CE QUE CELA VEUT DIRE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Une part importante des salariés pourrait partir d’ici 2030, même si le département n’est pas un très grand pôle ou si le nombre de départs reste limité.</w:t>
            </w:r>
          </w:p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POURQUOI CE CLASSEMENT ?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L’intensité est élevée, mais le poids ou le volume ne sont pas au plus haut (règle 7).</w:t>
            </w:r>
          </w:p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EXEMPLE FICTIF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1,5 % de l’emploi national · 180 départs · 16 % de l’emploi actuel.</w:t>
            </w:r>
          </w:p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B2182B"/>
                <w:spacing w:val="15"/>
                <w:sz w:val="14"/>
                <w:szCs w:val="14"/>
              </w:rPr>
              <w:t xml:space="preserve">CE QU’IL FAUT RETENIR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Un signal de vigilance, pas une pénurie annoncée : vérifier la capacité locale à recruter avant d’en faire une priorité.</w:t>
            </w:r>
          </w:p>
          <w:p>
            <w:pPr>
              <w:spacing w:after="0" w:before="0" w:line="4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3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379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790"/>
            </w:tblGrid>
            <w:tr>
              <w:tc>
                <w:tcPr>
                  <w:tcW w:type="dxa" w:w="37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166AC" w:color="auto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Pôle majeur au renouvellement modéré</w:t>
                  </w:r>
                </w:p>
              </w:tc>
            </w:tr>
          </w:tbl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CE QUE CELA VEUT DIRE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Un grand pôle avec beaucoup de départs en nombre, mais à un rythme ordinaire par rapport à ses effectifs.</w:t>
            </w:r>
          </w:p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POURQUOI CE CLASSEMENT ?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Volume élevé et intensité modérée, ni élevée ni faible (règle 8).</w:t>
            </w:r>
          </w:p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EXEMPLE FICTIF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9 % de l’emploi national · 1 000 départs · 9 % de l’emploi actuel.</w:t>
            </w:r>
          </w:p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B2182B"/>
                <w:spacing w:val="15"/>
                <w:sz w:val="14"/>
                <w:szCs w:val="14"/>
              </w:rPr>
              <w:t xml:space="preserve">CE QU’IL FAUT RETENIR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Lire le nombre : les postes à pourvoir sont nombreux même si le rythme n’a rien d’exceptionnel.</w:t>
            </w:r>
          </w:p>
          <w:p>
            <w:pPr>
              <w:spacing w:after="0" w:before="0" w:line="4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3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379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790"/>
            </w:tblGrid>
            <w:tr>
              <w:tc>
                <w:tcPr>
                  <w:tcW w:type="dxa" w:w="37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C6BB1" w:color="auto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Renouvellement porté par une catégorie</w:t>
                  </w:r>
                </w:p>
              </w:tc>
            </w:tr>
          </w:tbl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CE QUE CELA VEUT DIRE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Les départs attendus concernent surtout une catégorie de salariés.</w:t>
            </w:r>
          </w:p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POURQUOI CE CLASSEMENT ?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Une catégorie porte au moins la moitié des départs, alors que le volume et l’intensité ne sont pas élevés (règle 9, après les profils prioritaires).</w:t>
            </w:r>
          </w:p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EXEMPLE FICTIF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150 départs, dont 65 chez les ouvriers · 8 % de l’emploi actuel.</w:t>
            </w:r>
          </w:p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B2182B"/>
                <w:spacing w:val="15"/>
                <w:sz w:val="14"/>
                <w:szCs w:val="14"/>
              </w:rPr>
              <w:t xml:space="preserve">CE QU’IL FAUT RETENIR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Regarder cette catégorie et sa part à remplacer plutôt que le total du département.</w:t>
            </w:r>
          </w:p>
          <w:p>
            <w:pPr>
              <w:spacing w:after="0" w:before="0" w:line="4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</w:tr>
    </w:tbl>
    <w:p>
      <w:pPr>
        <w:spacing w:after="0" w:before="0" w:line="110" w:lineRule="exact"/>
      </w:pPr>
      <w:r>
        <w:rPr>
          <w:rFonts w:ascii="Calibri" w:cs="Calibri" w:eastAsia="Calibri" w:hAnsi="Calibri"/>
          <w:color w:val="1F2933"/>
          <w:sz w:val="4"/>
          <w:szCs w:val="4"/>
        </w:rPr>
        <w:t xml:space="preserve"/>
      </w:r>
    </w:p>
    <w:tbl>
      <w:tblPr>
        <w:tblW w:type="dxa" w:w="15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90"/>
        <w:gridCol w:w="180"/>
        <w:gridCol w:w="3790"/>
        <w:gridCol w:w="180"/>
        <w:gridCol w:w="3790"/>
        <w:gridCol w:w="180"/>
        <w:gridCol w:w="3790"/>
      </w:tblGrid>
      <w:tr>
        <w:trPr>
          <w:cantSplit/>
        </w:trPr>
        <w:tc>
          <w:tcPr>
            <w:tcW w:type="dxa" w:w="3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379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790"/>
            </w:tblGrid>
            <w:tr>
              <w:tc>
                <w:tcPr>
                  <w:tcW w:type="dxa" w:w="37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4C476" w:color="auto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20"/>
                      <w:szCs w:val="20"/>
                    </w:rPr>
                    <w:t xml:space="preserve">Implantation stable</w:t>
                  </w:r>
                </w:p>
              </w:tc>
            </w:tr>
          </w:tbl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CE QUE CELA VEUT DIRE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Une implantation installée, dont les départs se répartissent entre les catégories à un rythme ordinaire.</w:t>
            </w:r>
          </w:p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POURQUOI CE CLASSEMENT ?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Aucune règle précédente ne s’applique : ni volume élevé, ni intensité élevée, ni départs concentrés (règle 10).</w:t>
            </w:r>
          </w:p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EXEMPLE FICTIF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1 % de l’emploi national · 120 départs · 7 % de l’emploi actuel · première catégorie : 38 % des départs.</w:t>
            </w:r>
          </w:p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B2182B"/>
                <w:spacing w:val="15"/>
                <w:sz w:val="14"/>
                <w:szCs w:val="14"/>
              </w:rPr>
              <w:t xml:space="preserve">CE QU’IL FAUT RETENIR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« Stable » ne veut dire ni zéro départ, ni absence de difficultés de recrutement : suivi ordinaire.</w:t>
            </w:r>
          </w:p>
          <w:p>
            <w:pPr>
              <w:spacing w:after="0" w:before="0" w:line="4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3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379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790"/>
            </w:tblGrid>
            <w:tr>
              <w:tc>
                <w:tcPr>
                  <w:tcW w:type="dxa" w:w="37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FE6EE" w:color="auto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20"/>
                      <w:szCs w:val="20"/>
                    </w:rPr>
                    <w:t xml:space="preserve">Implantation réduite</w:t>
                  </w:r>
                </w:p>
              </w:tc>
            </w:tr>
          </w:tbl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CE QUE CELA VEUT DIRE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La BITD pèse peu dans ce département, ou y repose sur très peu de salariés.</w:t>
            </w:r>
          </w:p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POURQUOI CE CLASSEMENT ?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Le poids est faible : part nationale faible, ou effectif sous le plancher retenu pour l’analyse (règle 3).</w:t>
            </w:r>
          </w:p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EXEMPLE FICTIF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0,3 % de l’emploi national · 60 salariés · 9 départs, soit 15 % de l’emploi actuel.</w:t>
            </w:r>
          </w:p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B2182B"/>
                <w:spacing w:val="15"/>
                <w:sz w:val="14"/>
                <w:szCs w:val="14"/>
              </w:rPr>
              <w:t xml:space="preserve">CE QU’IL FAUT RETENIR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Un taux élevé sur un petit effectif ne se lit pas comme celui d’un grand pôle : il ne crée pas de priorité.</w:t>
            </w:r>
          </w:p>
          <w:p>
            <w:pPr>
              <w:spacing w:after="0" w:before="0" w:line="4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3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379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790"/>
            </w:tblGrid>
            <w:tr>
              <w:tc>
                <w:tcPr>
                  <w:tcW w:type="dxa" w:w="37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C744" w:color="auto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20"/>
                      <w:szCs w:val="20"/>
                    </w:rPr>
                    <w:t xml:space="preserve">Situation à expertiser</w:t>
                  </w:r>
                </w:p>
              </w:tc>
            </w:tr>
          </w:tbl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CE QUE CELA VEUT DIRE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Les règles simples ne permettent pas de conclure : le département est signalé, avec son motif, pour une analyse complémentaire.</w:t>
            </w:r>
          </w:p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POURQUOI CE CLASSEMENT ?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Quatre cas : un indicateur manque · intensité extrême sur une implantation réduite · deux indicateurs tout près d’un seuil · volume élevé mais intensité faible (règles 1, 2, 4, 5).</w:t>
            </w:r>
          </w:p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EXEMPLE FICTIF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30 salariés et 12 départs (40 %) ; ou 1 100 départs mais seulement 3 % de l’emploi actuel.</w:t>
            </w:r>
          </w:p>
          <w:p>
            <w:pPr>
              <w:spacing w:after="15" w:before="50" w:line="240"/>
              <w:ind w:left="130" w:right="130"/>
            </w:pPr>
            <w:r>
              <w:rPr>
                <w:rFonts w:ascii="Calibri" w:cs="Calibri" w:eastAsia="Calibri" w:hAnsi="Calibri"/>
                <w:b/>
                <w:bCs/>
                <w:color w:val="B2182B"/>
                <w:spacing w:val="15"/>
                <w:sz w:val="14"/>
                <w:szCs w:val="14"/>
              </w:rPr>
              <w:t xml:space="preserve">CE QU’IL FAUT RETENIR</w:t>
            </w:r>
          </w:p>
          <w:p>
            <w:pPr>
              <w:spacing w:after="25" w:before="0" w:line="235"/>
              <w:ind w:left="130" w:right="130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Nous préférons signaler une situation à analyser plutôt que lui attribuer artificiellement un profil.</w:t>
            </w:r>
          </w:p>
          <w:p>
            <w:pPr>
              <w:spacing w:after="0" w:before="0" w:line="4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3790"/>
            <w:tcBorders>
              <w:top w:val="single" w:color="D9DEE5" w:sz="6"/>
              <w:left w:val="single" w:color="D9DEE5" w:sz="6"/>
              <w:bottom w:val="single" w:color="D9DEE5" w:sz="6"/>
              <w:right w:val="single" w:color="D9DEE5" w:sz="6"/>
            </w:tcBorders>
            <w:shd w:fill="FFFFF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20" w:before="50" w:line="25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5"/>
                <w:sz w:val="14"/>
                <w:szCs w:val="14"/>
              </w:rPr>
              <w:t xml:space="preserve">À GARDER EN TÊTE</w:t>
            </w:r>
          </w:p>
          <w:p>
            <w:pPr>
              <w:spacing w:after="50" w:before="0" w:line="225"/>
            </w:pPr>
            <w:r>
              <w:rPr>
                <w:rFonts w:ascii="Calibri" w:cs="Calibri" w:eastAsia="Calibri" w:hAnsi="Calibri"/>
                <w:color w:val="3E4C59"/>
                <w:sz w:val="16"/>
                <w:szCs w:val="16"/>
              </w:rPr>
              <w:t xml:space="preserve">–  </w:t>
            </w: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Les estimations sont établies par département, pas par bassin d’emploi.</w:t>
            </w:r>
          </w:p>
          <w:p>
            <w:pPr>
              <w:spacing w:after="50" w:before="0" w:line="225"/>
            </w:pPr>
            <w:r>
              <w:rPr>
                <w:rFonts w:ascii="Calibri" w:cs="Calibri" w:eastAsia="Calibri" w:hAnsi="Calibri"/>
                <w:color w:val="3E4C59"/>
                <w:sz w:val="16"/>
                <w:szCs w:val="16"/>
              </w:rPr>
              <w:t xml:space="preserve">–  </w:t>
            </w: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Les tensions repérées par la DGA ou France Travail (métiers, bassins) sont une information distincte : elles ne déterminent pas ces sept profils.</w:t>
            </w:r>
          </w:p>
          <w:p>
            <w:pPr>
              <w:spacing w:after="50" w:before="0" w:line="225"/>
            </w:pPr>
            <w:r>
              <w:rPr>
                <w:rFonts w:ascii="Calibri" w:cs="Calibri" w:eastAsia="Calibri" w:hAnsi="Calibri"/>
                <w:color w:val="3E4C59"/>
                <w:sz w:val="16"/>
                <w:szCs w:val="16"/>
              </w:rPr>
              <w:t xml:space="preserve">–  </w:t>
            </w: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Des départs estimés ne sont ni des postes ouverts, ni une pénurie de main-d’œuvre.</w:t>
            </w:r>
          </w:p>
          <w:p>
            <w:pPr>
              <w:spacing w:after="50" w:before="0" w:line="225"/>
            </w:pPr>
            <w:r>
              <w:rPr>
                <w:rFonts w:ascii="Calibri" w:cs="Calibri" w:eastAsia="Calibri" w:hAnsi="Calibri"/>
                <w:color w:val="3E4C59"/>
                <w:sz w:val="16"/>
                <w:szCs w:val="16"/>
              </w:rPr>
              <w:t xml:space="preserve">–  </w:t>
            </w: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Faible, moyen, fort dépendent des seuils utilisés. Aujourd’hui, les bornes sont des terciles observés : une règle de classement statistique provisoire, pas des seuils de politique publique.</w:t>
            </w:r>
          </w:p>
          <w:p>
            <w:pPr>
              <w:spacing w:after="50" w:before="0" w:line="225"/>
            </w:pPr>
            <w:r>
              <w:rPr>
                <w:rFonts w:ascii="Calibri" w:cs="Calibri" w:eastAsia="Calibri" w:hAnsi="Calibri"/>
                <w:color w:val="3E4C59"/>
                <w:sz w:val="16"/>
                <w:szCs w:val="16"/>
              </w:rPr>
              <w:t xml:space="preserve">–  </w:t>
            </w: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Le secret statistique est respecté : tous les chiffres de cette fiche sont fictifs.</w:t>
            </w:r>
          </w:p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</w:tr>
    </w:tbl>
    <w:sectPr>
      <w:footerReference w:type="default" r:id="rId7"/>
      <w:pgSz w:w="16838" w:h="11906" w:orient="landscape"/>
      <w:pgMar w:top="400" w:right="569" w:bottom="340" w:left="569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3E4C59"/>
        <w:sz w:val="14"/>
        <w:szCs w:val="14"/>
      </w:rPr>
      <w:t xml:space="preserve">Estimation des départs à l’horizon 2030 · chiffres fictifs · secret statistique respecté  ·  page </w:t>
    </w:r>
    <w:r>
      <w:rPr>
        <w:rFonts w:ascii="Calibri" w:cs="Calibri" w:eastAsia="Calibri" w:hAnsi="Calibri"/>
        <w:color w:val="3E4C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E4C59"/>
        <w:sz w:val="14"/>
        <w:szCs w:val="14"/>
      </w:rPr>
      <w:t xml:space="preserve"> / </w:t>
    </w:r>
    <w:r>
      <w:rPr>
        <w:rFonts w:ascii="Calibri" w:cs="Calibri" w:eastAsia="Calibri" w:hAnsi="Calibri"/>
        <w:color w:val="3E4C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3E4C59"/>
        <w:sz w:val="14"/>
        <w:szCs w:val="14"/>
      </w:rPr>
      <w:t xml:space="preserve">Estimation des départs à l’horizon 2030 · chiffres fictifs · secret statistique respecté  ·  page </w:t>
    </w:r>
    <w:r>
      <w:rPr>
        <w:rFonts w:ascii="Calibri" w:cs="Calibri" w:eastAsia="Calibri" w:hAnsi="Calibri"/>
        <w:color w:val="3E4C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E4C59"/>
        <w:sz w:val="14"/>
        <w:szCs w:val="14"/>
      </w:rPr>
      <w:t xml:space="preserve"> / </w:t>
    </w:r>
    <w:r>
      <w:rPr>
        <w:rFonts w:ascii="Calibri" w:cs="Calibri" w:eastAsia="Calibri" w:hAnsi="Calibri"/>
        <w:color w:val="3E4C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82dfb999ae2826cc8f581a67b4a423ff60b4fe05.png"/><Relationship Id="rId10" Type="http://schemas.openxmlformats.org/officeDocument/2006/relationships/image" Target="media/107023f3ec798104f15630749d312f9cdbb6de2b.png"/><Relationship Id="rId11" Type="http://schemas.openxmlformats.org/officeDocument/2006/relationships/image" Target="media/f77950d51ec03cb9568232153acdc0ab67cc5949.png"/><Relationship Id="rId12" Type="http://schemas.openxmlformats.org/officeDocument/2006/relationships/image" Target="media/ecb35002d507edcf7ef422b8c4ffe197ffbe0774.png"/><Relationship Id="rId13" Type="http://schemas.openxmlformats.org/officeDocument/2006/relationships/image" Target="media/184da4d60564455f86160a73c31bef36a5fb7742.png"/><Relationship Id="rId14" Type="http://schemas.openxmlformats.org/officeDocument/2006/relationships/image" Target="media/fba990b7e5768c6ac1d2cf3266714b2aac3bff7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Typologie des territoires BITD — fiche de lecture</dc:title>
  <dc:creator>Estimation des départs BITD</dc:creator>
  <cp:lastModifiedBy>Un-named</cp:lastModifiedBy>
  <cp:revision>1</cp:revision>
  <dcterms:created xsi:type="dcterms:W3CDTF">2026-10-08T05:25:41.553Z</dcterms:created>
  <dcterms:modified xsi:type="dcterms:W3CDTF">2026-10-08T05:25:41.554Z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