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40"/>
      </w:pPr>
      <w:r>
        <w:rPr>
          <w:rFonts w:ascii="Calibri" w:cs="Calibri" w:eastAsia="Calibri" w:hAnsi="Calibri"/>
          <w:b/>
          <w:bCs/>
          <w:color w:val="3E4C59"/>
          <w:spacing w:val="25"/>
          <w:sz w:val="17"/>
          <w:szCs w:val="17"/>
        </w:rPr>
        <w:t xml:space="preserve">Typologie des territoires BITD  ·  fiche de lecture  ·  1 / 4</w:t>
      </w:r>
    </w:p>
    <w:p>
      <w:pPr>
        <w:spacing w:after="40" w:before="0" w:line="300"/>
      </w:pPr>
      <w:r>
        <w:rPr>
          <w:rFonts w:ascii="Calibri" w:cs="Calibri" w:eastAsia="Calibri" w:hAnsi="Calibri"/>
          <w:b/>
          <w:bCs/>
          <w:color w:val="1E3A5F"/>
          <w:sz w:val="46"/>
          <w:szCs w:val="46"/>
        </w:rPr>
        <w:t xml:space="preserve">Comment lit-on un territoire ?</w:t>
      </w:r>
    </w:p>
    <w:p>
      <w:pPr>
        <w:spacing w:after="60" w:before="0" w:line="255"/>
      </w:pPr>
      <w:r>
        <w:rPr>
          <w:rFonts w:ascii="Calibri" w:cs="Calibri" w:eastAsia="Calibri" w:hAnsi="Calibri"/>
          <w:color w:val="1F2933"/>
          <w:sz w:val="24"/>
          <w:szCs w:val="24"/>
        </w:rPr>
        <w:t xml:space="preserve">La typologie ne cherche pas seulement où les départs seront nombreux. Elle distingue des situations de renouvellement différentes, à partir de cinq indicateurs lisibles et de règles explicites. Tous les chiffres ci-dessous sont fictifs.</w:t>
      </w:r>
    </w:p>
    <w:p>
      <w:pPr>
        <w:pBdr>
          <w:bottom w:val="single" w:color="D9DEE5" w:sz="6" w:space="1"/>
        </w:pBdr>
        <w:spacing w:after="60" w:before="20"/>
      </w:pPr>
      <w:r>
        <w:rPr>
          <w:rFonts w:ascii="Calibri" w:cs="Calibri" w:eastAsia="Calibri" w:hAnsi="Calibri"/>
          <w:color w:val="1F2933"/>
          <w:sz w:val="2"/>
          <w:szCs w:val="2"/>
        </w:rPr>
        <w:t xml:space="preserve"/>
      </w:r>
    </w:p>
    <w:p>
      <w:pPr>
        <w:spacing w:after="50" w:before="60" w:line="250"/>
      </w:pPr>
      <w:r>
        <w:rPr>
          <w:rFonts w:ascii="Calibri" w:cs="Calibri" w:eastAsia="Calibri" w:hAnsi="Calibri"/>
          <w:b/>
          <w:bCs/>
          <w:color w:val="1E3A5F"/>
          <w:spacing w:val="16"/>
          <w:sz w:val="17"/>
          <w:szCs w:val="17"/>
        </w:rPr>
        <w:t xml:space="preserve">LES CINQ INGRÉDIENTS DU CLASSEMENT</w:t>
      </w:r>
    </w:p>
    <w:tbl>
      <w:tblPr>
        <w:tblW w:type="dxa" w:w="154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26"/>
        <w:gridCol w:w="200"/>
        <w:gridCol w:w="5026"/>
        <w:gridCol w:w="200"/>
        <w:gridCol w:w="5026"/>
      </w:tblGrid>
      <w:tr>
        <w:trPr>
          <w:cantSplit/>
        </w:trPr>
        <w:tc>
          <w:tcPr>
            <w:tcW w:type="dxa" w:w="5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40" w:before="0" w:line="250"/>
            </w:pPr>
            <w:r>
              <w:rPr>
                <w:rFonts w:ascii="Calibri" w:cs="Calibri" w:eastAsia="Calibri" w:hAnsi="Calibri"/>
                <w:b/>
                <w:bCs/>
                <w:color w:val="B2182B"/>
                <w:sz w:val="26"/>
                <w:szCs w:val="26"/>
              </w:rPr>
              <w:t xml:space="preserve">1   </w:t>
            </w: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21"/>
                <w:szCs w:val="21"/>
              </w:rPr>
              <w:t xml:space="preserve">LE POIDS</w:t>
            </w:r>
          </w:p>
          <w:p>
            <w:pPr>
              <w:spacing w:after="60" w:before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Quelle place occupe ce département dans l’emploi BITD national ?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2857500" cy="1238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Sur 100 salariés de la BITD en France, combien travaillent ici ? Ici, 8 sur 100. Classé faible, moyen ou fort. Un très petit effectif est toujours classé « faible ».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5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40" w:before="0" w:line="250"/>
            </w:pPr>
            <w:r>
              <w:rPr>
                <w:rFonts w:ascii="Calibri" w:cs="Calibri" w:eastAsia="Calibri" w:hAnsi="Calibri"/>
                <w:b/>
                <w:bCs/>
                <w:color w:val="B2182B"/>
                <w:sz w:val="26"/>
                <w:szCs w:val="26"/>
              </w:rPr>
              <w:t xml:space="preserve">2   </w:t>
            </w: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21"/>
                <w:szCs w:val="21"/>
              </w:rPr>
              <w:t xml:space="preserve">LE VOLUME</w:t>
            </w:r>
          </w:p>
          <w:p>
            <w:pPr>
              <w:spacing w:after="60" w:before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Combien de salariés pourraient partir d’ici 2030 ?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2857500" cy="12382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Un nombre de départs estimés, ici 900. Il dépend surtout de la taille du département. Classé faible, modéré ou élevé.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5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40" w:before="0" w:line="250"/>
            </w:pPr>
            <w:r>
              <w:rPr>
                <w:rFonts w:ascii="Calibri" w:cs="Calibri" w:eastAsia="Calibri" w:hAnsi="Calibri"/>
                <w:b/>
                <w:bCs/>
                <w:color w:val="B2182B"/>
                <w:sz w:val="26"/>
                <w:szCs w:val="26"/>
              </w:rPr>
              <w:t xml:space="preserve">3   </w:t>
            </w: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21"/>
                <w:szCs w:val="21"/>
              </w:rPr>
              <w:t xml:space="preserve">L’INTENSITÉ</w:t>
            </w:r>
          </w:p>
          <w:p>
            <w:pPr>
              <w:spacing w:after="60" w:before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Sur 100 salariés en poste, combien correspondent aux départs estimés ?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2857500" cy="12382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Ici, 12 sur 100 : la part de l’emploi actuel à remplacer. Ce n’est pas un taux de recrutement observé. Classée faible, modérée ou élevée.</w:t>
            </w:r>
          </w:p>
        </w:tc>
      </w:tr>
    </w:tbl>
    <w:p>
      <w:pPr>
        <w:spacing w:after="0" w:before="0" w:line="160" w:lineRule="exact"/>
      </w:pPr>
      <w:r>
        <w:rPr>
          <w:rFonts w:ascii="Calibri" w:cs="Calibri" w:eastAsia="Calibri" w:hAnsi="Calibri"/>
          <w:color w:val="1F2933"/>
          <w:sz w:val="4"/>
          <w:szCs w:val="4"/>
        </w:rPr>
        <w:t xml:space="preserve"/>
      </w:r>
    </w:p>
    <w:tbl>
      <w:tblPr>
        <w:tblW w:type="dxa" w:w="154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39"/>
        <w:gridCol w:w="200"/>
        <w:gridCol w:w="7639"/>
      </w:tblGrid>
      <w:tr>
        <w:trPr>
          <w:cantSplit/>
        </w:trPr>
        <w:tc>
          <w:tcPr>
            <w:tcW w:type="dxa" w:w="76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40" w:before="0" w:line="250"/>
            </w:pPr>
            <w:r>
              <w:rPr>
                <w:rFonts w:ascii="Calibri" w:cs="Calibri" w:eastAsia="Calibri" w:hAnsi="Calibri"/>
                <w:b/>
                <w:bCs/>
                <w:color w:val="B2182B"/>
                <w:sz w:val="26"/>
                <w:szCs w:val="26"/>
              </w:rPr>
              <w:t xml:space="preserve">4   </w:t>
            </w: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21"/>
                <w:szCs w:val="21"/>
              </w:rPr>
              <w:t xml:space="preserve">LA STRUCTURE DE L’EMPLOI</w:t>
            </w:r>
          </w:p>
          <w:p>
            <w:pPr>
              <w:spacing w:after="60" w:before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Quels salariés sont les plus représentés aujourd’hui ?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3143250" cy="136207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Une catégorie est « dominante » si elle atteint une part suffisante de l’emploi, sinon la structure est « mixte ». Ici, les ouvriers : 55 % de l’emploi. La structure décrit le département ; elle n’entre pas dans le choix du profil.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76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40" w:before="0" w:line="250"/>
            </w:pPr>
            <w:r>
              <w:rPr>
                <w:rFonts w:ascii="Calibri" w:cs="Calibri" w:eastAsia="Calibri" w:hAnsi="Calibri"/>
                <w:b/>
                <w:bCs/>
                <w:color w:val="B2182B"/>
                <w:sz w:val="26"/>
                <w:szCs w:val="26"/>
              </w:rPr>
              <w:t xml:space="preserve">5   </w:t>
            </w: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21"/>
                <w:szCs w:val="21"/>
              </w:rPr>
              <w:t xml:space="preserve">LA CONCENTRATION DES DÉPARTS</w:t>
            </w:r>
          </w:p>
          <w:p>
            <w:pPr>
              <w:spacing w:after="60" w:before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Les départs concernent-ils surtout une catégorie de salariés ?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3143250" cy="136207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Ici, 70 départs sur 100 concernent les ouvriers. À ne pas confondre avec la structure : une catégorie peut dominer l’emploi sans dominer les départs. La concentration peut décider du profil.</w:t>
            </w:r>
          </w:p>
        </w:tc>
      </w:tr>
    </w:tbl>
    <w:p>
      <w:pPr>
        <w:sectPr>
          <w:footerReference w:type="default" r:id="rId6"/>
          <w:pgSz w:w="16838" w:h="11906" w:orient="landscape"/>
          <w:pgMar w:top="480" w:right="680" w:bottom="400" w:left="680" w:header="708" w:footer="708" w:gutter="0"/>
          <w:pgNumType/>
          <w:docGrid w:linePitch="360"/>
        </w:sectPr>
      </w:pPr>
    </w:p>
    <w:p>
      <w:pPr>
        <w:spacing w:after="60" w:before="0" w:line="240"/>
      </w:pPr>
      <w:r>
        <w:rPr>
          <w:rFonts w:ascii="Calibri" w:cs="Calibri" w:eastAsia="Calibri" w:hAnsi="Calibri"/>
          <w:b/>
          <w:bCs/>
          <w:color w:val="3E4C59"/>
          <w:spacing w:val="25"/>
          <w:sz w:val="17"/>
          <w:szCs w:val="17"/>
        </w:rPr>
        <w:t xml:space="preserve">Typologie des territoires BITD  ·  fiche de lecture  ·  2 / 4</w:t>
      </w:r>
    </w:p>
    <w:p>
      <w:pPr>
        <w:spacing w:after="40" w:before="0" w:line="300"/>
      </w:pPr>
      <w:r>
        <w:rPr>
          <w:rFonts w:ascii="Calibri" w:cs="Calibri" w:eastAsia="Calibri" w:hAnsi="Calibri"/>
          <w:b/>
          <w:bCs/>
          <w:color w:val="1E3A5F"/>
          <w:sz w:val="46"/>
          <w:szCs w:val="46"/>
        </w:rPr>
        <w:t xml:space="preserve">Pourquoi un profil plutôt qu’un autre ?</w:t>
      </w:r>
    </w:p>
    <w:p>
      <w:pPr>
        <w:spacing w:after="60" w:before="0" w:line="255"/>
      </w:pPr>
      <w:r>
        <w:rPr>
          <w:rFonts w:ascii="Calibri" w:cs="Calibri" w:eastAsia="Calibri" w:hAnsi="Calibri"/>
          <w:color w:val="1F2933"/>
          <w:sz w:val="24"/>
          <w:szCs w:val="24"/>
        </w:rPr>
        <w:t xml:space="preserve">Deux départements peuvent compter des volumes de départs très différents et rencontrer des enjeux de renouvellement inverses. Le profil est ensuite attribué par des règles ordonnées, jamais par un score.</w:t>
      </w:r>
    </w:p>
    <w:p>
      <w:pPr>
        <w:pBdr>
          <w:bottom w:val="single" w:color="D9DEE5" w:sz="6" w:space="1"/>
        </w:pBdr>
        <w:spacing w:after="60" w:before="20"/>
      </w:pPr>
      <w:r>
        <w:rPr>
          <w:rFonts w:ascii="Calibri" w:cs="Calibri" w:eastAsia="Calibri" w:hAnsi="Calibri"/>
          <w:color w:val="1F2933"/>
          <w:sz w:val="2"/>
          <w:szCs w:val="2"/>
        </w:rPr>
        <w:t xml:space="preserve"/>
      </w:r>
    </w:p>
    <w:tbl>
      <w:tblPr>
        <w:tblW w:type="dxa" w:w="154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0"/>
        <w:gridCol w:w="200"/>
        <w:gridCol w:w="7478"/>
      </w:tblGrid>
      <w:tr>
        <w:trPr>
          <w:cantSplit/>
        </w:trPr>
        <w:tc>
          <w:tcPr>
            <w:tcW w:type="dxa" w:w="7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50" w:before="60" w:line="25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6"/>
                <w:sz w:val="17"/>
                <w:szCs w:val="17"/>
              </w:rPr>
              <w:t xml:space="preserve">VOLUME ET INTENSITÉ : DEUX DÉPARTEMENTS, DEUX LECTURES</w:t>
            </w:r>
          </w:p>
          <w:p>
            <w:pPr>
              <w:spacing w:after="80" w:before="0" w:line="26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23"/>
                <w:szCs w:val="23"/>
              </w:rPr>
              <w:t xml:space="preserve">Le département A compte deux fois plus de départs. Pourtant, le département B est proportionnellement cinq fois plus concerné.</w:t>
            </w:r>
          </w:p>
          <w:p>
            <w:pPr>
              <w:spacing w:after="40" w:before="40"/>
            </w:pPr>
            <w:r>
              <w:drawing>
                <wp:inline distT="0" distB="0" distL="0" distR="0">
                  <wp:extent cx="5143500" cy="212407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40"/>
            </w:pPr>
            <w:r>
              <w:rPr>
                <w:rFonts w:ascii="Calibri" w:cs="Calibri" w:eastAsia="Calibri" w:hAnsi="Calibri"/>
                <w:color w:val="1F2933"/>
                <w:sz w:val="21"/>
                <w:szCs w:val="21"/>
              </w:rPr>
              <w:t xml:space="preserve">Volume : combien de départs ? Intensité : quelle part de l’emploi actuel représentent-ils ?</w:t>
            </w:r>
          </w:p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3E4C59"/>
                <w:sz w:val="19"/>
                <w:szCs w:val="19"/>
              </w:rPr>
              <w:t xml:space="preserve">Exemples entièrement fictifs. Ces taux illustrent une ampleur de renouvellement, pas une pénurie démontrée.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74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50" w:before="60" w:line="25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6"/>
                <w:sz w:val="17"/>
                <w:szCs w:val="17"/>
              </w:rPr>
              <w:t xml:space="preserve">DES INDICATEURS AU PROFIL : LA PREMIÈRE RÈGLE QUI S’APPLIQUE L’EMPORTE</w:t>
            </w:r>
          </w:p>
          <w:p>
            <w:pPr>
              <w:spacing w:after="60" w:before="0" w:line="240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Les règles sont examinées dans l’ordre : situations à expertiser et petites implantations d’abord, puis le premier profil dont la condition est remplie. Aucun score, aucune addition d’indicateurs.</w:t>
            </w:r>
          </w:p>
          <w:tbl>
            <w:tblPr>
              <w:tblW w:type="dxa" w:w="71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3379"/>
              <w:gridCol w:w="3379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color w:val="1F2933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60"/>
                    <w:bottom w:type="dxa" w:w="10"/>
                    <w:right w:type="dxa" w:w="6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pacing w:val="14"/>
                      <w:sz w:val="16"/>
                      <w:szCs w:val="16"/>
                    </w:rPr>
                    <w:t xml:space="preserve">SI…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60"/>
                    <w:bottom w:type="dxa" w:w="10"/>
                    <w:right w:type="dxa" w:w="6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pacing w:val="14"/>
                      <w:sz w:val="16"/>
                      <w:szCs w:val="16"/>
                    </w:rPr>
                    <w:t xml:space="preserve">ALORS LE PROFIL EST…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un indicateur de classement manque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F2C744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Situation à expertiser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poids faible et intensité extrême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F2C744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Situation à expertiser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poids faible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B8C4D2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Implantation réduite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deux indicateurs tout près d’un seuil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F2C744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Situation à expertiser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5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volume élevé mais intensité faible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F2C744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Situation à expertiser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6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poids fort, volume élevé, intensité élevée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B2182B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Pôle majeur à renouveler rapidement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intensité élevée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EF8A62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Renouvellement rapide à surveiller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volume élevé (intensité modérée)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2166AC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Pôle majeur au renouvellement modéré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une catégorie porte la moitié des départs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8C6BB1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Renouvellement porté par une catégorie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40"/>
                    <w:bottom w:type="dxa" w:w="12"/>
                    <w:right w:type="dxa" w:w="40"/>
                  </w:tcMar>
                  <w:vAlign w:val="top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19"/>
                      <w:szCs w:val="19"/>
                    </w:rPr>
                    <w:t xml:space="preserve">10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1F2933"/>
                      <w:sz w:val="19"/>
                      <w:szCs w:val="19"/>
                    </w:rPr>
                    <w:t xml:space="preserve">aucune des règles précédentes</w:t>
                  </w:r>
                </w:p>
              </w:tc>
              <w:tc>
                <w:tcPr>
                  <w:tcW w:type="dxa" w:w="337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"/>
                    <w:left w:type="dxa" w:w="60"/>
                    <w:bottom w:type="dxa" w:w="12"/>
                    <w:right w:type="dxa" w:w="60"/>
                  </w:tcMar>
                  <w:vAlign w:val="top"/>
                </w:tcPr>
                <w:p>
                  <w:pPr>
                    <w:spacing w:after="0" w:before="0" w:line="230"/>
                  </w:pPr>
                  <w:r>
                    <w:rPr>
                      <w:rFonts w:ascii="Calibri" w:cs="Calibri" w:eastAsia="Calibri" w:hAnsi="Calibri"/>
                      <w:color w:val="74C476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8"/>
                      <w:szCs w:val="18"/>
                    </w:rPr>
                    <w:t xml:space="preserve">Implantation stable</w:t>
                  </w:r>
                </w:p>
              </w:tc>
            </w:tr>
          </w:tbl>
          <w:p>
            <w:pPr>
              <w:spacing w:after="50" w:before="60" w:line="25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6"/>
                <w:sz w:val="17"/>
                <w:szCs w:val="17"/>
              </w:rPr>
              <w:t xml:space="preserve">UN SEUL INDICATEUR CHANGE LA LECTURE</w:t>
            </w:r>
          </w:p>
          <w:p>
            <w:pPr>
              <w:spacing w:after="60" w:before="0" w:line="240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Mêmes poids et volume : une intensité modérée au lieu d’élevée change le profil.</w:t>
            </w:r>
          </w:p>
          <w:tbl>
            <w:tblPr>
              <w:tblW w:type="dxa" w:w="71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40"/>
              <w:gridCol w:w="1250"/>
              <w:gridCol w:w="80"/>
              <w:gridCol w:w="1350"/>
              <w:gridCol w:w="80"/>
              <w:gridCol w:w="1520"/>
              <w:gridCol w:w="360"/>
              <w:gridCol w:w="1858"/>
            </w:tblGrid>
            <w:tr>
              <w:trPr>
                <w:cantSplit/>
              </w:trPr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pacing w:val="14"/>
                      <w:sz w:val="16"/>
                      <w:szCs w:val="16"/>
                    </w:rPr>
                    <w:t xml:space="preserve">AVANT</w:t>
                  </w:r>
                </w:p>
              </w:tc>
              <w:tc>
                <w:tcPr>
                  <w:tcW w:type="dxa" w:w="1250"/>
                  <w:tcBorders>
                    <w:top w:val="single" w:color="D9DEE5" w:sz="4"/>
                    <w:left w:val="single" w:color="D9DEE5" w:sz="4"/>
                    <w:bottom w:val="single" w:color="D9DEE5" w:sz="4"/>
                    <w:right w:val="single" w:color="D9DEE5" w:sz="4"/>
                  </w:tcBorders>
                  <w:shd w:fill="FFFFFF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9"/>
                      <w:szCs w:val="19"/>
                    </w:rPr>
                    <w:t xml:space="preserve">Poids fort</w:t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350"/>
                  <w:tcBorders>
                    <w:top w:val="single" w:color="D9DEE5" w:sz="4"/>
                    <w:left w:val="single" w:color="D9DEE5" w:sz="4"/>
                    <w:bottom w:val="single" w:color="D9DEE5" w:sz="4"/>
                    <w:right w:val="single" w:color="D9DEE5" w:sz="4"/>
                  </w:tcBorders>
                  <w:shd w:fill="FFFFFF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9"/>
                      <w:szCs w:val="19"/>
                    </w:rPr>
                    <w:t xml:space="preserve">Volume élevé</w:t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520"/>
                  <w:tcBorders>
                    <w:top w:val="single" w:color="D9DEE5" w:sz="4"/>
                    <w:left w:val="single" w:color="D9DEE5" w:sz="4"/>
                    <w:bottom w:val="single" w:color="D9DEE5" w:sz="4"/>
                    <w:right w:val="single" w:color="D9DEE5" w:sz="4"/>
                  </w:tcBorders>
                  <w:shd w:fill="FFFFFF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9"/>
                      <w:szCs w:val="19"/>
                    </w:rPr>
                    <w:t xml:space="preserve">Intensité élevée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30"/>
                      <w:szCs w:val="30"/>
                    </w:rPr>
                    <w:t xml:space="preserve">→</w:t>
                  </w:r>
                </w:p>
              </w:tc>
              <w:tc>
                <w:tcPr>
                  <w:tcW w:type="dxa" w:w="18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35"/>
                  </w:pPr>
                  <w:r>
                    <w:rPr>
                      <w:rFonts w:ascii="Calibri" w:cs="Calibri" w:eastAsia="Calibri" w:hAnsi="Calibri"/>
                      <w:color w:val="B2182B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20"/>
                      <w:szCs w:val="20"/>
                    </w:rPr>
                    <w:t xml:space="preserve">Pôle majeur à renouveler rapidement</w:t>
                  </w:r>
                </w:p>
              </w:tc>
            </w:tr>
            <w:tr>
              <w:trPr>
                <w:trHeight w:val="50" w:hRule="exact"/>
              </w:trPr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8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20"/>
                    <w:bottom w:type="dxa" w:w="30"/>
                    <w:right w:type="dxa" w:w="2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pacing w:val="14"/>
                      <w:sz w:val="16"/>
                      <w:szCs w:val="16"/>
                    </w:rPr>
                    <w:t xml:space="preserve">APRÈS</w:t>
                  </w:r>
                </w:p>
              </w:tc>
              <w:tc>
                <w:tcPr>
                  <w:tcW w:type="dxa" w:w="1250"/>
                  <w:tcBorders>
                    <w:top w:val="single" w:color="D9DEE5" w:sz="4"/>
                    <w:left w:val="single" w:color="D9DEE5" w:sz="4"/>
                    <w:bottom w:val="single" w:color="D9DEE5" w:sz="4"/>
                    <w:right w:val="single" w:color="D9DEE5" w:sz="4"/>
                  </w:tcBorders>
                  <w:shd w:fill="FFFFFF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9"/>
                      <w:szCs w:val="19"/>
                    </w:rPr>
                    <w:t xml:space="preserve">Poids fort</w:t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350"/>
                  <w:tcBorders>
                    <w:top w:val="single" w:color="D9DEE5" w:sz="4"/>
                    <w:left w:val="single" w:color="D9DEE5" w:sz="4"/>
                    <w:bottom w:val="single" w:color="D9DEE5" w:sz="4"/>
                    <w:right w:val="single" w:color="D9DEE5" w:sz="4"/>
                  </w:tcBorders>
                  <w:shd w:fill="FFFFFF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19"/>
                      <w:szCs w:val="19"/>
                    </w:rPr>
                    <w:t xml:space="preserve">Volume élevé</w:t>
                  </w:r>
                </w:p>
              </w:tc>
              <w:tc>
                <w:tcPr>
                  <w:tcW w:type="dxa" w:w="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0" w:lineRule="exact"/>
                  </w:pPr>
                  <w:r>
                    <w:rPr>
                      <w:rFonts w:ascii="Calibri" w:cs="Calibri" w:eastAsia="Calibri" w:hAnsi="Calibri"/>
                      <w:color w:val="1F2933"/>
                      <w:sz w:val="4"/>
                      <w:szCs w:val="4"/>
                    </w:rPr>
                    <w:t xml:space="preserve"/>
                  </w:r>
                </w:p>
              </w:tc>
              <w:tc>
                <w:tcPr>
                  <w:tcW w:type="dxa" w:w="15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2182B" w:color="auto" w:val="clear"/>
                  <w:tcMar>
                    <w:top w:type="dxa" w:w="30"/>
                    <w:left w:type="dxa" w:w="40"/>
                    <w:bottom w:type="dxa" w:w="30"/>
                    <w:right w:type="dxa" w:w="40"/>
                  </w:tcMar>
                  <w:vAlign w:val="center"/>
                </w:tcPr>
                <w:p>
                  <w:pPr>
                    <w:spacing w:after="0" w:before="0" w:line="23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Intensité modérée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 w:line="25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E4C59"/>
                      <w:sz w:val="30"/>
                      <w:szCs w:val="30"/>
                    </w:rPr>
                    <w:t xml:space="preserve">→</w:t>
                  </w:r>
                </w:p>
              </w:tc>
              <w:tc>
                <w:tcPr>
                  <w:tcW w:type="dxa" w:w="185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spacing w:after="0" w:before="0" w:line="235"/>
                  </w:pPr>
                  <w:r>
                    <w:rPr>
                      <w:rFonts w:ascii="Calibri" w:cs="Calibri" w:eastAsia="Calibri" w:hAnsi="Calibri"/>
                      <w:color w:val="2166AC"/>
                      <w:sz w:val="22"/>
                      <w:szCs w:val="22"/>
                    </w:rPr>
                    <w:t xml:space="preserve">■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20"/>
                      <w:szCs w:val="20"/>
                    </w:rPr>
                    <w:t xml:space="preserve">Pôle majeur au renouvellement modéré</w:t>
                  </w:r>
                </w:p>
              </w:tc>
            </w:tr>
          </w:tbl>
          <w:p/>
        </w:tc>
      </w:tr>
    </w:tbl>
    <w:p>
      <w:pPr>
        <w:sectPr>
          <w:footerReference w:type="default" r:id="rId7"/>
          <w:pgSz w:w="16838" w:h="11906" w:orient="landscape"/>
          <w:pgMar w:top="480" w:right="680" w:bottom="400" w:left="680" w:header="708" w:footer="708" w:gutter="0"/>
          <w:pgNumType/>
          <w:docGrid w:linePitch="360"/>
        </w:sectPr>
      </w:pPr>
    </w:p>
    <w:p>
      <w:pPr>
        <w:spacing w:after="60" w:before="0" w:line="240"/>
      </w:pPr>
      <w:r>
        <w:rPr>
          <w:rFonts w:ascii="Calibri" w:cs="Calibri" w:eastAsia="Calibri" w:hAnsi="Calibri"/>
          <w:b/>
          <w:bCs/>
          <w:color w:val="3E4C59"/>
          <w:spacing w:val="25"/>
          <w:sz w:val="17"/>
          <w:szCs w:val="17"/>
        </w:rPr>
        <w:t xml:space="preserve">Typologie des territoires BITD  ·  fiche de lecture  ·  3 / 4</w:t>
      </w:r>
    </w:p>
    <w:p>
      <w:pPr>
        <w:spacing w:after="40" w:before="0" w:line="300"/>
      </w:pPr>
      <w:r>
        <w:rPr>
          <w:rFonts w:ascii="Calibri" w:cs="Calibri" w:eastAsia="Calibri" w:hAnsi="Calibri"/>
          <w:b/>
          <w:bCs/>
          <w:color w:val="1E3A5F"/>
          <w:sz w:val="46"/>
          <w:szCs w:val="46"/>
        </w:rPr>
        <w:t xml:space="preserve">Les sept situations territoriales (1 à 4)</w:t>
      </w:r>
    </w:p>
    <w:p>
      <w:pPr>
        <w:spacing w:after="60" w:before="0" w:line="255"/>
      </w:pPr>
      <w:r>
        <w:rPr>
          <w:rFonts w:ascii="Calibri" w:cs="Calibri" w:eastAsia="Calibri" w:hAnsi="Calibri"/>
          <w:color w:val="1F2933"/>
          <w:sz w:val="24"/>
          <w:szCs w:val="24"/>
        </w:rPr>
        <w:t xml:space="preserve">Sept profils, sans échelle unique de gravité : chacun décrit une situation de renouvellement différente. Exemples fictifs ; les classes (faible, moyen, fort…) dépendent des seuils en vigueur.</w:t>
      </w:r>
    </w:p>
    <w:p>
      <w:pPr>
        <w:pBdr>
          <w:bottom w:val="single" w:color="D9DEE5" w:sz="6" w:space="1"/>
        </w:pBdr>
        <w:spacing w:after="60" w:before="20"/>
      </w:pPr>
      <w:r>
        <w:rPr>
          <w:rFonts w:ascii="Calibri" w:cs="Calibri" w:eastAsia="Calibri" w:hAnsi="Calibri"/>
          <w:color w:val="1F2933"/>
          <w:sz w:val="2"/>
          <w:szCs w:val="2"/>
        </w:rPr>
        <w:t xml:space="preserve"/>
      </w:r>
    </w:p>
    <w:tbl>
      <w:tblPr>
        <w:tblW w:type="dxa" w:w="154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34"/>
        <w:gridCol w:w="180"/>
        <w:gridCol w:w="3734"/>
        <w:gridCol w:w="180"/>
        <w:gridCol w:w="3734"/>
        <w:gridCol w:w="180"/>
        <w:gridCol w:w="3734"/>
      </w:tblGrid>
      <w:tr>
        <w:trPr>
          <w:cantSplit/>
        </w:trPr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2182B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8"/>
                      <w:szCs w:val="28"/>
                    </w:rPr>
                    <w:t xml:space="preserve">Pôle majeur à renouveler rapidement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 grand pôle de la BITD où beaucoup de salariés pourraient partir, et où ces départs représentent une part importante des effectifs actuels.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Les trois voyants sont au plus haut : poids fort, volume de départs élevé, intensité élevée (règle 6).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8 % de l’emploi BITD national · 900 départs estimés · 14 % de l’emploi actuel à remplacer.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Priorité : anticiper les recrutements et la transmission des savoir-faire sur plusieurs années.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F8A62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8"/>
                      <w:szCs w:val="28"/>
                    </w:rPr>
                    <w:t xml:space="preserve">Renouvellement rapide à surveiller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Une part importante des salariés pourrait partir d’ici 2030, même si le département n’est pas un très grand pôle ou si le nombre de départs reste limité.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L’intensité est élevée, mais le poids ou le volume ne sont pas au plus haut (règle 7).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1,5 % de l’emploi national · 180 départs · 16 % de l’emploi actuel.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 signal de vigilance, pas une pénurie annoncée : vérifier la capacité locale à recruter avant d’en faire une priorité.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166AC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8"/>
                      <w:szCs w:val="28"/>
                    </w:rPr>
                    <w:t xml:space="preserve">Pôle majeur au renouvellement modéré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 grand pôle avec beaucoup de départs en nombre, mais à un rythme ordinaire par rapport à ses effectifs.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Volume élevé et intensité modérée, ni élevée ni faible (règle 8).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9 % de l’emploi national · 1 000 départs · 9 % de l’emploi actuel.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Lire le nombre : les postes à pourvoir sont nombreux, même si le rythme n’a rien d’exceptionnel.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8C6BB1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8"/>
                      <w:szCs w:val="28"/>
                    </w:rPr>
                    <w:t xml:space="preserve">Renouvellement porté par une catégorie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Les départs attendus concernent surtout une catégorie de salariés.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Une catégorie porte au moins la moitié des départs, alors que le volume et l’intensité ne sont pas élevés (règle 9, après les profils prioritaires).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150 départs, dont 65 chez les ouvriers · 8 % de l’emploi actuel.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Regarder cette catégorie et sa part à remplacer, plutôt que le total du département.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</w:tr>
    </w:tbl>
    <w:p>
      <w:pPr>
        <w:sectPr>
          <w:footerReference w:type="default" r:id="rId8"/>
          <w:pgSz w:w="16838" w:h="11906" w:orient="landscape"/>
          <w:pgMar w:top="480" w:right="680" w:bottom="400" w:left="680" w:header="708" w:footer="708" w:gutter="0"/>
          <w:pgNumType/>
          <w:docGrid w:linePitch="360"/>
        </w:sectPr>
      </w:pPr>
    </w:p>
    <w:p>
      <w:pPr>
        <w:spacing w:after="60" w:before="0" w:line="240"/>
      </w:pPr>
      <w:r>
        <w:rPr>
          <w:rFonts w:ascii="Calibri" w:cs="Calibri" w:eastAsia="Calibri" w:hAnsi="Calibri"/>
          <w:b/>
          <w:bCs/>
          <w:color w:val="3E4C59"/>
          <w:spacing w:val="25"/>
          <w:sz w:val="17"/>
          <w:szCs w:val="17"/>
        </w:rPr>
        <w:t xml:space="preserve">Typologie des territoires BITD  ·  fiche de lecture  ·  4 / 4</w:t>
      </w:r>
    </w:p>
    <w:p>
      <w:pPr>
        <w:spacing w:after="40" w:before="0" w:line="300"/>
      </w:pPr>
      <w:r>
        <w:rPr>
          <w:rFonts w:ascii="Calibri" w:cs="Calibri" w:eastAsia="Calibri" w:hAnsi="Calibri"/>
          <w:b/>
          <w:bCs/>
          <w:color w:val="1E3A5F"/>
          <w:sz w:val="46"/>
          <w:szCs w:val="46"/>
        </w:rPr>
        <w:t xml:space="preserve">Les sept situations territoriales (5 à 7)</w:t>
      </w:r>
    </w:p>
    <w:p>
      <w:pPr>
        <w:spacing w:after="60" w:before="0" w:line="255"/>
      </w:pPr>
      <w:r>
        <w:rPr>
          <w:rFonts w:ascii="Calibri" w:cs="Calibri" w:eastAsia="Calibri" w:hAnsi="Calibri"/>
          <w:color w:val="1F2933"/>
          <w:sz w:val="24"/>
          <w:szCs w:val="24"/>
        </w:rPr>
        <w:t xml:space="preserve">Les trois derniers profils, dont la situation à expertiser, et les précautions de lecture.</w:t>
      </w:r>
    </w:p>
    <w:p>
      <w:pPr>
        <w:pBdr>
          <w:bottom w:val="single" w:color="D9DEE5" w:sz="6" w:space="1"/>
        </w:pBdr>
        <w:spacing w:after="60" w:before="20"/>
      </w:pPr>
      <w:r>
        <w:rPr>
          <w:rFonts w:ascii="Calibri" w:cs="Calibri" w:eastAsia="Calibri" w:hAnsi="Calibri"/>
          <w:color w:val="1F2933"/>
          <w:sz w:val="2"/>
          <w:szCs w:val="2"/>
        </w:rPr>
        <w:t xml:space="preserve"/>
      </w:r>
    </w:p>
    <w:tbl>
      <w:tblPr>
        <w:tblW w:type="dxa" w:w="1547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34"/>
        <w:gridCol w:w="180"/>
        <w:gridCol w:w="3734"/>
        <w:gridCol w:w="180"/>
        <w:gridCol w:w="3734"/>
        <w:gridCol w:w="180"/>
        <w:gridCol w:w="3734"/>
      </w:tblGrid>
      <w:tr>
        <w:trPr>
          <w:cantSplit/>
        </w:trPr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4C476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28"/>
                      <w:szCs w:val="28"/>
                    </w:rPr>
                    <w:t xml:space="preserve">Implantation stable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Une implantation installée, dont les départs se répartissent entre les catégories à un rythme ordinaire.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Aucune règle précédente ne s’applique : ni volume élevé, ni intensité élevée, ni départs concentrés (règle 10).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1 % de l’emploi national · 120 départs · 7 % de l’emploi actuel · première catégorie : 38 % des départs.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« Stable » ne veut dire ni zéro départ, ni absence de difficultés de recrutement : suivi ordinaire.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FE6EE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28"/>
                      <w:szCs w:val="28"/>
                    </w:rPr>
                    <w:t xml:space="preserve">Implantation réduite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La BITD pèse peu dans ce département, ou y repose sur très peu de salariés.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Le poids est faible : part nationale faible, ou effectif sous le plancher retenu pour l’analyse (règle 3).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0,3 % de l’emploi national · 60 salariés · 9 départs, soit 15 % de l’emploi actuel.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Un taux élevé sur un petit effectif ne se lit pas comme celui d’un grand pôle : il ne crée pas de priorité.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373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734"/>
            </w:tblGrid>
            <w:tr>
              <w:tc>
                <w:tcPr>
                  <w:tcW w:type="dxa" w:w="37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C744" w:color="auto" w:val="clear"/>
                  <w:tcMar>
                    <w:top w:type="dxa" w:w="120"/>
                    <w:left w:type="dxa" w:w="170"/>
                    <w:bottom w:type="dxa" w:w="120"/>
                    <w:right w:type="dxa" w:w="170"/>
                  </w:tcMar>
                  <w:vAlign w:val="center"/>
                </w:tcPr>
                <w:p>
                  <w:pPr>
                    <w:spacing w:after="0" w:before="0" w:line="25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933"/>
                      <w:sz w:val="28"/>
                      <w:szCs w:val="28"/>
                    </w:rPr>
                    <w:t xml:space="preserve">Situation à expertiser</w:t>
                  </w:r>
                </w:p>
              </w:tc>
            </w:tr>
          </w:tbl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CE QUE CELA VEUT DIRE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Les règles simples ne permettent pas de conclure : le département est signalé, avec son motif, pour une analyse complémentaire.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POURQUOI CE CLASSEMENT ?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Quatre cas : un indicateur manque · intensité extrême sur une implantation réduite · deux indicateurs tout près d’un seuil · volume élevé mais intensité faible (règles 1, 2, 4, 5).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4"/>
                <w:sz w:val="17"/>
                <w:szCs w:val="17"/>
              </w:rPr>
              <w:t xml:space="preserve">EXEMPLE FICTIF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30 salariés et 12 départs (40 %) ; ou 1 100 départs mais seulement 3 % de l’emploi actuel.</w:t>
            </w:r>
          </w:p>
          <w:p>
            <w:pPr>
              <w:spacing w:after="30" w:before="130" w:line="250"/>
              <w:ind w:left="170" w:right="170"/>
            </w:pPr>
            <w:r>
              <w:rPr>
                <w:rFonts w:ascii="Calibri" w:cs="Calibri" w:eastAsia="Calibri" w:hAnsi="Calibri"/>
                <w:b/>
                <w:bCs/>
                <w:color w:val="B2182B"/>
                <w:spacing w:val="14"/>
                <w:sz w:val="17"/>
                <w:szCs w:val="17"/>
              </w:rPr>
              <w:t xml:space="preserve">CE QU’IL FAUT RETENIR</w:t>
            </w:r>
          </w:p>
          <w:p>
            <w:pPr>
              <w:spacing w:after="50" w:before="0" w:line="270"/>
              <w:ind w:left="170" w:right="170"/>
            </w:pPr>
            <w:r>
              <w:rPr>
                <w:rFonts w:ascii="Calibri" w:cs="Calibri" w:eastAsia="Calibri" w:hAnsi="Calibri"/>
                <w:color w:val="1F2933"/>
                <w:sz w:val="24"/>
                <w:szCs w:val="24"/>
              </w:rPr>
              <w:t xml:space="preserve">Nous préférons signaler une situation à analyser plutôt que lui attribuer artificiellement un profil.</w:t>
            </w:r>
          </w:p>
          <w:p>
            <w:pPr>
              <w:spacing w:after="0" w:before="0" w:line="8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  <w:tc>
          <w:tcPr>
            <w:tcW w:type="dxa" w:w="3734"/>
            <w:tcBorders>
              <w:top w:val="single" w:color="D9DEE5" w:sz="6"/>
              <w:left w:val="single" w:color="D9DEE5" w:sz="6"/>
              <w:bottom w:val="single" w:color="D9DEE5" w:sz="6"/>
              <w:right w:val="single" w:color="D9DEE5" w:sz="6"/>
            </w:tcBorders>
            <w:shd w:fill="FFFFFF" w:color="auto" w:val="clear"/>
            <w:tcMar>
              <w:top w:type="dxa" w:w="150"/>
              <w:left w:type="dxa" w:w="170"/>
              <w:bottom w:type="dxa" w:w="150"/>
              <w:right w:type="dxa" w:w="170"/>
            </w:tcMar>
            <w:vAlign w:val="top"/>
          </w:tcPr>
          <w:p>
            <w:pPr>
              <w:spacing w:after="50" w:before="60" w:line="250"/>
            </w:pPr>
            <w:r>
              <w:rPr>
                <w:rFonts w:ascii="Calibri" w:cs="Calibri" w:eastAsia="Calibri" w:hAnsi="Calibri"/>
                <w:b/>
                <w:bCs/>
                <w:color w:val="1E3A5F"/>
                <w:spacing w:val="16"/>
                <w:sz w:val="17"/>
                <w:szCs w:val="17"/>
              </w:rPr>
              <w:t xml:space="preserve">À GARDER EN TÊTE</w:t>
            </w:r>
          </w:p>
          <w:p>
            <w:pPr>
              <w:spacing w:after="110" w:before="0" w:line="268"/>
            </w:pPr>
            <w:r>
              <w:rPr>
                <w:rFonts w:ascii="Calibri" w:cs="Calibri" w:eastAsia="Calibri" w:hAnsi="Calibri"/>
                <w:color w:val="3E4C59"/>
                <w:sz w:val="23"/>
                <w:szCs w:val="23"/>
              </w:rPr>
              <w:t xml:space="preserve">–  </w:t>
            </w: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Les estimations sont établies par département, pas par bassin d’emploi.</w:t>
            </w:r>
          </w:p>
          <w:p>
            <w:pPr>
              <w:spacing w:after="110" w:before="0" w:line="268"/>
            </w:pPr>
            <w:r>
              <w:rPr>
                <w:rFonts w:ascii="Calibri" w:cs="Calibri" w:eastAsia="Calibri" w:hAnsi="Calibri"/>
                <w:color w:val="3E4C59"/>
                <w:sz w:val="23"/>
                <w:szCs w:val="23"/>
              </w:rPr>
              <w:t xml:space="preserve">–  </w:t>
            </w: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Les tensions repérées par la DGA ou France Travail (métiers, bassins) sont une information distincte : elles ne déterminent pas ces sept profils.</w:t>
            </w:r>
          </w:p>
          <w:p>
            <w:pPr>
              <w:spacing w:after="110" w:before="0" w:line="268"/>
            </w:pPr>
            <w:r>
              <w:rPr>
                <w:rFonts w:ascii="Calibri" w:cs="Calibri" w:eastAsia="Calibri" w:hAnsi="Calibri"/>
                <w:color w:val="3E4C59"/>
                <w:sz w:val="23"/>
                <w:szCs w:val="23"/>
              </w:rPr>
              <w:t xml:space="preserve">–  </w:t>
            </w: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Des départs estimés ne sont ni des postes ouverts, ni une pénurie de main-d’œuvre.</w:t>
            </w:r>
          </w:p>
          <w:p>
            <w:pPr>
              <w:spacing w:after="110" w:before="0" w:line="268"/>
            </w:pPr>
            <w:r>
              <w:rPr>
                <w:rFonts w:ascii="Calibri" w:cs="Calibri" w:eastAsia="Calibri" w:hAnsi="Calibri"/>
                <w:color w:val="3E4C59"/>
                <w:sz w:val="23"/>
                <w:szCs w:val="23"/>
              </w:rPr>
              <w:t xml:space="preserve">–  </w:t>
            </w: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Faible, moyen, fort dépendent des seuils utilisés. Aujourd’hui, les bornes sont des terciles observés : une règle de classement statistique provisoire, pas des seuils de politique publique.</w:t>
            </w:r>
          </w:p>
          <w:p>
            <w:pPr>
              <w:spacing w:after="110" w:before="0" w:line="268"/>
            </w:pPr>
            <w:r>
              <w:rPr>
                <w:rFonts w:ascii="Calibri" w:cs="Calibri" w:eastAsia="Calibri" w:hAnsi="Calibri"/>
                <w:color w:val="3E4C59"/>
                <w:sz w:val="23"/>
                <w:szCs w:val="23"/>
              </w:rPr>
              <w:t xml:space="preserve">–  </w:t>
            </w:r>
            <w:r>
              <w:rPr>
                <w:rFonts w:ascii="Calibri" w:cs="Calibri" w:eastAsia="Calibri" w:hAnsi="Calibri"/>
                <w:color w:val="1F2933"/>
                <w:sz w:val="23"/>
                <w:szCs w:val="23"/>
              </w:rPr>
              <w:t xml:space="preserve">Le secret statistique est respecté : tous les chiffres de cette fiche sont fictifs.</w:t>
            </w:r>
          </w:p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color w:val="1F2933"/>
                <w:sz w:val="4"/>
                <w:szCs w:val="4"/>
              </w:rPr>
              <w:t xml:space="preserve"/>
            </w:r>
          </w:p>
        </w:tc>
      </w:tr>
    </w:tbl>
    <w:sectPr>
      <w:footerReference w:type="default" r:id="rId9"/>
      <w:pgSz w:w="16838" w:h="11906" w:orient="landscape"/>
      <w:pgMar w:top="480" w:right="680" w:bottom="400" w:left="6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3E4C59"/>
        <w:sz w:val="16"/>
        <w:szCs w:val="16"/>
      </w:rPr>
      <w:t xml:space="preserve">Estimation des départs à l’horizon 2030 · chiffres fictifs · secret statistique respecté  ·  page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E4C59"/>
        <w:sz w:val="16"/>
        <w:szCs w:val="16"/>
      </w:rPr>
      <w:t xml:space="preserve"> /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3E4C59"/>
        <w:sz w:val="16"/>
        <w:szCs w:val="16"/>
      </w:rPr>
      <w:t xml:space="preserve">Estimation des départs à l’horizon 2030 · chiffres fictifs · secret statistique respecté  ·  page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E4C59"/>
        <w:sz w:val="16"/>
        <w:szCs w:val="16"/>
      </w:rPr>
      <w:t xml:space="preserve"> /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3E4C59"/>
        <w:sz w:val="16"/>
        <w:szCs w:val="16"/>
      </w:rPr>
      <w:t xml:space="preserve">Estimation des départs à l’horizon 2030 · chiffres fictifs · secret statistique respecté  ·  page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E4C59"/>
        <w:sz w:val="16"/>
        <w:szCs w:val="16"/>
      </w:rPr>
      <w:t xml:space="preserve"> /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3E4C59"/>
        <w:sz w:val="16"/>
        <w:szCs w:val="16"/>
      </w:rPr>
      <w:t xml:space="preserve">Estimation des départs à l’horizon 2030 · chiffres fictifs · secret statistique respecté  ·  page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E4C59"/>
        <w:sz w:val="16"/>
        <w:szCs w:val="16"/>
      </w:rPr>
      <w:t xml:space="preserve"> / </w:t>
    </w:r>
    <w:r>
      <w:rPr>
        <w:rFonts w:ascii="Calibri" w:cs="Calibri" w:eastAsia="Calibri" w:hAnsi="Calibri"/>
        <w:color w:val="3E4C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theme" Target="theme/theme1.xml"/><Relationship Id="rId11" Type="http://schemas.openxmlformats.org/officeDocument/2006/relationships/image" Target="media/82dfb999ae2826cc8f581a67b4a423ff60b4fe05.png"/><Relationship Id="rId12" Type="http://schemas.openxmlformats.org/officeDocument/2006/relationships/image" Target="media/107023f3ec798104f15630749d312f9cdbb6de2b.png"/><Relationship Id="rId13" Type="http://schemas.openxmlformats.org/officeDocument/2006/relationships/image" Target="media/f77950d51ec03cb9568232153acdc0ab67cc5949.png"/><Relationship Id="rId14" Type="http://schemas.openxmlformats.org/officeDocument/2006/relationships/image" Target="media/ecb35002d507edcf7ef422b8c4ffe197ffbe0774.png"/><Relationship Id="rId15" Type="http://schemas.openxmlformats.org/officeDocument/2006/relationships/image" Target="media/184da4d60564455f86160a73c31bef36a5fb7742.png"/><Relationship Id="rId16" Type="http://schemas.openxmlformats.org/officeDocument/2006/relationships/image" Target="media/fba990b7e5768c6ac1d2cf3266714b2aac3bf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Typologie des territoires BITD — fiche de lecture</dc:title>
  <dc:creator>Estimation des départs BITD</dc:creator>
  <cp:lastModifiedBy>Un-named</cp:lastModifiedBy>
  <cp:revision>1</cp:revision>
  <dcterms:created xsi:type="dcterms:W3CDTF">2026-10-08T06:39:14.959Z</dcterms:created>
  <dcterms:modified xsi:type="dcterms:W3CDTF">2026-10-08T06:39:14.959Z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