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6E8" w:color="auto" w:val="clear"/>
        <w:spacing w:after="200" w:before="0" w:line="276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EXEMPLE FICTIF · </w:t>
      </w:r>
      <w:r>
        <w:rPr>
          <w:rFonts w:ascii="Calibri" w:cs="Calibri" w:eastAsia="Calibri" w:hAnsi="Calibri"/>
          <w:color w:val="B45309"/>
          <w:sz w:val="18"/>
          <w:szCs w:val="18"/>
        </w:rPr>
        <w:t xml:space="preserve">Territoire imaginaire, chiffres inventés, destinés à montrer la forme d’une analyse rédigée. Aucune donnée réelle.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7A8795"/>
          <w:sz w:val="18"/>
          <w:szCs w:val="18"/>
        </w:rPr>
        <w:t xml:space="preserve">Départs attendus 2024-2030 · n° 0 · exemple</w:t>
      </w:r>
    </w:p>
    <w:p>
      <w:pPr>
        <w:spacing w:after="120" w:before="0" w:line="380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Dans le Val-d’Arvan, plus d’un salarié sur trois du périmètre aura quitté l’emploi d’ici 2030</w:t>
      </w:r>
    </w:p>
    <w:p>
      <w:pPr>
        <w:spacing w:after="240" w:before="0" w:line="300"/>
      </w:pPr>
      <w:r>
        <w:rPr>
          <w:rFonts w:ascii="Calibri" w:cs="Calibri" w:eastAsia="Calibri" w:hAnsi="Calibri"/>
          <w:color w:val="3E4C59"/>
          <w:sz w:val="22"/>
          <w:szCs w:val="22"/>
        </w:rPr>
        <w:t xml:space="preserve">Les métiers de la première sous-liste en tension concentrent les départs les plus rapides</w:t>
      </w:r>
    </w:p>
    <w:p>
      <w:pPr>
        <w:spacing w:after="240" w:before="0" w:line="290"/>
        <w:sectPr>
          <w:headerReference w:type="default" r:id="rId6"/>
          <w:footerReference w:type="default" r:id="rId7"/>
          <w:pgSz w:w="11906" w:h="16838" w:orient="portrait"/>
          <w:pgMar w:top="1300" w:right="1400" w:bottom="1200" w:left="1400" w:header="600" w:footer="6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Dans le département fictif du Val-d’Arvan, 860 des 2 340 salariés de 45 ans ou plus des entreprises du périmètre devraient avoir quitté définitivement l’emploi entre 2024 et 2030, soit 36,8 % d’entre eux, contre 34,2 % en France. Ces départs sont pour l’essentiel des fins de carrière : 760 sur 860. Ils touchent d’abord les ouvriers, dont 41,3 % sont susceptibles de partir, et se concentrent sur quelques métiers de la première sous-liste où le recrutement est déjà difficile en France : chaudronniers et ajusteurs-monteurs partent plus vite qu’ailleurs, avec des écarts de six à sept points. Avec 71 % de remplacements difficiles parmi les départs des métiers suivis, le département est classé en exposition forte, et cette classe résiste aux changements d’hypothèses. Le levier dominant tient au manque de main-d’œuvre disponible : élargir les viviers de recrutement avant 2027 est la première priorité.</w:t>
      </w:r>
    </w:p>
    <w:p>
      <w:pPr>
        <w:pStyle w:val="Heading2"/>
        <w:keepNext/>
        <w:spacing w:after="80" w:before="22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860 départs attendus, dans une fourchette de 810 à 905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Le Val-d’Arvan compte 2 340 salariés de 45 ans ou plus dans les entreprises du périmètre en 2024. D’ici 2030, 860 d’entre eux devraient avoir quitté définitivement l’emploi : retraite ou fin de carrière, invalidité ou décès. L’estimation centrale est encadrée par deux hypothèses de calendrier : 810 départs si les fins de carrière reculent d’un an, 905 si elles avancent. Rapporté à la durée de la plage, cela représente environ 143 départs par an, à comparer aux 110 recrutements annuels constatés sur la période récente (figure 1).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La part susceptible de partir, 36,8 %, est supérieure de 2,6 points à celle de la France (34,2 %) et de 1,7 point à celle de la région (35,1 %). L’écart tient à une pyramide des âges plus vieillie : les 55 ans et plus représentent 43 % des salariés du champ dans le Val-d’Arvan, contre 38 % en France. Ils portent 690 des 860 départs attendus, soit huit sur dix.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Les départs sont pour l’essentiel des fins de carrière (760), auxquelles s’ajoutent 68 entrées en invalidité et 32 décès. Les sorties par invalidité interviennent surtout avant l’âge de départ : 54 des 68 cas concernent des salariés de moins de 60 ans, et six sur dix sont des ouvriers.</w:t>
      </w:r>
    </w:p>
    <w:p>
      <w:pPr>
        <w:keepNext/>
        <w:spacing w:after="60" w:before="160" w:line="276"/>
      </w:pPr>
      <w:r>
        <w:rPr>
          <w:rFonts w:ascii="Calibri" w:cs="Calibri" w:eastAsia="Calibri" w:hAnsi="Calibri"/>
          <w:b/>
          <w:bCs/>
          <w:color w:val="1D4E89"/>
          <w:sz w:val="18"/>
          <w:szCs w:val="18"/>
        </w:rPr>
        <w:t xml:space="preserve">Figure 1 –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Les départs attendus dans le Val-d’Arvan, 2024-2030</w:t>
      </w:r>
    </w:p>
    <w:tbl>
      <w:tblPr>
        <w:tblW w:type="dxa" w:w="43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860"/>
        <w:gridCol w:w="860"/>
        <w:gridCol w:w="860"/>
      </w:tblGrid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Central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Hyp. basse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Hyp. haute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Salariés du champ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2 340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2 340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2 340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Départs attendus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860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810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905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Part susceptible de partir (%)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36,8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34,6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38,7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Départs par an en moyenne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143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135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151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dont retraite ou fin de carrière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760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</w:p>
        </w:tc>
      </w:tr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dont invalidité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68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</w:p>
        </w:tc>
      </w:tr>
      <w:tr>
        <w:trPr>
          <w:cantSplit/>
        </w:trPr>
        <w:tc>
          <w:tcPr>
            <w:tcW w:type="dxa" w:w="17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dont décès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32</w:t>
            </w: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</w:p>
        </w:tc>
        <w:tc>
          <w:tcPr>
            <w:tcW w:type="dxa" w:w="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</w:p>
        </w:tc>
      </w:tr>
    </w:tbl>
    <w:p>
      <w:pPr>
        <w:spacing w:after="40" w:before="0" w:line="230"/>
      </w:pPr>
      <w:r>
        <w:rPr>
          <w:rFonts w:ascii="Calibri" w:cs="Calibri" w:eastAsia="Calibri" w:hAnsi="Calibri"/>
          <w:color w:val="3E4C59"/>
          <w:sz w:val="16"/>
          <w:szCs w:val="16"/>
        </w:rPr>
        <w:t xml:space="preserve">Lecture : au scénario central, 860 salariés devraient avoir quitté l’emploi entre 2024 et 2030, soit 36,8 % des 2 340 salariés de 45 ans ou plus.</w:t>
      </w:r>
    </w:p>
    <w:p>
      <w:pPr>
        <w:spacing w:after="200" w:before="0" w:line="230"/>
      </w:pPr>
      <w:r>
        <w:rPr>
          <w:rFonts w:ascii="Calibri" w:cs="Calibri" w:eastAsia="Calibri" w:hAnsi="Calibri"/>
          <w:color w:val="7A8795"/>
          <w:sz w:val="16"/>
          <w:szCs w:val="16"/>
        </w:rPr>
        <w:t xml:space="preserve">Source : exemple fictif ; forme des tableaux de la feuille « 2a Volume ».</w:t>
      </w:r>
    </w:p>
    <w:p>
      <w:pPr>
        <w:pStyle w:val="Heading2"/>
        <w:keepNext/>
        <w:spacing w:after="80" w:before="22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Les ouvriers partent plus vite, les cadres pèsent moins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Les quatre catégories sociales ne s’érodent pas au même rythme (figure 2). Les ouvriers, 980 salariés, ont la part susceptible de partir la plus élevée : 41,3 %, soit 405 départs attendus. Les cadres sont à 31,2 %. L’écart est en partie structurel, les âges de sortie de l’emploi étant plus précoces dans les métiers ouvriers, mais il place les ouvriers en tête des deux lectures : ils portent 47 % des départs par leur nombre, et ils partent le plus vite.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Les professions intermédiaires forment le deuxième contingent, 201 départs attendus pour 620 salariés. Leur part, 32,4 %, est proche de la moyenne : c’est un chantier de volume plus que de vitesse.</w:t>
      </w:r>
    </w:p>
    <w:p>
      <w:pPr>
        <w:keepNext/>
        <w:spacing w:after="60" w:before="160" w:line="276"/>
      </w:pPr>
      <w:r>
        <w:rPr>
          <w:rFonts w:ascii="Calibri" w:cs="Calibri" w:eastAsia="Calibri" w:hAnsi="Calibri"/>
          <w:b/>
          <w:bCs/>
          <w:color w:val="1D4E89"/>
          <w:sz w:val="18"/>
          <w:szCs w:val="18"/>
        </w:rPr>
        <w:t xml:space="preserve">Figure 2 –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Départs attendus par catégorie sociale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0"/>
        <w:gridCol w:w="720"/>
        <w:gridCol w:w="720"/>
        <w:gridCol w:w="720"/>
        <w:gridCol w:w="680"/>
      </w:tblGrid>
      <w:tr>
        <w:trPr>
          <w:cantSplit/>
        </w:trPr>
        <w:tc>
          <w:tcPr>
            <w:tcW w:type="dxa" w:w="14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Salariés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Départs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 (%)</w:t>
            </w:r>
          </w:p>
        </w:tc>
        <w:tc>
          <w:tcPr>
            <w:tcW w:type="dxa" w:w="6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 (%)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Ouvriers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980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405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41,3</w:t>
            </w:r>
          </w:p>
        </w:tc>
        <w:tc>
          <w:tcPr>
            <w:tcW w:type="dxa" w:w="6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Employés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310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121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39,0</w:t>
            </w:r>
          </w:p>
        </w:tc>
        <w:tc>
          <w:tcPr>
            <w:tcW w:type="dxa" w:w="6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Prof. intermédiaires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620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201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32,4</w:t>
            </w:r>
          </w:p>
        </w:tc>
        <w:tc>
          <w:tcPr>
            <w:tcW w:type="dxa" w:w="6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Cadres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430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134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31,2</w:t>
            </w:r>
          </w:p>
        </w:tc>
        <w:tc>
          <w:tcPr>
            <w:tcW w:type="dxa" w:w="6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Ensemble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2 340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860</w:t>
            </w:r>
          </w:p>
        </w:tc>
        <w:tc>
          <w:tcPr>
            <w:tcW w:type="dxa" w:w="7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36,8</w:t>
            </w:r>
          </w:p>
        </w:tc>
        <w:tc>
          <w:tcPr>
            <w:tcW w:type="dxa" w:w="68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7"/>
                <w:szCs w:val="17"/>
              </w:rPr>
              <w:t xml:space="preserve">100</w:t>
            </w:r>
          </w:p>
        </w:tc>
      </w:tr>
    </w:tbl>
    <w:p>
      <w:pPr>
        <w:spacing w:after="40" w:before="0" w:line="230"/>
      </w:pPr>
      <w:r>
        <w:rPr>
          <w:rFonts w:ascii="Calibri" w:cs="Calibri" w:eastAsia="Calibri" w:hAnsi="Calibri"/>
          <w:color w:val="3E4C59"/>
          <w:sz w:val="16"/>
          <w:szCs w:val="16"/>
        </w:rPr>
        <w:t xml:space="preserve">Lecture : 41,3 % des 980 ouvriers sont susceptibles de partir d’ici 2030 ; leurs 405 départs représentent 47 % des départs attendus du département.</w:t>
      </w:r>
    </w:p>
    <w:p>
      <w:pPr>
        <w:spacing w:after="200" w:before="0" w:line="230"/>
      </w:pPr>
      <w:r>
        <w:rPr>
          <w:rFonts w:ascii="Calibri" w:cs="Calibri" w:eastAsia="Calibri" w:hAnsi="Calibri"/>
          <w:color w:val="7A8795"/>
          <w:sz w:val="16"/>
          <w:szCs w:val="16"/>
        </w:rPr>
        <w:t xml:space="preserve">Source : exemple fictif ; forme de la feuille « 2d Par catégorie ».</w:t>
      </w:r>
    </w:p>
    <w:p>
      <w:pPr>
        <w:pStyle w:val="Heading2"/>
        <w:keepNext/>
        <w:spacing w:after="80" w:before="22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Cinq métiers de la liste concentrent un départ sur quatre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Parmi les métiers de la première sous-liste présents dans le département, cinq cumulent des départs rapides et une tension nationale forte : ils forment le noyau dur (figure 3). Les chaudronniers-tôliers et les ajusteurs-monteurs partent nettement plus vite qu’en France, avec des écarts de 7,3 et 6,5 points. Les techniciens de maintenance, plus nombreux, partent à un rythme proche de la moyenne nationale mais pèsent le plus en volume : 79 départs attendus.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Ensemble, ces cinq métiers représentent 249 départs attendus, soit près de 29 % des départs du département pour 27 % de ses salariés. Pour deux d’entre eux, la difficulté de recrutement tient d’abord au manque de main-d’œuvre disponible ; pour deux autres, à une formation longue et spécifique ; pour le dernier, aux conditions de travail.</w:t>
      </w:r>
    </w:p>
    <w:p>
      <w:pPr>
        <w:keepNext/>
        <w:spacing w:after="60" w:before="160" w:line="276"/>
      </w:pPr>
      <w:r>
        <w:rPr>
          <w:rFonts w:ascii="Calibri" w:cs="Calibri" w:eastAsia="Calibri" w:hAnsi="Calibri"/>
          <w:b/>
          <w:bCs/>
          <w:color w:val="1D4E89"/>
          <w:sz w:val="18"/>
          <w:szCs w:val="18"/>
        </w:rPr>
        <w:t xml:space="preserve">Figure 3 –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Le noyau dur : métiers de la liste à départs rapides et en tension</w:t>
      </w:r>
    </w:p>
    <w:tbl>
      <w:tblPr>
        <w:tblW w:type="dxa" w:w="4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20"/>
        <w:gridCol w:w="520"/>
        <w:gridCol w:w="700"/>
        <w:gridCol w:w="760"/>
        <w:gridCol w:w="940"/>
      </w:tblGrid>
      <w:tr>
        <w:trPr>
          <w:cantSplit/>
        </w:trPr>
        <w:tc>
          <w:tcPr>
            <w:tcW w:type="dxa" w:w="14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Métier</w:t>
            </w:r>
          </w:p>
        </w:tc>
        <w:tc>
          <w:tcPr>
            <w:tcW w:type="dxa" w:w="5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Sal.</w:t>
            </w:r>
          </w:p>
        </w:tc>
        <w:tc>
          <w:tcPr>
            <w:tcW w:type="dxa" w:w="7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 (%)</w:t>
            </w:r>
          </w:p>
        </w:tc>
        <w:tc>
          <w:tcPr>
            <w:tcW w:type="dxa" w:w="7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France (%)</w:t>
            </w:r>
          </w:p>
        </w:tc>
        <w:tc>
          <w:tcPr>
            <w:tcW w:type="dxa" w:w="94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 de la tension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Chaudronniers-tôliers</w:t>
            </w:r>
          </w:p>
        </w:tc>
        <w:tc>
          <w:tcPr>
            <w:tcW w:type="dxa" w:w="5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120</w:t>
            </w:r>
          </w:p>
        </w:tc>
        <w:tc>
          <w:tcPr>
            <w:tcW w:type="dxa" w:w="7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48,3</w:t>
            </w:r>
          </w:p>
        </w:tc>
        <w:tc>
          <w:tcPr>
            <w:tcW w:type="dxa" w:w="7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41,0</w:t>
            </w:r>
          </w:p>
        </w:tc>
        <w:tc>
          <w:tcPr>
            <w:tcW w:type="dxa" w:w="94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main-d’œuvre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Ajusteurs-monteurs</w:t>
            </w:r>
          </w:p>
        </w:tc>
        <w:tc>
          <w:tcPr>
            <w:tcW w:type="dxa" w:w="5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95</w:t>
            </w:r>
          </w:p>
        </w:tc>
        <w:tc>
          <w:tcPr>
            <w:tcW w:type="dxa" w:w="7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46,3</w:t>
            </w:r>
          </w:p>
        </w:tc>
        <w:tc>
          <w:tcPr>
            <w:tcW w:type="dxa" w:w="7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39,8</w:t>
            </w:r>
          </w:p>
        </w:tc>
        <w:tc>
          <w:tcPr>
            <w:tcW w:type="dxa" w:w="94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formation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Techniciens de maintenance</w:t>
            </w:r>
          </w:p>
        </w:tc>
        <w:tc>
          <w:tcPr>
            <w:tcW w:type="dxa" w:w="5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210</w:t>
            </w:r>
          </w:p>
        </w:tc>
        <w:tc>
          <w:tcPr>
            <w:tcW w:type="dxa" w:w="7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37,6</w:t>
            </w:r>
          </w:p>
        </w:tc>
        <w:tc>
          <w:tcPr>
            <w:tcW w:type="dxa" w:w="7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35,9</w:t>
            </w:r>
          </w:p>
        </w:tc>
        <w:tc>
          <w:tcPr>
            <w:tcW w:type="dxa" w:w="94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main-d’œuvre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Électromécaniciens</w:t>
            </w:r>
          </w:p>
        </w:tc>
        <w:tc>
          <w:tcPr>
            <w:tcW w:type="dxa" w:w="5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140</w:t>
            </w:r>
          </w:p>
        </w:tc>
        <w:tc>
          <w:tcPr>
            <w:tcW w:type="dxa" w:w="7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35,0</w:t>
            </w:r>
          </w:p>
        </w:tc>
        <w:tc>
          <w:tcPr>
            <w:tcW w:type="dxa" w:w="7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36,1</w:t>
            </w:r>
          </w:p>
        </w:tc>
        <w:tc>
          <w:tcPr>
            <w:tcW w:type="dxa" w:w="94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conditions de travail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6"/>
                <w:szCs w:val="16"/>
              </w:rPr>
              <w:t xml:space="preserve">Dessinateurs industriels</w:t>
            </w:r>
          </w:p>
        </w:tc>
        <w:tc>
          <w:tcPr>
            <w:tcW w:type="dxa" w:w="52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60</w:t>
            </w:r>
          </w:p>
        </w:tc>
        <w:tc>
          <w:tcPr>
            <w:tcW w:type="dxa" w:w="7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31,7</w:t>
            </w:r>
          </w:p>
        </w:tc>
        <w:tc>
          <w:tcPr>
            <w:tcW w:type="dxa" w:w="7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30,2</w:t>
            </w:r>
          </w:p>
        </w:tc>
        <w:tc>
          <w:tcPr>
            <w:tcW w:type="dxa" w:w="94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3E4C59"/>
                <w:sz w:val="16"/>
                <w:szCs w:val="16"/>
              </w:rPr>
              <w:t xml:space="preserve">formation</w:t>
            </w:r>
          </w:p>
        </w:tc>
      </w:tr>
    </w:tbl>
    <w:p>
      <w:pPr>
        <w:spacing w:after="40" w:before="0" w:line="230"/>
      </w:pPr>
      <w:r>
        <w:rPr>
          <w:rFonts w:ascii="Calibri" w:cs="Calibri" w:eastAsia="Calibri" w:hAnsi="Calibri"/>
          <w:color w:val="3E4C59"/>
          <w:sz w:val="16"/>
          <w:szCs w:val="16"/>
        </w:rPr>
        <w:t xml:space="preserve">Lecture : 48,3 % des 120 chaudronniers-tôliers du département sont susceptibles de partir d’ici 2030, contre 41,0 % en France ; la tension de leur famille professionnelle tient d’abord au manque de main-d’œuvre disponible.</w:t>
      </w:r>
    </w:p>
    <w:p>
      <w:pPr>
        <w:spacing w:after="200" w:before="0" w:line="230"/>
      </w:pPr>
      <w:r>
        <w:rPr>
          <w:rFonts w:ascii="Calibri" w:cs="Calibri" w:eastAsia="Calibri" w:hAnsi="Calibri"/>
          <w:color w:val="7A8795"/>
          <w:sz w:val="16"/>
          <w:szCs w:val="16"/>
        </w:rPr>
        <w:t xml:space="preserve">Source : exemple fictif ; forme des feuilles « 3d Noyau dur » et « 4d Liste × régions ».</w:t>
      </w:r>
    </w:p>
    <w:p>
      <w:pPr>
        <w:pStyle w:val="Heading2"/>
        <w:keepNext/>
        <w:spacing w:after="80" w:before="22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Une exposition forte, qui résiste aux changements d’hypothèses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Sur 100 départs attendus dans les métiers de la liste du Val-d’Arvan, 71 concernent des métiers en tension en France, contre 58 en France entière : le département est classé en exposition forte. La classe ne change pas quand on fait varier le calendrier de départ, le seuil de tension ou les rattachements de faible confiance : elle est robuste. Au moins 230 départs attendus concernent des métiers suivis en tension ; ce nombre est un minimum, les métiers hors liste n’étant pas observés sur cette dimension.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Le levier dominant du département est l’élargissement des viviers de recrutement : il concerne 128 des 230 départs des métiers en tension. Le profil de la typologie, « pôle majeur à renouveler rapidement », complète le tableau : le Val-d’Arvan pèse dans l’emploi du champ et ses départs sont rapides.</w:t>
      </w:r>
    </w:p>
    <w:p>
      <w:pPr>
        <w:pStyle w:val="Heading2"/>
        <w:keepNext/>
        <w:spacing w:after="80" w:before="22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Trois priorités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Chaudronniers-tôliers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58 départs attendus, près d’un salarié sur deux, dans un métier dont la tension tient au manque de candidats. Levier : attirer et élargir les viviers de recrutement, dès 2025, la moitié des départs intervenant avant 2027 d’après la structure par âge.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Ajusteurs-monteurs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44 départs, 46,3 % des salariés, formation longue et spécifique. Levier : former tôt, en lien avec les lycées professionnels et les centres de formation du bassin.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Techniciens de maintenance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le premier volume, 79 départs, à un rythme proche de la France. Levier : anticiper les recrutements, le marché national étant tendu.</w:t>
      </w:r>
    </w:p>
    <w:p>
      <w:pPr>
        <w:spacing w:after="200" w:before="0" w:line="276"/>
        <w:sectPr>
          <w:type w:val="continuous"/>
          <w:pgSz w:w="11906" w:h="16838" w:orient="portrait"/>
          <w:pgMar w:top="1300" w:right="1400" w:bottom="1200" w:left="1400" w:header="600" w:footer="600" w:gutter="0"/>
          <w:pgNumType/>
          <w:cols w:space="420" w:num="2" w:equalWidth="true"/>
          <w:docGrid w:linePitch="360"/>
        </w:sectPr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Les trois départements voisins de la région présentent des parts susceptibles de partir comprises entre 33 % et 35 %. Deux d’entre eux ne peuvent être publiés au niveau métier × département (secret statistique) : la comparaison se fait au niveau régional, où le Val-d’Arvan occupe le premier rang par part et le troisième par volume.</w:t>
      </w:r>
    </w:p>
    <w:p>
      <w:pPr>
        <w:spacing w:after="0" w:before="0" w:line="160" w:lineRule="exact"/>
      </w:pPr>
      <w:r>
        <w:rPr>
          <w:rFonts w:ascii="Calibri" w:cs="Calibri" w:eastAsia="Calibri" w:hAnsi="Calibri"/>
          <w:color w:val="1F2933"/>
          <w:sz w:val="4"/>
          <w:szCs w:val="4"/>
        </w:rPr>
        <w:t xml:space="preserve"/>
      </w:r>
    </w:p>
    <w:p>
      <w:pPr>
        <w:shd w:fill="EEF3F8" w:color="auto" w:val="clear"/>
        <w:spacing w:after="60" w:before="120" w:line="276"/>
      </w:pPr>
      <w:r>
        <w:rPr>
          <w:rFonts w:ascii="Calibri" w:cs="Calibri" w:eastAsia="Calibri" w:hAnsi="Calibri"/>
          <w:b/>
          <w:bCs/>
          <w:color w:val="1D4E89"/>
          <w:sz w:val="21"/>
          <w:szCs w:val="21"/>
        </w:rPr>
        <w:t xml:space="preserve">Définitions</w:t>
      </w:r>
    </w:p>
    <w:p>
      <w:pPr>
        <w:shd w:fill="EEF3F8" w:color="auto" w:val="clear"/>
        <w:spacing w:after="8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Départ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sortie définitive de l’emploi entre 2024 et 2030, par retraite ou fin de carrière, invalidité ou décès. Les mobilités vers un autre employeur ne sont pas comptées : les volumes sont un minimum.</w:t>
      </w:r>
    </w:p>
    <w:p>
      <w:pPr>
        <w:shd w:fill="EEF3F8" w:color="auto" w:val="clear"/>
        <w:spacing w:after="8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Part susceptible de partir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départs attendus rapportés aux salariés du groupe.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Hypothèse basse / haute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départs retardés ou avancés d’un an.</w:t>
      </w:r>
    </w:p>
    <w:p>
      <w:pPr>
        <w:shd w:fill="EEF3F8" w:color="auto" w:val="clear"/>
        <w:spacing w:after="8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Tension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rang de la famille professionnelle du métier dans l’indicateur France Travail / Dares, en France. Un métier est en tension à partir du rang 4 sur 5. La tension ne mesure jamais celle d’un territoire.</w:t>
      </w:r>
    </w:p>
    <w:p>
      <w:pPr>
        <w:shd w:fill="EEF3F8" w:color="auto" w:val="clear"/>
        <w:spacing w:after="8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Exposition aux remplacements difficiles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part des départs attendus des métiers de la liste qui concernent des métiers en tension ; classée faible, modérée ou forte ; « robuste » si la classe résiste aux changements d’hypothèses.</w:t>
      </w:r>
    </w:p>
    <w:p>
      <w:pPr>
        <w:shd w:fill="EEF3F8" w:color="auto" w:val="clear"/>
        <w:spacing w:after="200" w:before="0" w:line="276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Noyau dur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: métiers de la liste à départs rapides et en tension en France.</w:t>
      </w:r>
    </w:p>
    <w:p>
      <w:pPr>
        <w:shd w:fill="EEF3F8" w:color="auto" w:val="clear"/>
        <w:spacing w:after="60" w:before="120" w:line="276"/>
      </w:pPr>
      <w:r>
        <w:rPr>
          <w:rFonts w:ascii="Calibri" w:cs="Calibri" w:eastAsia="Calibri" w:hAnsi="Calibri"/>
          <w:b/>
          <w:bCs/>
          <w:color w:val="1D4E89"/>
          <w:sz w:val="21"/>
          <w:szCs w:val="21"/>
        </w:rPr>
        <w:t xml:space="preserve">Sources et méthode</w:t>
      </w:r>
    </w:p>
    <w:p>
      <w:pPr>
        <w:shd w:fill="EEF3F8" w:color="auto" w:val="clear"/>
        <w:spacing w:after="80" w:before="0" w:line="276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Les salariés de 45 ans ou plus des entreprises du périmètre sont observés dans la base tous salariés 2024. À chacun est appliquée une probabilité de sortie définitive de l’emploi d’ici 2030, selon son âge, son sexe et sa catégorie sociale : âges de sortie de l’emploi (DREES, réforme de 2023), entrées en invalidité (EACR), mortalité (Insee). La somme de ces probabilités donne les départs attendus ; le modèle ne suit aucune trajectoire individuelle et ne dit jamais qui partira.</w:t>
      </w:r>
    </w:p>
    <w:p>
      <w:pPr>
        <w:shd w:fill="EEF3F8" w:color="auto" w:val="clear"/>
        <w:spacing w:after="80" w:before="0" w:line="276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La tension des métiers vient des indicateurs France Travail / Dares par famille professionnelle ; les métiers de la première sous-liste y sont rattachés par un classeur PCS → FAP avec un indice de confiance.</w:t>
      </w:r>
    </w:p>
    <w:p>
      <w:pPr>
        <w:shd w:fill="EEF3F8" w:color="auto" w:val="clear"/>
        <w:spacing w:after="200" w:before="0" w:line="276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Le secret statistique s’applique : une cellule est publiée si elle compte au moins 5 salariés et 3 entreprises, aucune entreprise n’y pesant plus de 85 % ; une cellule non diffusée est vide, jamais zéro.</w:t>
      </w:r>
    </w:p>
    <w:p>
      <w:pPr>
        <w:shd w:fill="EEF3F8" w:color="auto" w:val="clear"/>
        <w:spacing w:after="60" w:before="120" w:line="276"/>
      </w:pPr>
      <w:r>
        <w:rPr>
          <w:rFonts w:ascii="Calibri" w:cs="Calibri" w:eastAsia="Calibri" w:hAnsi="Calibri"/>
          <w:b/>
          <w:bCs/>
          <w:color w:val="1D4E89"/>
          <w:sz w:val="21"/>
          <w:szCs w:val="21"/>
        </w:rPr>
        <w:t xml:space="preserve">Pour en savoir plus</w:t>
      </w:r>
    </w:p>
    <w:p>
      <w:pPr>
        <w:shd w:fill="EEF3F8" w:color="auto" w:val="clear"/>
        <w:spacing w:after="80" w:before="0" w:line="276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Classeur « analyse_hypotheses_depart.xlsx », feuilles « Définitions », « 2a Volume », « 2d Par catégorie », « 3d Noyau dur », « 4b Départements », « 5 Priorités ».</w:t>
      </w:r>
    </w:p>
    <w:p>
      <w:pPr>
        <w:shd w:fill="EEF3F8" w:color="auto" w:val="clear"/>
        <w:spacing w:after="200" w:before="0" w:line="276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Note courte « Départs attendus et difficultés de recrutement » ; note méthodologique de l’exposition ; guide des commentaires.</w:t>
      </w:r>
    </w:p>
    <w:p>
      <w:pPr>
        <w:spacing w:after="0" w:before="0" w:line="276"/>
      </w:pPr>
      <w:r>
        <w:rPr>
          <w:rFonts w:ascii="Calibri" w:cs="Calibri" w:eastAsia="Calibri" w:hAnsi="Calibri"/>
          <w:i/>
          <w:iCs/>
          <w:color w:val="B45309"/>
          <w:sz w:val="18"/>
          <w:szCs w:val="18"/>
        </w:rPr>
        <w:t xml:space="preserve">Exemple fictif. Le Val-d’Arvan n’existe pas ; les métiers, effectifs, parts et écarts sont inventés pour illustrer la forme d’une analyse rédigée à partir du classeur. Document rédigé à la main, hors chaîne de calcul.</w:t>
      </w:r>
    </w:p>
    <w:sectPr>
      <w:type w:val="continuous"/>
      <w:pgSz w:w="11906" w:h="16838" w:orient="portrait"/>
      <w:pgMar w:top="1300" w:right="1400" w:bottom="1200" w:left="140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795"/>
        <w:sz w:val="15"/>
        <w:szCs w:val="15"/>
      </w:rPr>
      <w:t xml:space="preserve">Exemple fictif · page </w:t>
    </w:r>
    <w:r>
      <w:rPr>
        <w:rFonts w:ascii="Calibri" w:cs="Calibri" w:eastAsia="Calibri" w:hAnsi="Calibri"/>
        <w:color w:val="7A879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8795"/>
        <w:sz w:val="15"/>
        <w:szCs w:val="15"/>
      </w:rPr>
      <w:t xml:space="preserve">Exemple fictif · forme d’une analyse rédigée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300"/>
      </w:pPr>
      <w:rPr>
        <w:color w:val="7A879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2026-10-29T17:21:55.214Z</dcterms:created>
  <dcterms:modified xsi:type="dcterms:W3CDTF">2026-10-29T17:21:55.214Z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