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pPr>
      <w:r>
        <w:rPr>
          <w:rFonts w:ascii="Calibri" w:cs="Calibri" w:eastAsia="Calibri" w:hAnsi="Calibri"/>
          <w:color w:val="7A8795"/>
          <w:sz w:val="18"/>
          <w:szCs w:val="18"/>
        </w:rPr>
        <w:t xml:space="preserve">Analyse « hypothèses de départ » · document d’accompagnement</w:t>
      </w:r>
    </w:p>
    <w:p>
      <w:pPr>
        <w:spacing w:after="80" w:before="0" w:line="340"/>
      </w:pPr>
      <w:r>
        <w:rPr>
          <w:rFonts w:ascii="Calibri" w:cs="Calibri" w:eastAsia="Calibri" w:hAnsi="Calibri"/>
          <w:b/>
          <w:bCs/>
          <w:color w:val="1F2933"/>
          <w:sz w:val="32"/>
          <w:szCs w:val="32"/>
        </w:rPr>
        <w:t xml:space="preserve">Que dire de ce que l’on observe ?</w:t>
      </w:r>
    </w:p>
    <w:p>
      <w:pPr>
        <w:spacing w:after="300" w:before="0" w:line="276"/>
      </w:pPr>
      <w:r>
        <w:rPr>
          <w:rFonts w:ascii="Calibri" w:cs="Calibri" w:eastAsia="Calibri" w:hAnsi="Calibri"/>
          <w:color w:val="3E4C59"/>
          <w:sz w:val="21"/>
          <w:szCs w:val="21"/>
        </w:rPr>
        <w:t xml:space="preserve">Suggestions de commentaires, feuille par feuille, pour rédiger la note à partir du classeur analyse_hypotheses_depart.xlsx</w:t>
      </w:r>
    </w:p>
    <w:p>
      <w:pPr>
        <w:pStyle w:val="Heading1"/>
        <w:keepNext/>
        <w:spacing w:after="120" w:before="0" w:line="276"/>
      </w:pPr>
      <w:r>
        <w:rPr>
          <w:rFonts w:ascii="Calibri" w:cs="Calibri" w:eastAsia="Calibri" w:hAnsi="Calibri"/>
          <w:b/>
          <w:bCs/>
          <w:color w:val="1D4E89"/>
          <w:sz w:val="26"/>
          <w:szCs w:val="26"/>
        </w:rPr>
        <w:t xml:space="preserve">Comment utiliser ce guide</w:t>
      </w:r>
    </w:p>
    <w:p>
      <w:pPr>
        <w:spacing w:after="120" w:before="0" w:line="276"/>
      </w:pPr>
      <w:r>
        <w:rPr>
          <w:rFonts w:ascii="Calibri" w:cs="Calibri" w:eastAsia="Calibri" w:hAnsi="Calibri"/>
          <w:color w:val="1F2933"/>
          <w:sz w:val="20"/>
          <w:szCs w:val="20"/>
        </w:rPr>
        <w:t xml:space="preserve">Chaque feuille du classeur donne un tableau. Ce guide associe, pour chaque feuille, un </w:t>
      </w:r>
      <w:r>
        <w:rPr>
          <w:rFonts w:ascii="Calibri" w:cs="Calibri" w:eastAsia="Calibri" w:hAnsi="Calibri"/>
          <w:b/>
          <w:bCs/>
          <w:color w:val="1F2933"/>
          <w:sz w:val="20"/>
          <w:szCs w:val="20"/>
        </w:rPr>
        <w:t xml:space="preserve">phénomène que vous pouvez observer</w:t>
      </w:r>
      <w:r>
        <w:rPr>
          <w:rFonts w:ascii="Calibri" w:cs="Calibri" w:eastAsia="Calibri" w:hAnsi="Calibri"/>
          <w:color w:val="1F2933"/>
          <w:sz w:val="20"/>
          <w:szCs w:val="20"/>
        </w:rPr>
        <w:t xml:space="preserve"> à une </w:t>
      </w:r>
      <w:r>
        <w:rPr>
          <w:rFonts w:ascii="Calibri" w:cs="Calibri" w:eastAsia="Calibri" w:hAnsi="Calibri"/>
          <w:b/>
          <w:bCs/>
          <w:color w:val="1F2933"/>
          <w:sz w:val="20"/>
          <w:szCs w:val="20"/>
        </w:rPr>
        <w:t xml:space="preserve">formulation suggérée</w:t>
      </w:r>
      <w:r>
        <w:rPr>
          <w:rFonts w:ascii="Calibri" w:cs="Calibri" w:eastAsia="Calibri" w:hAnsi="Calibri"/>
          <w:color w:val="1F2933"/>
          <w:sz w:val="20"/>
          <w:szCs w:val="20"/>
        </w:rPr>
        <w:t xml:space="preserve"> et à une </w:t>
      </w:r>
      <w:r>
        <w:rPr>
          <w:rFonts w:ascii="Calibri" w:cs="Calibri" w:eastAsia="Calibri" w:hAnsi="Calibri"/>
          <w:b/>
          <w:bCs/>
          <w:color w:val="1F2933"/>
          <w:sz w:val="20"/>
          <w:szCs w:val="20"/>
        </w:rPr>
        <w:t xml:space="preserve">précaution</w:t>
      </w:r>
      <w:r>
        <w:rPr>
          <w:rFonts w:ascii="Calibri" w:cs="Calibri" w:eastAsia="Calibri" w:hAnsi="Calibri"/>
          <w:color w:val="1F2933"/>
          <w:sz w:val="20"/>
          <w:szCs w:val="20"/>
        </w:rPr>
        <w:t xml:space="preserve">. Les crochets [ ] sont à remplir avec les valeurs du classeur ; une suggestion ne s’emploie que si le phénomène est bien là. Rien n’oblige à tout commenter : une note tient avec un message par rubrique.</w:t>
      </w:r>
    </w:p>
    <w:p>
      <w:pPr>
        <w:spacing w:after="120" w:before="0" w:line="276"/>
      </w:pPr>
      <w:r>
        <w:rPr>
          <w:rFonts w:ascii="Calibri" w:cs="Calibri" w:eastAsia="Calibri" w:hAnsi="Calibri"/>
          <w:b/>
          <w:bCs/>
          <w:color w:val="1F2933"/>
          <w:sz w:val="20"/>
          <w:szCs w:val="20"/>
        </w:rPr>
        <w:t xml:space="preserve">Quatre règles d’écriture.</w:t>
      </w:r>
      <w:r>
        <w:rPr>
          <w:rFonts w:ascii="Calibri" w:cs="Calibri" w:eastAsia="Calibri" w:hAnsi="Calibri"/>
          <w:color w:val="1F2933"/>
          <w:sz w:val="20"/>
          <w:szCs w:val="20"/>
        </w:rPr>
        <w:t xml:space="preserve"> Un chiffre, une comparaison, une conséquence : c’est la structure d’une phrase utile. Toujours la fourchette quand on donne un volume. Jamais « pénurie », « prévision » ni « les salariés partiront » : les chiffres sont des départs attendus, à conditions de 2024 inchangées. Le vocabulaire du classeur (part susceptible de partir, hypothèse basse et haute, non diffusé) est repris tel quel, pour que la note et les fichiers se répondent.</w:t>
      </w:r>
    </w:p>
    <w:p>
      <w:pPr>
        <w:shd w:fill="EEF3F8" w:color="auto" w:val="clear"/>
        <w:spacing w:after="60" w:before="120" w:line="276"/>
      </w:pPr>
      <w:r>
        <w:rPr>
          <w:rFonts w:ascii="Calibri" w:cs="Calibri" w:eastAsia="Calibri" w:hAnsi="Calibri"/>
          <w:b/>
          <w:bCs/>
          <w:color w:val="1D4E89"/>
          <w:sz w:val="21"/>
          <w:szCs w:val="21"/>
        </w:rPr>
        <w:t xml:space="preserve">Deux phrases à garder sous la main</w:t>
      </w:r>
    </w:p>
    <w:p>
      <w:pPr>
        <w:shd w:fill="EEF3F8" w:color="auto" w:val="clear"/>
        <w:spacing w:after="80" w:before="0" w:line="276"/>
      </w:pPr>
      <w:r>
        <w:rPr>
          <w:rFonts w:ascii="Calibri" w:cs="Calibri" w:eastAsia="Calibri" w:hAnsi="Calibri"/>
          <w:color w:val="1F2933"/>
          <w:sz w:val="19"/>
          <w:szCs w:val="19"/>
        </w:rPr>
        <w:t xml:space="preserve">« Un départ est une sortie définitive de l’emploi (retraite ou fin de carrière, invalidité, décès) ; les mobilités vers un autre employeur ne sont pas comptées : les volumes sont un minimum. »</w:t>
      </w:r>
    </w:p>
    <w:p>
      <w:pPr>
        <w:shd w:fill="EEF3F8" w:color="auto" w:val="clear"/>
        <w:spacing w:after="200" w:before="0" w:line="276"/>
      </w:pPr>
      <w:r>
        <w:rPr>
          <w:rFonts w:ascii="Calibri" w:cs="Calibri" w:eastAsia="Calibri" w:hAnsi="Calibri"/>
          <w:color w:val="1F2933"/>
          <w:sz w:val="19"/>
          <w:szCs w:val="19"/>
        </w:rPr>
        <w:t xml:space="preserve">« La tension d’un métier est celle de sa famille professionnelle en France ; elle ne dit rien de la tension du territoire. »</w:t>
      </w:r>
    </w:p>
    <w:p>
      <w:pPr>
        <w:pStyle w:val="Heading1"/>
        <w:keepNext/>
        <w:spacing w:after="120" w:before="360" w:line="276"/>
      </w:pPr>
      <w:r>
        <w:rPr>
          <w:rFonts w:ascii="Calibri" w:cs="Calibri" w:eastAsia="Calibri" w:hAnsi="Calibri"/>
          <w:b/>
          <w:bCs/>
          <w:color w:val="1D4E89"/>
          <w:sz w:val="26"/>
          <w:szCs w:val="26"/>
        </w:rPr>
        <w:t xml:space="preserve">1 Hypothèses</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L’hypothèse haute dépasse nettement la basse (plus de 10 % d’écart entre les deux volumes)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 calendrier de fin de carrière est la principale source d’incertitude : selon qu’il recule ou avance d’un an, le volume varie de [bas] à [haut] départs.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L’écart tient au calendrier, pas à la qualité des données.</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 scénario actif est B (sas de fin de carrière pris en compte)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départs sont comptés à la sortie de l’emploi, qui précède souvent la liquidation de la retraite : ils interviennent donc plus tôt que ne le suggère l’âge légal.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Si le scénario est A, inverser : seul l’âge légal est retenu, les départs sont datés plus tard.</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La plage affichée n’est pas celle que la commanditaire attendait</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La projection couvre [début] → [fin] ; une autre plage demande de relancer la chaîne avec un autre horizon.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jamais interpoler entre deux années : le modèle ne donne pas de rythme annuel.</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 nombre de métiers suivis est petit face à l’ensemble des métiers du champ</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La dimension tension n’est connue que pour les [N] métiers de la liste ; les autres métiers ne sont pas moins exposés, ils ne sont pas observés.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Phrase à placer une fois, en préambule, puis ne plus y revenir.</w:t>
            </w:r>
          </w:p>
        </w:tc>
      </w:tr>
    </w:tbl>
    <w:p>
      <w:pPr>
        <w:pStyle w:val="Heading1"/>
        <w:keepNext/>
        <w:spacing w:after="120" w:before="360" w:line="276"/>
      </w:pPr>
      <w:r>
        <w:rPr>
          <w:rFonts w:ascii="Calibri" w:cs="Calibri" w:eastAsia="Calibri" w:hAnsi="Calibri"/>
          <w:b/>
          <w:bCs/>
          <w:color w:val="1D4E89"/>
          <w:sz w:val="26"/>
          <w:szCs w:val="26"/>
        </w:rPr>
        <w:t xml:space="preserve">2a Volume</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La part susceptible de partir dépasse un tiers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Plus d’un salarié sur trois du champ aura quitté définitivement l’emploi d’ici [fin] : [départs] départs attendus ([bas] à [haut]) sur [salariés] salariés.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Rappeler que le champ est celui des [âge min] ans et plus : la part serait plus faible sur tous les salariés.</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départs par an sont du même ordre que les recrutements annuels connus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Remplacer ces départs demande environ [par an] recrutements par an, soit [comparaison] des recrutements actuels.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La comparaison avec les recrutements vient d’une autre source : la citer.</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La retraite ou fin de carrière explique presque tout</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départs sont pour l’essentiel des fins de carrière ([retraite] sur [départs]) : ils sont datés et prévisibles, donc pilotables.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Prévisibles » au sens de l’âge, jamais au sens de la personne.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L’invalidité pèse plus que le décès, de façon visible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[invalidité] départs attendus relèvent de l’invalidité, surtout avant l’âge de départ : un signal sur les conditions de travail.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pas inférer de causes individuelles ; renvoyer aux catégories concernées (2d).</w:t>
            </w:r>
          </w:p>
        </w:tc>
      </w:tr>
    </w:tbl>
    <w:p>
      <w:pPr>
        <w:pStyle w:val="Heading1"/>
        <w:keepNext/>
        <w:spacing w:after="120" w:before="360" w:line="276"/>
      </w:pPr>
      <w:r>
        <w:rPr>
          <w:rFonts w:ascii="Calibri" w:cs="Calibri" w:eastAsia="Calibri" w:hAnsi="Calibri"/>
          <w:b/>
          <w:bCs/>
          <w:color w:val="1D4E89"/>
          <w:sz w:val="26"/>
          <w:szCs w:val="26"/>
        </w:rPr>
        <w:t xml:space="preserve">2b Par âge, 2c Seniors</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La tranche la plus âgée a une part proche de 100 %</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Au-delà de [âge], le départ est quasi certain d’ici [fin] : [départs] départs sur [salariés] salariés.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Ce n’est pas une information nouvelle ; elle sert à cadrer, pas à alerter.</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seniors portent la majorité des départs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[âge senior] ans et plus représentent [part seniors] % des salariés mais [poids] % des départs attendus.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Le poids dans les départs se lit dans la colonne « Poids dans l’ensemble des départs ».</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moins de [âge senior] ans portent un poids notable des départs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[poids] % des départs attendus concernent des salariés de moins de [âge senior] ans, par invalidité ou décès pour l’essentiel : ces départs-là ne se préparent pas par la seule gestion des âges.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Vérifier la colonne « dont invalidité » avant d’écrire la cause.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Une tranche est non diffusée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effectifs de la tranche [tranche] ne permettent pas de publier ses chiffres (secret statistique).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jamais écrire « aucun salarié » : une cellule masquée peut être petite ou nulle.</w:t>
            </w:r>
          </w:p>
        </w:tc>
      </w:tr>
    </w:tbl>
    <w:p>
      <w:pPr>
        <w:pStyle w:val="Heading1"/>
        <w:keepNext/>
        <w:spacing w:after="120" w:before="360" w:line="276"/>
      </w:pPr>
      <w:r>
        <w:rPr>
          <w:rFonts w:ascii="Calibri" w:cs="Calibri" w:eastAsia="Calibri" w:hAnsi="Calibri"/>
          <w:b/>
          <w:bCs/>
          <w:color w:val="1D4E89"/>
          <w:sz w:val="26"/>
          <w:szCs w:val="26"/>
        </w:rPr>
        <w:t xml:space="preserve">2d Par catégorie sociale</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ouvriers ont la part la plus élevée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ouvriers partent plus vite que les autres catégories : [part ouvriers] % de départs attendus, contre [part cadres] % pour les cadres.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Les âges de sortie diffèrent par catégorie : une part de l’écart est structurelle.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Une catégorie concentre le poids des départs sans avoir la part la plus forte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[catégorie] pèsent [poids] % des départs par leur nombre, alors que leur part susceptible de partir ([part] %) est moyenne : c’est un chantier de volume, non de vitesse.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Distinguer toujours volume (poids) et vitesse (part).</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L’invalidité est plus présente dans une catégorie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L’invalidité représente [x] départs chez les [catégorie], soit [y] % de leurs départs, contre [z] % chez les cadres.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Rapporter aux départs de la catégorie, pas au total.</w:t>
            </w:r>
          </w:p>
        </w:tc>
      </w:tr>
    </w:tbl>
    <w:p>
      <w:pPr>
        <w:pStyle w:val="Heading1"/>
        <w:keepNext/>
        <w:spacing w:after="120" w:before="360" w:line="276"/>
      </w:pPr>
      <w:r>
        <w:rPr>
          <w:rFonts w:ascii="Calibri" w:cs="Calibri" w:eastAsia="Calibri" w:hAnsi="Calibri"/>
          <w:b/>
          <w:bCs/>
          <w:color w:val="1D4E89"/>
          <w:sz w:val="26"/>
          <w:szCs w:val="26"/>
        </w:rPr>
        <w:t xml:space="preserve">3a et 3b Métiers : volume et intensité</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deux classements se recoupent peu</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métiers qui pèsent le plus en volume ([métiers 3a]) ne sont pas ceux qui s’érodent le plus vite ([métiers 3b]) : deux chantiers distincts, remplacement de masse d’un côté, préservation de compétences de l’autre.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C’est le message le plus utile de la rubrique ; le dire en une phrase.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métier figure en tête des deux classements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[Métier] cumule volume et vitesse : [départs] départs attendus, soit [part] % de ses salariés.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Priorité évidente ; vérifier s’il est dans la liste (3c) pour parler de tension.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petit métier a une part très élevée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[Métier] ne compte que [salariés] salariés, mais [part] % d’entre eux sont susceptibles de partir : la compétence peut disparaître sans remplacement.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L’effectif minimum du classement (paramètre) écarte les très petits métiers ; le nommer.</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libellés de métiers sont absents (PCS seulement)</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Déposer la nomenclature PCS dans data/ pour que la chaîne affiche les libellés.</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pas inventer de libellé.</w:t>
            </w:r>
          </w:p>
        </w:tc>
      </w:tr>
    </w:tbl>
    <w:p>
      <w:pPr>
        <w:pStyle w:val="Heading1"/>
        <w:keepNext/>
        <w:spacing w:after="120" w:before="360" w:line="276"/>
      </w:pPr>
      <w:r>
        <w:rPr>
          <w:rFonts w:ascii="Calibri" w:cs="Calibri" w:eastAsia="Calibri" w:hAnsi="Calibri"/>
          <w:b/>
          <w:bCs/>
          <w:color w:val="1D4E89"/>
          <w:sz w:val="26"/>
          <w:szCs w:val="26"/>
        </w:rPr>
        <w:t xml:space="preserve">3c et 3d Métiers de la liste, noyau dur</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 noyau dur compte peu de métiers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[n] métiers de la liste sont à la fois à départs rapides et en tension en France : c’est là que l’anticipation compte le plus.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Donner la liste complète si elle tient en une ligne.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Une dimension de tension domine le noyau dur</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Pour [k] des [n] métiers du noyau dur, la difficulté tient d’abord à [dimension] : le levier est [levier].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Le levier décrit la nature de la difficulté ; ce n’est pas une recommandation.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Plusieurs métiers du noyau dur ont un rattachement de faible confiance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Pour [métiers], la tension attribuée repose sur un rattachement PCS → FAP de faible confiance : à confirmer avant toute décision.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La robustesse des territoires (4) tient compte de ces rattachements.</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Des métiers de la liste sont non diffusés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[n] métiers de la liste n’ont pas de valeur publiée (secret statistique) ; ils ne sont pas pour autant hors risque.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jamais déduire leur situation du reste.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Des métiers de la liste sont « hors tension » mais à départs rapides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[Métier] part vite sans être en tension en France : le remplacement y est un enjeu de volume, plus facile à pourvoir.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Vérifier que la tension est bien « non » et non « inconnue ».</w:t>
            </w:r>
          </w:p>
        </w:tc>
      </w:tr>
    </w:tbl>
    <w:p>
      <w:pPr>
        <w:pStyle w:val="Heading1"/>
        <w:keepNext/>
        <w:spacing w:after="120" w:before="360" w:line="276"/>
      </w:pPr>
      <w:r>
        <w:rPr>
          <w:rFonts w:ascii="Calibri" w:cs="Calibri" w:eastAsia="Calibri" w:hAnsi="Calibri"/>
          <w:b/>
          <w:bCs/>
          <w:color w:val="1D4E89"/>
          <w:sz w:val="26"/>
          <w:szCs w:val="26"/>
        </w:rPr>
        <w:t xml:space="preserve">4a et 4b Régions et départements</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territoire est en tête des deux rangs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[Territoire] cumule le plus grand nombre de départs ([départs]) et la part la plus forte ([part] %) : priorité évidente.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Les rangs ne comptent que les territoires diffusés.</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territoire a une part forte et un volume faible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[Territoire] s’érode vite ([part] %) sur un effectif réduit ([salariés]) : enjeu de préservation de compétences plus que de recrutement de masse.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Un petit effectif rend la part sensible ; donner le volume avec.</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Beaucoup de départements sont non diffusés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[n] départements sur [N] ne sont pas diffusés (secret statistique) : la lecture se fait au niveau régional, qui reste complet.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pas classer les non diffusés ; ne pas les dire sans départ.</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Profil « pôle majeur à renouveler rapidement » et exposition forte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[Département] cumule poids dans l’emploi, départs rapides et forte part de remplacements difficiles ([expo] % contre [France] % en France) : les trois risques s’y superposent.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Vérifier la robustesse : « à confirmer » appelle une réserve explicite.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Exposition forte mais robustesse « à confirmer »</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L’exposition de [territoire] est classée forte, mais un changement d’hypothèse la ferait changer de classe : à lire comme une alerte, non comme une certitude.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pas en faire une priorité de premier rang sans confirmation.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 plancher de départs dans les métiers en tension est élevé</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Au moins [plancher] départs attendus dans [territoire] concernent des métiers suivis en tension : un minimum, les autres métiers n’étant pas observés.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Toujours « au moins ».</w:t>
            </w:r>
          </w:p>
        </w:tc>
      </w:tr>
    </w:tbl>
    <w:p>
      <w:pPr>
        <w:pStyle w:val="Heading1"/>
        <w:keepNext/>
        <w:spacing w:after="120" w:before="360" w:line="276"/>
      </w:pPr>
      <w:r>
        <w:rPr>
          <w:rFonts w:ascii="Calibri" w:cs="Calibri" w:eastAsia="Calibri" w:hAnsi="Calibri"/>
          <w:b/>
          <w:bCs/>
          <w:color w:val="1D4E89"/>
          <w:sz w:val="26"/>
          <w:szCs w:val="26"/>
        </w:rPr>
        <w:t xml:space="preserve">4c Exposition des régions, 4d Liste × régions</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Les régions se répartissent sur les trois classes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L’exposition va de [min] % ([région]) à [max] % ([région]) ; [n] régions sont classées forte.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Les classes sont relatives (terciles) sauf si la méthode « fixes » est configurée : le dire.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Une région revient souvent dans 4d</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[Région] partage plus vite qu’en France sur [k] métiers de la liste, dont [métier] (+[écart] points).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L’écart se lit en points, jamais en pourcentage.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métier revient souvent dans 4d</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[Métier] part plus vite qu’en France dans [k] régions : la difficulté est territoriale autant que nationale.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La tension reste nationale ; seule la vitesse des départs est territoriale.</w:t>
            </w:r>
          </w:p>
        </w:tc>
      </w:tr>
    </w:tbl>
    <w:p>
      <w:pPr>
        <w:pStyle w:val="Heading1"/>
        <w:keepNext/>
        <w:spacing w:after="120" w:before="360" w:line="276"/>
      </w:pPr>
      <w:r>
        <w:rPr>
          <w:rFonts w:ascii="Calibri" w:cs="Calibri" w:eastAsia="Calibri" w:hAnsi="Calibri"/>
          <w:b/>
          <w:bCs/>
          <w:color w:val="1D4E89"/>
          <w:sz w:val="26"/>
          <w:szCs w:val="26"/>
        </w:rPr>
        <w:t xml:space="preserve">4e Seniors par territoire</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La part des seniors varie fortement entre territoires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La part des [âge senior] ans et plus va de [min] % à [max] % selon les territoires : le calendrier des départs n’est pas le même partout.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La part des seniors dit le vieillissement ; leurs départs disent le rythme.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territoire est diffusé « partiellement »</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Les chiffres des seniors de [territoire] ne sont pas publiés (secret statistique) ; le total du territoire l’est.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pas déduire les seniors par différence.</w:t>
            </w:r>
          </w:p>
        </w:tc>
      </w:tr>
    </w:tbl>
    <w:p>
      <w:pPr>
        <w:pStyle w:val="Heading1"/>
        <w:keepNext/>
        <w:spacing w:after="120" w:before="360" w:line="276"/>
      </w:pPr>
      <w:r>
        <w:rPr>
          <w:rFonts w:ascii="Calibri" w:cs="Calibri" w:eastAsia="Calibri" w:hAnsi="Calibri"/>
          <w:b/>
          <w:bCs/>
          <w:color w:val="1D4E89"/>
          <w:sz w:val="26"/>
          <w:szCs w:val="26"/>
        </w:rPr>
        <w:t xml:space="preserve">5 Priorités</w:t>
      </w:r>
    </w:p>
    <w:p>
      <w:pPr>
        <w:spacing w:after="120" w:before="0" w:line="276"/>
      </w:pPr>
      <w:r>
        <w:rPr>
          <w:rFonts w:ascii="Calibri" w:cs="Calibri" w:eastAsia="Calibri" w:hAnsi="Calibri"/>
          <w:color w:val="1F2933"/>
          <w:sz w:val="20"/>
          <w:szCs w:val="20"/>
        </w:rPr>
        <w:t xml:space="preserve">La feuille croise, pour chaque métier du noyau dur, sa tension, sa dimension principale, son levier et ses premières régions. Une priorité s’écrit en une phrase qui tient les trois : </w:t>
      </w:r>
      <w:r>
        <w:rPr>
          <w:rFonts w:ascii="Calibri" w:cs="Calibri" w:eastAsia="Calibri" w:hAnsi="Calibri"/>
          <w:b/>
          <w:bCs/>
          <w:color w:val="1F2933"/>
          <w:sz w:val="20"/>
          <w:szCs w:val="20"/>
        </w:rPr>
        <w:t xml:space="preserve">un métier, un territoire, un levier</w:t>
      </w:r>
      <w:r>
        <w:rPr>
          <w:rFonts w:ascii="Calibri" w:cs="Calibri" w:eastAsia="Calibri" w:hAnsi="Calibri"/>
          <w:color w:val="1F2933"/>
          <w:sz w:val="20"/>
          <w:szCs w:val="20"/>
        </w:rPr>
        <w:t xml:space="preserve">.</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4300"/>
        <w:gridCol w:w="2306"/>
      </w:tblGrid>
      <w:tr>
        <w:trPr>
          <w:cantSplit/>
        </w:trPr>
        <w:tc>
          <w:tcPr>
            <w:tcW w:type="dxa" w:w="25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Ce que vous observez dans le tableau</w:t>
            </w:r>
          </w:p>
        </w:tc>
        <w:tc>
          <w:tcPr>
            <w:tcW w:type="dxa" w:w="4300"/>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Commentaire suggéré (à compléter avec les valeurs du classeur)</w:t>
            </w:r>
          </w:p>
        </w:tc>
        <w:tc>
          <w:tcPr>
            <w:tcW w:type="dxa" w:w="2306"/>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7"/>
                <w:szCs w:val="17"/>
              </w:rPr>
              <w:t xml:space="preserve">Précaution</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métier du noyau dur a ses premières régions proches les unes des autres</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[Métier] : [part France] % susceptibles de partir en France, jusqu’à [part] % en [région 1] ; difficulté dominante [dimension], levier [levier].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Citer au plus trois régions ; la liste complète est dans 4d.</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Plusieurs métiers du noyau dur partagent la même région de tête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[Région] concentre les départs rapides de [k] métiers du noyau dur : [métiers].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Vérifier dans 4a que la région est bien diffusée.</w:t>
            </w:r>
          </w:p>
        </w:tc>
      </w:tr>
      <w:tr>
        <w:trPr>
          <w:cantSplit/>
        </w:trPr>
        <w:tc>
          <w:tcPr>
            <w:tcW w:type="dxa" w:w="25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7"/>
                <w:szCs w:val="17"/>
              </w:rPr>
              <w:t xml:space="preserve">Un métier du noyau dur n’a aucune région diffusée</w:t>
            </w:r>
          </w:p>
        </w:tc>
        <w:tc>
          <w:tcPr>
            <w:tcW w:type="dxa" w:w="4300"/>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 [Métier] : aucune région ne peut être publiée (secret statistique) ; le constat national suffit à en faire une priorité. »</w:t>
            </w:r>
          </w:p>
        </w:tc>
        <w:tc>
          <w:tcPr>
            <w:tcW w:type="dxa" w:w="2306"/>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7"/>
                <w:szCs w:val="17"/>
              </w:rPr>
              <w:t xml:space="preserve">Ne pas chercher le territoire par d’autres voies.</w:t>
            </w:r>
          </w:p>
        </w:tc>
      </w:tr>
    </w:tbl>
    <w:p>
      <w:pPr>
        <w:pStyle w:val="Heading1"/>
        <w:keepNext/>
        <w:spacing w:after="120" w:before="360" w:line="276"/>
      </w:pPr>
      <w:r>
        <w:rPr>
          <w:rFonts w:ascii="Calibri" w:cs="Calibri" w:eastAsia="Calibri" w:hAnsi="Calibri"/>
          <w:b/>
          <w:bCs/>
          <w:color w:val="1D4E89"/>
          <w:sz w:val="26"/>
          <w:szCs w:val="26"/>
        </w:rPr>
        <w:t xml:space="preserve">Formulations à éviter, formulations à préférer</w:t>
      </w:r>
    </w:p>
    <w:tbl>
      <w:tblPr>
        <w:tblW w:type="dxa" w:w="9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53"/>
        <w:gridCol w:w="4553"/>
      </w:tblGrid>
      <w:tr>
        <w:trPr>
          <w:cantSplit/>
        </w:trPr>
        <w:tc>
          <w:tcPr>
            <w:tcW w:type="dxa" w:w="4553"/>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8"/>
                <w:szCs w:val="18"/>
              </w:rPr>
              <w:t xml:space="preserve">À éviter</w:t>
            </w:r>
          </w:p>
        </w:tc>
        <w:tc>
          <w:tcPr>
            <w:tcW w:type="dxa" w:w="4553"/>
            <w:tcBorders>
              <w:top w:val="single" w:color="C9CED6" w:sz="4"/>
              <w:left w:val="none" w:color="FFFFFF" w:sz="0"/>
              <w:bottom w:val="single" w:color="C9CED6" w:sz="4"/>
              <w:right w:val="none" w:color="FFFFFF" w:sz="0"/>
            </w:tcBorders>
            <w:shd w:fill="1D4E89" w:color="auto" w:val="clear"/>
            <w:tcMar>
              <w:top w:type="dxa" w:w="60"/>
              <w:left w:type="dxa" w:w="90"/>
              <w:bottom w:type="dxa" w:w="60"/>
              <w:right w:type="dxa" w:w="90"/>
            </w:tcMar>
            <w:vAlign w:val="center"/>
          </w:tcPr>
          <w:p>
            <w:pPr>
              <w:spacing w:after="0" w:before="0" w:line="240"/>
            </w:pPr>
            <w:r>
              <w:rPr>
                <w:rFonts w:ascii="Calibri" w:cs="Calibri" w:eastAsia="Calibri" w:hAnsi="Calibri"/>
                <w:b/>
                <w:bCs/>
                <w:color w:val="FFFFFF"/>
                <w:sz w:val="18"/>
                <w:szCs w:val="18"/>
              </w:rPr>
              <w:t xml:space="preserve">À préférer</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Les salariés partiront en 2030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[n] départs sont attendus d’ici 2030 »</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Pénurie de [métier]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[Métier] est en tension en France et ses départs y sont rapides »</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Le département est en tension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Les départs du département portent sur des métiers tendus en France »</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Aucun salarié dans [territoire]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[Territoire] n’est pas diffusé (secret statistique) »</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Prévision », « projection certaine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Estimation centrale, encadrée par les hypothèses basse et haute »</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Part qui part », « taux de départ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Part susceptible de partir »</w:t>
            </w:r>
          </w:p>
        </w:tc>
      </w:tr>
      <w:tr>
        <w:trPr>
          <w:cantSplit/>
        </w:trPr>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1F2933"/>
                <w:sz w:val="18"/>
                <w:szCs w:val="18"/>
              </w:rPr>
              <w:t xml:space="preserve">« Métiers stratégiques »</w:t>
            </w:r>
          </w:p>
        </w:tc>
        <w:tc>
          <w:tcPr>
            <w:tcW w:type="dxa" w:w="4553"/>
            <w:tcBorders>
              <w:top w:val="single" w:color="C9CED6" w:sz="4"/>
              <w:left w:val="none" w:color="FFFFFF" w:sz="0"/>
              <w:bottom w:val="single" w:color="C9CED6" w:sz="4"/>
              <w:right w:val="none" w:color="FFFFFF" w:sz="0"/>
            </w:tcBorders>
            <w:tcMar>
              <w:top w:type="dxa" w:w="60"/>
              <w:left w:type="dxa" w:w="90"/>
              <w:bottom w:type="dxa" w:w="60"/>
              <w:right w:type="dxa" w:w="90"/>
            </w:tcMar>
            <w:vAlign w:val="center"/>
          </w:tcPr>
          <w:p>
            <w:pPr>
              <w:spacing w:after="0" w:before="0" w:line="240"/>
            </w:pPr>
            <w:r>
              <w:rPr>
                <w:rFonts w:ascii="Calibri" w:cs="Calibri" w:eastAsia="Calibri" w:hAnsi="Calibri"/>
                <w:b w:val="false"/>
                <w:bCs w:val="false"/>
                <w:color w:val="3E4C59"/>
                <w:sz w:val="18"/>
                <w:szCs w:val="18"/>
              </w:rPr>
              <w:t xml:space="preserve">« Métiers de la première sous-liste » (libellé public)</w:t>
            </w:r>
          </w:p>
        </w:tc>
      </w:tr>
    </w:tbl>
    <w:p>
      <w:pPr>
        <w:spacing w:after="0" w:before="0" w:line="120" w:lineRule="exact"/>
      </w:pPr>
      <w:r>
        <w:rPr>
          <w:rFonts w:ascii="Calibri" w:cs="Calibri" w:eastAsia="Calibri" w:hAnsi="Calibri"/>
          <w:color w:val="1F2933"/>
          <w:sz w:val="4"/>
          <w:szCs w:val="4"/>
        </w:rPr>
        <w:t xml:space="preserve"/>
      </w:r>
    </w:p>
    <w:p>
      <w:pPr>
        <w:spacing w:after="0" w:before="0" w:line="276"/>
      </w:pPr>
      <w:r>
        <w:rPr>
          <w:rFonts w:ascii="Calibri" w:cs="Calibri" w:eastAsia="Calibri" w:hAnsi="Calibri"/>
          <w:i/>
          <w:iCs/>
          <w:color w:val="7A8795"/>
          <w:sz w:val="18"/>
          <w:szCs w:val="18"/>
        </w:rPr>
        <w:t xml:space="preserve">Document rédigé à la main, hors chaîne de calcul : il n’est pas régénéré par main.R. Les formulations sont des gabarits ; les valeurs viennent toujours du classeur.</w:t>
      </w:r>
    </w:p>
    <w:sectPr>
      <w:headerReference w:type="default" r:id="rId6"/>
      <w:footerReference w:type="default" r:id="rId7"/>
      <w:pgSz w:w="11906" w:h="16838" w:orient="portrait"/>
      <w:pgMar w:top="1300" w:right="1400" w:bottom="1200" w:left="140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795"/>
        <w:sz w:val="15"/>
        <w:szCs w:val="15"/>
      </w:rPr>
      <w:t xml:space="preserve">Guide des commentaires · page </w:t>
    </w:r>
    <w:r>
      <w:rPr>
        <w:rFonts w:ascii="Calibri" w:cs="Calibri" w:eastAsia="Calibri" w:hAnsi="Calibri"/>
        <w:color w:val="7A879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795"/>
        <w:sz w:val="15"/>
        <w:szCs w:val="15"/>
      </w:rPr>
      <w:t xml:space="preserve">Analyse « hypothèses de départ » · suggestions de commentaires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7A8795"/>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2026-10-29T17:20:54.535Z</dcterms:created>
  <dcterms:modified xsi:type="dcterms:W3CDTF">2026-10-29T17:20:54.911Z</dcterms:modified>
</cp:coreProperties>
</file>

<file path=docProps/custom.xml><?xml version="1.0" encoding="utf-8"?>
<Properties xmlns="http://schemas.openxmlformats.org/officeDocument/2006/custom-properties" xmlns:vt="http://schemas.openxmlformats.org/officeDocument/2006/docPropsVTypes"/>
</file>