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aps/>
          <w:color w:val="78716C"/>
          <w:sz w:val="20"/>
          <w:szCs w:val="20"/>
        </w:rPr>
        <w:t xml:space="preserve">SYSTEMS AT WORK</w:t>
      </w:r>
    </w:p>
    <w:p>
      <w:pPr>
        <w:pStyle w:val="Heading1"/>
      </w:pPr>
      <w:r>
        <w:rPr>
          <w:rFonts w:ascii="Georgia" w:cs="Georgia" w:eastAsia="Georgia" w:hAnsi="Georgia"/>
          <w:b w:val="false"/>
          <w:bCs w:val="false"/>
          <w:sz w:val="72"/>
          <w:szCs w:val="72"/>
        </w:rPr>
        <w:t xml:space="preserve">Builds</w:t>
      </w:r>
    </w:p>
    <w:p>
      <w:pPr>
        <w:spacing w:after="400"/>
      </w:pPr>
      <w:r>
        <w:rPr>
          <w:color w:val="57534E"/>
          <w:sz w:val="28"/>
          <w:szCs w:val="28"/>
        </w:rPr>
        <w:t xml:space="preserve">A closer look at the systems I design across growth, revenue, CRM, and GTM.</w:t>
      </w:r>
    </w:p>
    <w:p>
      <w:pPr>
        <w:spacing w:after="200"/>
      </w:pPr>
      <w:r>
        <w:rPr>
          <w:color w:val="57534E"/>
          <w:sz w:val="24"/>
          <w:szCs w:val="24"/>
        </w:rPr>
        <w:t xml:space="preserve">I work in the space between Marketing, Sales, Product, and Engineering—building the architecture that makes visibility from lead to profit possible. Some call this Revenue Operations. Others call it Marketing Operations. I think of it as revenue systems design.</w:t>
      </w:r>
    </w:p>
    <w:p>
      <w:pPr>
        <w:spacing w:after="600"/>
      </w:pPr>
      <w:r>
        <w:rPr>
          <w:color w:val="57534E"/>
          <w:sz w:val="24"/>
          <w:szCs w:val="24"/>
        </w:rPr>
        <w:t xml:space="preserve">What follows is a closer look at that work: the patterns I keep returning to, the problems I help untangle, and a few examples of what changes when the underlying system changes.</w:t>
      </w:r>
    </w:p>
    <w:p>
      <w:r>
        <w:rPr>
          <w:color w:val="78716C"/>
          <w:sz w:val="20"/>
          <w:szCs w:val="20"/>
        </w:rPr>
        <w:t xml:space="preserve">01</w:t>
      </w:r>
    </w:p>
    <w:p>
      <w:pPr>
        <w:pStyle w:val="Heading2"/>
      </w:pPr>
      <w:r>
        <w:rPr>
          <w:rFonts w:ascii="Georgia" w:cs="Georgia" w:eastAsia="Georgia" w:hAnsi="Georgia"/>
          <w:b w:val="false"/>
          <w:bCs w:val="false"/>
        </w:rPr>
        <w:t xml:space="preserve">System Stories</w:t>
      </w:r>
    </w:p>
    <w:p>
      <w:pPr>
        <w:pStyle w:val="Heading3"/>
      </w:pPr>
      <w:r>
        <w:t xml:space="preserve">When the growth motion did not fit the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Pain: </w:t>
      </w:r>
      <w:r>
        <w:rPr>
          <w:color w:val="57534E"/>
          <w:sz w:val="22"/>
          <w:szCs w:val="22"/>
        </w:rPr>
        <w:t xml:space="preserve">The brief was growth. But installs were not the real problem. People were coming in and leaving. The motion and the stage were mismatched.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changed: </w:t>
      </w:r>
      <w:r>
        <w:rPr>
          <w:color w:val="57534E"/>
          <w:sz w:val="22"/>
          <w:szCs w:val="22"/>
        </w:rPr>
        <w:t xml:space="preserve">Rebuilt the activation flow around time-to-first-insight. Shifted focus from acquisition volume to retention quality.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Metrics: </w:t>
      </w:r>
      <w:r>
        <w:rPr>
          <w:color w:val="292524"/>
          <w:sz w:val="22"/>
          <w:szCs w:val="22"/>
        </w:rPr>
        <w:t xml:space="preserve">60% faster activation  •  78% retention rate  •  200%+ revenue increase</w:t>
      </w:r>
    </w:p>
    <w:p>
      <w:pPr>
        <w:pStyle w:val="Heading3"/>
      </w:pPr>
      <w:r>
        <w:t xml:space="preserve">When SDRs spent more time searching than selling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Pain: </w:t>
      </w:r>
      <w:r>
        <w:rPr>
          <w:color w:val="57534E"/>
          <w:sz w:val="22"/>
          <w:szCs w:val="22"/>
        </w:rPr>
        <w:t xml:space="preserve">Research and talk-point prep consumed the day. SDRs needed context from existing system data without the manual dig.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changed: </w:t>
      </w:r>
      <w:r>
        <w:rPr>
          <w:color w:val="57534E"/>
          <w:sz w:val="22"/>
          <w:szCs w:val="22"/>
        </w:rPr>
        <w:t xml:space="preserve">MarVis—an AI research and enablement assistant—surfaced context automatically, enabling SDRs to focus on orchestration instead of search.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Metrics: </w:t>
      </w:r>
      <w:r>
        <w:rPr>
          <w:color w:val="292524"/>
          <w:sz w:val="22"/>
          <w:szCs w:val="22"/>
        </w:rPr>
        <w:t xml:space="preserve">40% faster ramp</w:t>
      </w:r>
    </w:p>
    <w:p>
      <w:pPr>
        <w:pStyle w:val="Heading3"/>
      </w:pPr>
      <w:r>
        <w:t xml:space="preserve">When CRM structure hid the revenue truth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Pain: </w:t>
      </w:r>
      <w:r>
        <w:rPr>
          <w:color w:val="57534E"/>
          <w:sz w:val="22"/>
          <w:szCs w:val="22"/>
        </w:rPr>
        <w:t xml:space="preserve">The pipeline existed. Leads were coming in. But leadership couldn't trust what they saw. The CRM was collecting without creating clarity.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changed: </w:t>
      </w:r>
      <w:r>
        <w:rPr>
          <w:color w:val="57534E"/>
          <w:sz w:val="22"/>
          <w:szCs w:val="22"/>
        </w:rPr>
        <w:t xml:space="preserve">Redesigned lifecycle stages, signal definitions, and handoff criteria. Built attribution that leadership could trust for actual decisions.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Metrics: </w:t>
      </w:r>
      <w:r>
        <w:rPr>
          <w:color w:val="292524"/>
          <w:sz w:val="22"/>
          <w:szCs w:val="22"/>
        </w:rPr>
        <w:t xml:space="preserve">91% attribution accuracy  •  32% lower CAC</w:t>
      </w:r>
    </w:p>
    <w:p>
      <w:pPr>
        <w:pStyle w:val="Heading3"/>
      </w:pPr>
      <w:r>
        <w:t xml:space="preserve">When product signal never became GTM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Pain: </w:t>
      </w:r>
      <w:r>
        <w:rPr>
          <w:color w:val="57534E"/>
          <w:sz w:val="22"/>
          <w:szCs w:val="22"/>
        </w:rPr>
        <w:t xml:space="preserve">Product data existed. Signals were being generated. But Sales didn't know which accounts were active. The data wasn't reaching the right people.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changed: </w:t>
      </w:r>
      <w:r>
        <w:rPr>
          <w:color w:val="57534E"/>
          <w:sz w:val="22"/>
          <w:szCs w:val="22"/>
        </w:rPr>
        <w:t xml:space="preserve">Built real-time signal routing from product to CRM. Created scoring that combined usage with firmographics. Sales now knew what mattered before outreach.</w:t>
      </w:r>
    </w:p>
    <w:p>
      <w:pPr>
        <w:spacing w:after="600"/>
      </w:pPr>
      <w:r>
        <w:rPr>
          <w:b/>
          <w:bCs/>
          <w:sz w:val="22"/>
          <w:szCs w:val="22"/>
        </w:rPr>
        <w:t xml:space="preserve">Metrics: </w:t>
      </w:r>
      <w:r>
        <w:rPr>
          <w:color w:val="292524"/>
          <w:sz w:val="22"/>
          <w:szCs w:val="22"/>
        </w:rPr>
        <w:t xml:space="preserve">85% lead quality  •  &lt;5min routing time</w:t>
      </w:r>
    </w:p>
    <w:p>
      <w:r>
        <w:rPr>
          <w:color w:val="78716C"/>
          <w:sz w:val="20"/>
          <w:szCs w:val="20"/>
        </w:rPr>
        <w:t xml:space="preserve">02</w:t>
      </w:r>
    </w:p>
    <w:p>
      <w:pPr>
        <w:pStyle w:val="Heading2"/>
      </w:pPr>
      <w:r>
        <w:rPr>
          <w:rFonts w:ascii="Georgia" w:cs="Georgia" w:eastAsia="Georgia" w:hAnsi="Georgia"/>
          <w:b w:val="false"/>
          <w:bCs w:val="false"/>
        </w:rPr>
        <w:t xml:space="preserve">What I Build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CRM Architecture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Lifecycle design, object structure, data models that create clarity instead of confusion.</w:t>
      </w:r>
    </w:p>
    <w:p>
      <w:r>
        <w:rPr>
          <w:b/>
          <w:bCs/>
          <w:sz w:val="24"/>
          <w:szCs w:val="24"/>
        </w:rPr>
        <w:t xml:space="preserve">2. Signal-to-Routing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Real-time processing that moves product usage into actionable GTM workflows.</w:t>
      </w:r>
    </w:p>
    <w:p>
      <w:r>
        <w:rPr>
          <w:b/>
          <w:bCs/>
          <w:sz w:val="24"/>
          <w:szCs w:val="24"/>
        </w:rPr>
        <w:t xml:space="preserve">3. Attribution Systems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Multi-touch models that leadership can trust for real decisions about spend and focus.</w:t>
      </w:r>
    </w:p>
    <w:p>
      <w:r>
        <w:rPr>
          <w:b/>
          <w:bCs/>
          <w:sz w:val="24"/>
          <w:szCs w:val="24"/>
        </w:rPr>
        <w:t xml:space="preserve">4. Lifecycle Design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Behavioral triggers, nurture sequences, and the logic that moves people through stages.</w:t>
      </w:r>
    </w:p>
    <w:p>
      <w:r>
        <w:rPr>
          <w:b/>
          <w:bCs/>
          <w:sz w:val="24"/>
          <w:szCs w:val="24"/>
        </w:rPr>
        <w:t xml:space="preserve">5. GTM Motion Fit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Aligning growth strategy with business stage—PLG, sales-led, or hybrid.</w:t>
      </w:r>
    </w:p>
    <w:p>
      <w:r>
        <w:rPr>
          <w:b/>
          <w:bCs/>
          <w:sz w:val="24"/>
          <w:szCs w:val="24"/>
        </w:rPr>
        <w:t xml:space="preserve">6. MarVis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AI research and enablement for GTM—surfacing context from system data so teams focus on orchestration.</w:t>
      </w:r>
    </w:p>
    <w:p>
      <w:r>
        <w:rPr>
          <w:b/>
          <w:bCs/>
          <w:sz w:val="24"/>
          <w:szCs w:val="24"/>
        </w:rPr>
        <w:t xml:space="preserve">7. Scoring Framework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MQL → PQL → MQA + ABM → SQL. A unified model that combines marketing, product, and account signals.</w:t>
      </w:r>
    </w:p>
    <w:p>
      <w:r>
        <w:rPr>
          <w:b/>
          <w:bCs/>
          <w:sz w:val="24"/>
          <w:szCs w:val="24"/>
        </w:rPr>
        <w:t xml:space="preserve">8. Reporting Diagnostic</w:t>
      </w:r>
    </w:p>
    <w:p>
      <w:pPr>
        <w:spacing w:after="600"/>
      </w:pPr>
      <w:r>
        <w:rPr>
          <w:color w:val="57534E"/>
          <w:sz w:val="22"/>
          <w:szCs w:val="22"/>
        </w:rPr>
        <w:t xml:space="preserve">Pipeline pulse check—dig into executive reporting to know where and what fails before revenue collapses.</w:t>
      </w:r>
    </w:p>
    <w:p>
      <w:r>
        <w:rPr>
          <w:color w:val="78716C"/>
          <w:sz w:val="20"/>
          <w:szCs w:val="20"/>
        </w:rPr>
        <w:t xml:space="preserve">03</w:t>
      </w:r>
    </w:p>
    <w:p>
      <w:pPr>
        <w:pStyle w:val="Heading2"/>
      </w:pPr>
      <w:r>
        <w:rPr>
          <w:rFonts w:ascii="Georgia" w:cs="Georgia" w:eastAsia="Georgia" w:hAnsi="Georgia"/>
          <w:b w:val="false"/>
          <w:bCs w:val="false"/>
        </w:rPr>
        <w:t xml:space="preserve">Proof Points</w:t>
      </w:r>
    </w:p>
    <w:p>
      <w:pPr>
        <w:spacing w:after="400"/>
      </w:pPr>
      <w:r>
        <w:rPr>
          <w:b/>
          <w:bCs/>
          <w:sz w:val="28"/>
          <w:szCs w:val="28"/>
        </w:rPr>
        <w:t xml:space="preserve">9+ years</w:t>
      </w:r>
      <w:r>
        <w:rPr>
          <w:color w:val="78716C"/>
          <w:sz w:val="24"/>
          <w:szCs w:val="24"/>
        </w:rPr>
        <w:t xml:space="preserve"> in revenue systems    </w:t>
      </w:r>
      <w:r>
        <w:rPr>
          <w:b/>
          <w:bCs/>
          <w:sz w:val="28"/>
          <w:szCs w:val="28"/>
        </w:rPr>
        <w:t xml:space="preserve">20+ systems</w:t>
      </w:r>
      <w:r>
        <w:rPr>
          <w:color w:val="78716C"/>
          <w:sz w:val="24"/>
          <w:szCs w:val="24"/>
        </w:rPr>
        <w:t xml:space="preserve"> built    </w:t>
      </w:r>
      <w:r>
        <w:rPr>
          <w:b/>
          <w:bCs/>
          <w:sz w:val="28"/>
          <w:szCs w:val="28"/>
        </w:rPr>
        <w:t xml:space="preserve">7+ companies</w:t>
      </w:r>
      <w:r>
        <w:rPr>
          <w:sz w:val="24"/>
          <w:szCs w:val="24"/>
        </w:rPr>
        <w:t xml:space="preserve">    </w:t>
      </w:r>
      <w:r>
        <w:rPr>
          <w:b/>
          <w:bCs/>
          <w:sz w:val="28"/>
          <w:szCs w:val="28"/>
        </w:rPr>
        <w:t xml:space="preserve">7 industries</w:t>
      </w:r>
    </w:p>
    <w:p>
      <w:pPr>
        <w:spacing w:after="200" w:before="200"/>
      </w:pPr>
      <w:r>
        <w:rPr>
          <w:caps/>
          <w:color w:val="78716C"/>
          <w:sz w:val="20"/>
          <w:szCs w:val="20"/>
        </w:rPr>
        <w:t xml:space="preserve">COMPANIES BY INDUSTRY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FinTech: </w:t>
      </w:r>
      <w:r>
        <w:rPr>
          <w:color w:val="1c1917"/>
          <w:sz w:val="22"/>
          <w:szCs w:val="22"/>
        </w:rPr>
        <w:t xml:space="preserve">OZÉ Inc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HealthTech: </w:t>
      </w:r>
      <w:r>
        <w:rPr>
          <w:color w:val="1c1917"/>
          <w:sz w:val="22"/>
          <w:szCs w:val="22"/>
        </w:rPr>
        <w:t xml:space="preserve">Reliance Health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HR Tech: </w:t>
      </w:r>
      <w:r>
        <w:rPr>
          <w:color w:val="1c1917"/>
          <w:sz w:val="22"/>
          <w:szCs w:val="22"/>
        </w:rPr>
        <w:t xml:space="preserve">OnHand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Analytics: </w:t>
      </w:r>
      <w:r>
        <w:rPr>
          <w:color w:val="1c1917"/>
          <w:sz w:val="22"/>
          <w:szCs w:val="22"/>
        </w:rPr>
        <w:t xml:space="preserve">KX Systems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E-commerce: </w:t>
      </w:r>
      <w:r>
        <w:rPr>
          <w:color w:val="1c1917"/>
          <w:sz w:val="22"/>
          <w:szCs w:val="22"/>
        </w:rPr>
        <w:t xml:space="preserve">Possible &amp; Affordable Solutions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PaaS: </w:t>
      </w:r>
      <w:r>
        <w:rPr>
          <w:color w:val="1c1917"/>
          <w:sz w:val="22"/>
          <w:szCs w:val="22"/>
        </w:rPr>
        <w:t xml:space="preserve">Veefunnels</w:t>
      </w:r>
    </w:p>
    <w:p>
      <w:pPr>
        <w:spacing w:after="600"/>
      </w:pPr>
      <w:r>
        <w:rPr>
          <w:b/>
          <w:bCs/>
          <w:sz w:val="22"/>
          <w:szCs w:val="22"/>
        </w:rPr>
        <w:t xml:space="preserve">Fractional RevOps: </w:t>
      </w:r>
      <w:r>
        <w:rPr>
          <w:color w:val="1c1917"/>
          <w:sz w:val="22"/>
          <w:szCs w:val="22"/>
        </w:rPr>
        <w:t xml:space="preserve">MartandMall</w:t>
      </w:r>
    </w:p>
    <w:p>
      <w:r>
        <w:rPr>
          <w:color w:val="78716C"/>
          <w:sz w:val="20"/>
          <w:szCs w:val="20"/>
        </w:rPr>
        <w:t xml:space="preserve">04</w:t>
      </w:r>
    </w:p>
    <w:p>
      <w:pPr>
        <w:pStyle w:val="Heading2"/>
      </w:pPr>
      <w:r>
        <w:rPr>
          <w:rFonts w:ascii="Georgia" w:cs="Georgia" w:eastAsia="Georgia" w:hAnsi="Georgia"/>
          <w:b w:val="false"/>
          <w:bCs w:val="false"/>
        </w:rPr>
        <w:t xml:space="preserve">Tools I've Built</w:t>
      </w:r>
    </w:p>
    <w:p>
      <w:pPr>
        <w:spacing w:after="200"/>
      </w:pPr>
      <w:r>
        <w:rPr>
          <w:color w:val="57534E"/>
          <w:sz w:val="22"/>
          <w:szCs w:val="22"/>
        </w:rPr>
        <w:t xml:space="preserve">Frameworks and templates developed in service of the outcomes above.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PQL → MQA Scoring Model</w:t>
      </w:r>
    </w:p>
    <w:p>
      <w:pPr>
        <w:spacing w:after="160"/>
      </w:pPr>
      <w:r>
        <w:rPr>
          <w:color w:val="78716C"/>
          <w:sz w:val="22"/>
          <w:szCs w:val="22"/>
        </w:rPr>
        <w:t xml:space="preserve">Lead qualification progression calculator.</w:t>
      </w:r>
    </w:p>
    <w:p>
      <w:r>
        <w:rPr>
          <w:b/>
          <w:bCs/>
          <w:sz w:val="22"/>
          <w:szCs w:val="22"/>
        </w:rPr>
        <w:t xml:space="preserve">GTM AI Prompts Library</w:t>
      </w:r>
    </w:p>
    <w:p>
      <w:pPr>
        <w:spacing w:after="160"/>
      </w:pPr>
      <w:r>
        <w:rPr>
          <w:color w:val="78716C"/>
          <w:sz w:val="22"/>
          <w:szCs w:val="22"/>
        </w:rPr>
        <w:t xml:space="preserve">50+ prompts for research and personalization.</w:t>
      </w:r>
    </w:p>
    <w:p>
      <w:r>
        <w:rPr>
          <w:b/>
          <w:bCs/>
          <w:sz w:val="22"/>
          <w:szCs w:val="22"/>
        </w:rPr>
        <w:t xml:space="preserve">Multi-Touch Attribution Model</w:t>
      </w:r>
    </w:p>
    <w:p>
      <w:pPr>
        <w:spacing w:after="160"/>
      </w:pPr>
      <w:r>
        <w:rPr>
          <w:color w:val="78716C"/>
          <w:sz w:val="22"/>
          <w:szCs w:val="22"/>
        </w:rPr>
        <w:t xml:space="preserve">Channel attribution mapped to real buying behavior.</w:t>
      </w:r>
    </w:p>
    <w:p>
      <w:r>
        <w:rPr>
          <w:b/>
          <w:bCs/>
          <w:sz w:val="22"/>
          <w:szCs w:val="22"/>
        </w:rPr>
        <w:t xml:space="preserve">Lifecycle Nurture Framework</w:t>
      </w:r>
    </w:p>
    <w:p>
      <w:pPr>
        <w:spacing w:after="600"/>
      </w:pPr>
      <w:r>
        <w:rPr>
          <w:color w:val="78716C"/>
          <w:sz w:val="22"/>
          <w:szCs w:val="22"/>
        </w:rPr>
        <w:t xml:space="preserve">Behavioral-triggered email sequences.</w:t>
      </w:r>
    </w:p>
    <w:p>
      <w:pPr>
        <w:pStyle w:val="Heading2"/>
        <w:jc w:val="center"/>
      </w:pPr>
      <w:r>
        <w:rPr>
          <w:rFonts w:ascii="Georgia" w:cs="Georgia" w:eastAsia="Georgia" w:hAnsi="Georgia"/>
          <w:b w:val="false"/>
          <w:bCs w:val="false"/>
        </w:rPr>
        <w:t xml:space="preserve">Talk with Paul</w:t>
      </w:r>
    </w:p>
    <w:p>
      <w:pPr>
        <w:spacing w:after="200"/>
        <w:jc w:val="center"/>
      </w:pPr>
      <w:r>
        <w:rPr>
          <w:color w:val="57534E"/>
          <w:sz w:val="24"/>
          <w:szCs w:val="24"/>
        </w:rPr>
        <w:t xml:space="preserve">If something here connects with what you're working through, this is where a conversation can start.</w:t>
      </w:r>
    </w:p>
    <w:p>
      <w:pPr>
        <w:jc w:val="center"/>
      </w:pPr>
      <w:r>
        <w:rPr>
          <w:b/>
          <w:bCs/>
          <w:sz w:val="24"/>
          <w:szCs w:val="24"/>
        </w:rPr>
        <w:t xml:space="preserve">→ Start a Conversation</w:t>
      </w:r>
    </w:p>
    <w:p>
      <w:pPr>
        <w:jc w:val="center"/>
      </w:pPr>
      <w:r>
        <w:rPr>
          <w:color w:val="78716C"/>
          <w:sz w:val="20"/>
          <w:szCs w:val="20"/>
        </w:rPr>
        <w:t xml:space="preserve">(Link to /together#contact)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2026-04-12T19:44:22.141Z</dcterms:created>
  <dcterms:modified xsi:type="dcterms:W3CDTF">2026-04-12T19:44:22.142Z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