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2C6D" w14:textId="77777777" w:rsidR="006A00DB" w:rsidRPr="006A00DB" w:rsidRDefault="006A00DB" w:rsidP="006A00DB">
      <w:pPr>
        <w:rPr>
          <w:b/>
          <w:bCs/>
          <w:lang w:val="es-CR"/>
        </w:rPr>
      </w:pPr>
      <w:r w:rsidRPr="006A00DB">
        <w:rPr>
          <w:b/>
          <w:bCs/>
          <w:lang w:val="es-CR"/>
        </w:rPr>
        <w:t>Actividad 4</w:t>
      </w:r>
    </w:p>
    <w:p w14:paraId="53892F2F" w14:textId="77777777" w:rsidR="006A00DB" w:rsidRPr="006A00DB" w:rsidRDefault="006A00DB" w:rsidP="006A00DB">
      <w:pPr>
        <w:rPr>
          <w:lang w:val="es-CR"/>
        </w:rPr>
      </w:pPr>
      <w:r w:rsidRPr="006A00DB">
        <w:rPr>
          <w:lang w:val="es-CR"/>
        </w:rPr>
        <w:t xml:space="preserve">A. Cuando la pantalla tiene un ancho de 599 </w:t>
      </w:r>
      <w:proofErr w:type="spellStart"/>
      <w:r w:rsidRPr="006A00DB">
        <w:rPr>
          <w:lang w:val="es-CR"/>
        </w:rPr>
        <w:t>px</w:t>
      </w:r>
      <w:proofErr w:type="spellEnd"/>
      <w:r w:rsidRPr="006A00DB">
        <w:rPr>
          <w:lang w:val="es-CR"/>
        </w:rPr>
        <w:t xml:space="preserve"> o menos, la galería cambia para mostrarse en una sola columna, facilitando la visualización en dispositivos móviles.</w:t>
      </w:r>
    </w:p>
    <w:p w14:paraId="50E3F2E4" w14:textId="77777777" w:rsidR="006A00DB" w:rsidRPr="006A00DB" w:rsidRDefault="006A00DB" w:rsidP="006A00DB">
      <w:pPr>
        <w:rPr>
          <w:lang w:val="es-CR"/>
        </w:rPr>
      </w:pPr>
      <w:r w:rsidRPr="006A00DB">
        <w:rPr>
          <w:lang w:val="es-CR"/>
        </w:rPr>
        <w:t xml:space="preserve">B. Cuando la pantalla tiene un ancho de 768 </w:t>
      </w:r>
      <w:proofErr w:type="spellStart"/>
      <w:r w:rsidRPr="006A00DB">
        <w:rPr>
          <w:lang w:val="es-CR"/>
        </w:rPr>
        <w:t>px</w:t>
      </w:r>
      <w:proofErr w:type="spellEnd"/>
      <w:r w:rsidRPr="006A00DB">
        <w:rPr>
          <w:lang w:val="es-CR"/>
        </w:rPr>
        <w:t xml:space="preserve"> o más y además está en posición horizontal (</w:t>
      </w:r>
      <w:proofErr w:type="spellStart"/>
      <w:r w:rsidRPr="006A00DB">
        <w:rPr>
          <w:lang w:val="es-CR"/>
        </w:rPr>
        <w:t>landscape</w:t>
      </w:r>
      <w:proofErr w:type="spellEnd"/>
      <w:r w:rsidRPr="006A00DB">
        <w:rPr>
          <w:lang w:val="es-CR"/>
        </w:rPr>
        <w:t>), el elemento aside se muestra en la página.</w:t>
      </w:r>
    </w:p>
    <w:p w14:paraId="53EA0658" w14:textId="77777777" w:rsidR="006A00DB" w:rsidRPr="006A00DB" w:rsidRDefault="006A00DB" w:rsidP="006A00DB">
      <w:pPr>
        <w:rPr>
          <w:lang w:val="es-CR"/>
        </w:rPr>
      </w:pPr>
      <w:r w:rsidRPr="006A00DB">
        <w:rPr>
          <w:lang w:val="es-CR"/>
        </w:rPr>
        <w:t>C. Cuando el usuario decide imprimir la página, se ocultan el menú de navegación, el pie de página y los anuncios para que la impresión sea más limpia y ocupe menos espacio.</w:t>
      </w:r>
    </w:p>
    <w:p w14:paraId="488D5F6B" w14:textId="77777777" w:rsidR="00030739" w:rsidRPr="006A00DB" w:rsidRDefault="00030739">
      <w:pPr>
        <w:rPr>
          <w:lang w:val="es-CR"/>
        </w:rPr>
      </w:pPr>
    </w:p>
    <w:sectPr w:rsidR="00030739" w:rsidRPr="006A00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DB"/>
    <w:rsid w:val="00030739"/>
    <w:rsid w:val="00331F9B"/>
    <w:rsid w:val="00690863"/>
    <w:rsid w:val="006A00DB"/>
    <w:rsid w:val="00732A71"/>
    <w:rsid w:val="008A7071"/>
    <w:rsid w:val="00CA0275"/>
    <w:rsid w:val="00DF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950676"/>
  <w15:chartTrackingRefBased/>
  <w15:docId w15:val="{E8731922-3C11-4AA7-B18B-13A4D1F9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2026-06-16T17:41:00Z</dcterms:created>
  <dcterms:modified xsi:type="dcterms:W3CDTF">2026-06-16T17:42:00Z</dcterms:modified>
</cp:coreProperties>
</file>