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7911" w14:textId="77777777" w:rsidR="00390F69" w:rsidRPr="00390F69" w:rsidRDefault="00390F69" w:rsidP="00390F69">
      <w:pPr>
        <w:rPr>
          <w:b/>
          <w:bCs/>
          <w:lang w:val="es-CR"/>
        </w:rPr>
      </w:pPr>
      <w:r w:rsidRPr="00390F69">
        <w:rPr>
          <w:b/>
          <w:bCs/>
          <w:lang w:val="es-CR"/>
        </w:rPr>
        <w:t>Actividad 5</w:t>
      </w:r>
    </w:p>
    <w:p w14:paraId="27005EEA" w14:textId="77777777" w:rsidR="00390F69" w:rsidRPr="00390F69" w:rsidRDefault="00390F69" w:rsidP="00390F69">
      <w:pPr>
        <w:rPr>
          <w:lang w:val="es-CR"/>
        </w:rPr>
      </w:pPr>
      <w:r w:rsidRPr="00390F69">
        <w:rPr>
          <w:lang w:val="es-CR"/>
        </w:rPr>
        <w:t xml:space="preserve">Para convertir el código a Mobile-First, la configuración base debe ser la de los dispositivos móviles. Por lo tanto, inicialmente la sección de productos se mostrará en una sola columna con una separación de 16 </w:t>
      </w:r>
      <w:proofErr w:type="spellStart"/>
      <w:r w:rsidRPr="00390F69">
        <w:rPr>
          <w:lang w:val="es-CR"/>
        </w:rPr>
        <w:t>px</w:t>
      </w:r>
      <w:proofErr w:type="spellEnd"/>
      <w:r w:rsidRPr="00390F69">
        <w:rPr>
          <w:lang w:val="es-CR"/>
        </w:rPr>
        <w:t xml:space="preserve"> entre elementos. Luego, cuando la pantalla alcance 600 </w:t>
      </w:r>
      <w:proofErr w:type="spellStart"/>
      <w:r w:rsidRPr="00390F69">
        <w:rPr>
          <w:lang w:val="es-CR"/>
        </w:rPr>
        <w:t>px</w:t>
      </w:r>
      <w:proofErr w:type="spellEnd"/>
      <w:r w:rsidRPr="00390F69">
        <w:rPr>
          <w:lang w:val="es-CR"/>
        </w:rPr>
        <w:t xml:space="preserve"> o más, la distribución cambiará a dos columnas. Finalmente, cuando la pantalla llegue a 1024 </w:t>
      </w:r>
      <w:proofErr w:type="spellStart"/>
      <w:r w:rsidRPr="00390F69">
        <w:rPr>
          <w:lang w:val="es-CR"/>
        </w:rPr>
        <w:t>px</w:t>
      </w:r>
      <w:proofErr w:type="spellEnd"/>
      <w:r w:rsidRPr="00390F69">
        <w:rPr>
          <w:lang w:val="es-CR"/>
        </w:rPr>
        <w:t xml:space="preserve"> o más, la cuadrícula se ampliará a cuatro columnas y la separación entre los elementos aumentará a 32 </w:t>
      </w:r>
      <w:proofErr w:type="spellStart"/>
      <w:r w:rsidRPr="00390F69">
        <w:rPr>
          <w:lang w:val="es-CR"/>
        </w:rPr>
        <w:t>px</w:t>
      </w:r>
      <w:proofErr w:type="spellEnd"/>
      <w:r w:rsidRPr="00390F69">
        <w:rPr>
          <w:lang w:val="es-CR"/>
        </w:rPr>
        <w:t>. De esta forma, primero se diseña para móviles y luego se agregan mejoras para pantallas más grandes.</w:t>
      </w:r>
    </w:p>
    <w:p w14:paraId="747A3CC3" w14:textId="77777777" w:rsidR="00030739" w:rsidRPr="00390F69" w:rsidRDefault="00030739">
      <w:pPr>
        <w:rPr>
          <w:lang w:val="es-CR"/>
        </w:rPr>
      </w:pPr>
    </w:p>
    <w:sectPr w:rsidR="00030739" w:rsidRPr="00390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69"/>
    <w:rsid w:val="00030739"/>
    <w:rsid w:val="00331F9B"/>
    <w:rsid w:val="00390F69"/>
    <w:rsid w:val="00690863"/>
    <w:rsid w:val="00732A71"/>
    <w:rsid w:val="00744734"/>
    <w:rsid w:val="008A7071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615E6"/>
  <w15:chartTrackingRefBased/>
  <w15:docId w15:val="{2C4BE76F-CF18-43D0-8C66-63616055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2026-06-16T17:42:00Z</dcterms:created>
  <dcterms:modified xsi:type="dcterms:W3CDTF">2026-06-16T17:42:00Z</dcterms:modified>
</cp:coreProperties>
</file>