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D8" w:rsidRDefault="00FB33D8" w:rsidP="00FB33D8">
      <w:pPr>
        <w:pStyle w:val="2"/>
        <w:keepNext w:val="0"/>
        <w:widowControl w:val="0"/>
        <w:numPr>
          <w:ilvl w:val="1"/>
          <w:numId w:val="1"/>
        </w:numPr>
        <w:tabs>
          <w:tab w:val="left" w:pos="709"/>
        </w:tabs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 w:val="0"/>
          <w:i w:val="0"/>
        </w:rPr>
      </w:pPr>
      <w:bookmarkStart w:id="0" w:name="_Toc327093951"/>
      <w:r>
        <w:rPr>
          <w:rFonts w:ascii="Times New Roman" w:hAnsi="Times New Roman" w:cs="Times New Roman"/>
          <w:b w:val="0"/>
          <w:i w:val="0"/>
        </w:rPr>
        <w:t xml:space="preserve">Оценка затрат на разработку </w:t>
      </w:r>
      <w:proofErr w:type="gramStart"/>
      <w:r>
        <w:rPr>
          <w:rFonts w:ascii="Times New Roman" w:hAnsi="Times New Roman" w:cs="Times New Roman"/>
          <w:b w:val="0"/>
          <w:i w:val="0"/>
        </w:rPr>
        <w:t>ПО</w:t>
      </w:r>
      <w:bookmarkEnd w:id="0"/>
      <w:proofErr w:type="gramEnd"/>
    </w:p>
    <w:p w:rsidR="00FB33D8" w:rsidRDefault="00FB33D8" w:rsidP="00FB33D8">
      <w:pPr>
        <w:pStyle w:val="a4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szCs w:val="28"/>
        </w:rPr>
      </w:pP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затрат труда на разработку программного продукта.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проведения работ: c 22.04.20</w:t>
      </w:r>
      <w:r>
        <w:rPr>
          <w:rFonts w:ascii="Times New Roman" w:hAnsi="Times New Roman" w:cs="Times New Roman"/>
          <w:sz w:val="28"/>
          <w:szCs w:val="28"/>
        </w:rPr>
        <w:t>___ по 17.05.20___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проводились в одну смену продолжительностью 6 часов.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общую трудоемкость работ.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систему коэффициентов для отдельных этапов разработки.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условного количества операторов программы, трудоемкости (формула 1):</w:t>
      </w:r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634"/>
        <w:gridCol w:w="566"/>
      </w:tblGrid>
      <w:tr w:rsidR="00FB33D8" w:rsidTr="00FB33D8">
        <w:trPr>
          <w:jc w:val="center"/>
        </w:trPr>
        <w:tc>
          <w:tcPr>
            <w:tcW w:w="9639" w:type="dxa"/>
            <w:hideMark/>
          </w:tcPr>
          <w:p w:rsidR="00FB33D8" w:rsidRDefault="00FB33D8">
            <w:pPr>
              <w:spacing w:after="16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Та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Тотл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66" w:type="dxa"/>
            <w:hideMark/>
          </w:tcPr>
          <w:p w:rsidR="00FB33D8" w:rsidRDefault="00FB33D8">
            <w:pPr>
              <w:spacing w:after="160" w:line="240" w:lineRule="auto"/>
              <w:ind w:left="-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общие затраты труда;</w:t>
      </w:r>
    </w:p>
    <w:p w:rsidR="00FB33D8" w:rsidRDefault="00FB33D8" w:rsidP="00FB33D8">
      <w:pPr>
        <w:spacing w:after="16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– затраты труда на описание задачи;</w:t>
      </w:r>
    </w:p>
    <w:p w:rsidR="00FB33D8" w:rsidRDefault="00FB33D8" w:rsidP="00FB33D8">
      <w:pPr>
        <w:spacing w:after="16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затраты на исследование предметной области;</w:t>
      </w:r>
    </w:p>
    <w:p w:rsidR="00FB33D8" w:rsidRDefault="00FB33D8" w:rsidP="00FB33D8">
      <w:pPr>
        <w:spacing w:after="16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– затраты на разработку блок-схем;</w:t>
      </w:r>
    </w:p>
    <w:p w:rsidR="00FB33D8" w:rsidRDefault="00FB33D8" w:rsidP="00FB33D8">
      <w:pPr>
        <w:spacing w:after="16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затраты на программирование;</w:t>
      </w:r>
    </w:p>
    <w:p w:rsidR="00FB33D8" w:rsidRDefault="00FB33D8" w:rsidP="00FB33D8">
      <w:pPr>
        <w:spacing w:after="16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Тотл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затраты на отладку;</w:t>
      </w:r>
    </w:p>
    <w:p w:rsidR="00FB33D8" w:rsidRDefault="00FB33D8" w:rsidP="00FB33D8">
      <w:pPr>
        <w:spacing w:after="16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затраты на подготовку документации.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составляющие определяем через условное число операторов – Q (формула 2):</w:t>
      </w:r>
      <w:bookmarkStart w:id="1" w:name="_GoBack"/>
      <w:bookmarkEnd w:id="1"/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634"/>
        <w:gridCol w:w="566"/>
      </w:tblGrid>
      <w:tr w:rsidR="00FB33D8" w:rsidTr="00FB33D8">
        <w:trPr>
          <w:jc w:val="center"/>
        </w:trPr>
        <w:tc>
          <w:tcPr>
            <w:tcW w:w="9639" w:type="dxa"/>
            <w:hideMark/>
          </w:tcPr>
          <w:p w:rsidR="00FB33D8" w:rsidRDefault="00FB33D8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 = q * c * (1 + p),</w:t>
            </w:r>
          </w:p>
        </w:tc>
        <w:tc>
          <w:tcPr>
            <w:tcW w:w="566" w:type="dxa"/>
            <w:hideMark/>
          </w:tcPr>
          <w:p w:rsidR="00FB33D8" w:rsidRDefault="00FB33D8">
            <w:pPr>
              <w:spacing w:after="160" w:line="240" w:lineRule="auto"/>
              <w:ind w:left="-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q = 700 – число операторов.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сложности c характеризует относительную сложность программы по отношению к так называемой типовой задаче, реализующей стандартные методы решения, сложность которой принята равной единице (величина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лежит в пределах от 1,25 до 2). Для разработанного программного продукта возьмем 1,8.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коррекции p – увеличение объема работ за счет внесения изменений в алгоритм или сайт по результатам уточнения постановок. С учетом того, что в данном случае заказчик, примерно представлял, что хочет получить, что приводило к доработкам, возьмем коэффициент = 0.5.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 условное число операторов.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 =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(1 + p) = 700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1,8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(1+ 0,5) =1890.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используем следующие коэффициенты: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увеличения затрат труда, вследствие недостаточного описания задачи, в зависимости от сложности задачи принимается от 1,2 до 1,5, в связи с тем, что данная задача, потребовала уточнения и небольших доработок, примем B = 1,4. 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квалификации разработчика k определяется в зависимости от стажа работы и составляет: для работающих до двух лет – 0,8; от двух до трех лет – 1,0; от трех до пяти лет – 1,1 – 1,2; от пяти до семи – 1,3 – 1,4; свыше семи лет – 1,5 – 1,6. Разработчик, которому было поручено это задание, имел опыт работы по специальности около 2 лет, поэтому примем k = 0,8.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общую трудоемкость.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труда на подготовку описания задачи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точно определить невозможно, так как это связано с творческим характером работы. Примем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21 чел.-ч.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труда на изучение описания задачи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учетом уточнения описания и квалификации программиста могут быть определены по формуле 3:</w:t>
      </w:r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634"/>
        <w:gridCol w:w="566"/>
      </w:tblGrid>
      <w:tr w:rsidR="00FB33D8" w:rsidTr="00FB33D8">
        <w:trPr>
          <w:jc w:val="center"/>
        </w:trPr>
        <w:tc>
          <w:tcPr>
            <w:tcW w:w="9639" w:type="dxa"/>
            <w:hideMark/>
          </w:tcPr>
          <w:p w:rsidR="00FB33D8" w:rsidRDefault="00FB33D8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Q </w:t>
            </w:r>
            <w:r>
              <w:rPr>
                <w:rFonts w:ascii="Cambria Math" w:hAnsi="Cambria Math" w:cs="Cambria Math"/>
                <w:sz w:val="28"/>
                <w:szCs w:val="28"/>
              </w:rPr>
              <w:t>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 / (75 ÷ 85) k,</w:t>
            </w:r>
          </w:p>
        </w:tc>
        <w:tc>
          <w:tcPr>
            <w:tcW w:w="566" w:type="dxa"/>
            <w:hideMark/>
          </w:tcPr>
          <w:p w:rsidR="00FB33D8" w:rsidRDefault="00FB33D8">
            <w:pPr>
              <w:spacing w:line="240" w:lineRule="auto"/>
              <w:ind w:left="-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Q   –   условное число операторов;</w:t>
      </w:r>
    </w:p>
    <w:p w:rsidR="00FB33D8" w:rsidRDefault="00FB33D8" w:rsidP="00FB33D8">
      <w:pPr>
        <w:spacing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– коэффициент увеличения затрат труда, вследствие недостаточного описания задачи.</w:t>
      </w:r>
    </w:p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1575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1,4 /75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0,8 = 23,52 чел.-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труда на разработку алгоритма решения задачи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4:</w:t>
      </w:r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634"/>
        <w:gridCol w:w="566"/>
      </w:tblGrid>
      <w:tr w:rsidR="00FB33D8" w:rsidTr="00FB33D8">
        <w:trPr>
          <w:jc w:val="center"/>
        </w:trPr>
        <w:tc>
          <w:tcPr>
            <w:tcW w:w="9639" w:type="dxa"/>
            <w:hideMark/>
          </w:tcPr>
          <w:p w:rsidR="00FB33D8" w:rsidRDefault="00FB33D8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Q / (20 ÷ 25) k,</w:t>
            </w:r>
          </w:p>
        </w:tc>
        <w:tc>
          <w:tcPr>
            <w:tcW w:w="566" w:type="dxa"/>
            <w:hideMark/>
          </w:tcPr>
          <w:p w:rsidR="00FB33D8" w:rsidRDefault="00FB33D8">
            <w:pPr>
              <w:spacing w:after="160" w:line="240" w:lineRule="auto"/>
              <w:ind w:left="-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= 1575/22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0,8 = 57,2 чел.-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труда на составление сайта по готовой блок-схеме 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определяется по формуле 5:</w:t>
      </w:r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634"/>
        <w:gridCol w:w="566"/>
      </w:tblGrid>
      <w:tr w:rsidR="00FB33D8" w:rsidTr="00FB33D8">
        <w:trPr>
          <w:jc w:val="center"/>
        </w:trPr>
        <w:tc>
          <w:tcPr>
            <w:tcW w:w="9639" w:type="dxa"/>
            <w:hideMark/>
          </w:tcPr>
          <w:p w:rsidR="00FB33D8" w:rsidRDefault="00FB33D8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Q / (20 ÷ 25) k,</w:t>
            </w:r>
          </w:p>
        </w:tc>
        <w:tc>
          <w:tcPr>
            <w:tcW w:w="566" w:type="dxa"/>
            <w:hideMark/>
          </w:tcPr>
          <w:p w:rsidR="00FB33D8" w:rsidRDefault="00FB33D8">
            <w:pPr>
              <w:spacing w:after="160" w:line="240" w:lineRule="auto"/>
              <w:ind w:left="-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</w:tr>
    </w:tbl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1575/22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0,8 = 57,2 чел.-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B33D8" w:rsidRDefault="00FB33D8" w:rsidP="00FB33D8">
      <w:p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труда на отладку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отл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рассчитывается по следующей формуле 6: </w:t>
      </w:r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634"/>
        <w:gridCol w:w="566"/>
      </w:tblGrid>
      <w:tr w:rsidR="00FB33D8" w:rsidTr="00FB33D8">
        <w:trPr>
          <w:jc w:val="center"/>
        </w:trPr>
        <w:tc>
          <w:tcPr>
            <w:tcW w:w="9639" w:type="dxa"/>
          </w:tcPr>
          <w:p w:rsidR="00FB33D8" w:rsidRDefault="00FB33D8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 Q / (4 ÷ 5) k,</w:t>
            </w:r>
          </w:p>
          <w:p w:rsidR="00FB33D8" w:rsidRDefault="00FB33D8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  <w:hideMark/>
          </w:tcPr>
          <w:p w:rsidR="00FB33D8" w:rsidRDefault="00FB33D8">
            <w:pPr>
              <w:spacing w:after="160" w:line="240" w:lineRule="auto"/>
              <w:ind w:left="-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(6)</w:t>
            </w:r>
          </w:p>
        </w:tc>
      </w:tr>
    </w:tbl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Тотл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1575/5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0,8 = 252 чел.-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труда на подготовку документации по задаче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определяются по формуле 7:</w:t>
      </w:r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634"/>
        <w:gridCol w:w="566"/>
      </w:tblGrid>
      <w:tr w:rsidR="00FB33D8" w:rsidTr="00FB33D8">
        <w:trPr>
          <w:jc w:val="center"/>
        </w:trPr>
        <w:tc>
          <w:tcPr>
            <w:tcW w:w="9639" w:type="dxa"/>
            <w:hideMark/>
          </w:tcPr>
          <w:p w:rsidR="00FB33D8" w:rsidRDefault="00FB33D8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66" w:type="dxa"/>
            <w:hideMark/>
          </w:tcPr>
          <w:p w:rsidR="00FB33D8" w:rsidRDefault="00FB33D8">
            <w:pPr>
              <w:spacing w:after="160" w:line="240" w:lineRule="auto"/>
              <w:ind w:left="-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</w:tr>
    </w:tbl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затраты труда на подготовку материалов в рукописи.</w:t>
      </w: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труда на подготовку материалов в рукописи формула 8:</w:t>
      </w:r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634"/>
        <w:gridCol w:w="566"/>
      </w:tblGrid>
      <w:tr w:rsidR="00FB33D8" w:rsidTr="00FB33D8">
        <w:trPr>
          <w:jc w:val="center"/>
        </w:trPr>
        <w:tc>
          <w:tcPr>
            <w:tcW w:w="9639" w:type="dxa"/>
            <w:hideMark/>
          </w:tcPr>
          <w:p w:rsidR="00FB33D8" w:rsidRDefault="00FB33D8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Q / (15 ÷ 20) k,</w:t>
            </w:r>
          </w:p>
        </w:tc>
        <w:tc>
          <w:tcPr>
            <w:tcW w:w="566" w:type="dxa"/>
            <w:hideMark/>
          </w:tcPr>
          <w:p w:rsidR="00FB33D8" w:rsidRDefault="00FB33D8">
            <w:pPr>
              <w:spacing w:after="160" w:line="240" w:lineRule="auto"/>
              <w:ind w:left="-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</w:tr>
    </w:tbl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Тдр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1575/20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0,8 = 63 чел.-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затраты труда на редактирование, печать и оформление документации (формула 9):</w:t>
      </w:r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634"/>
        <w:gridCol w:w="566"/>
      </w:tblGrid>
      <w:tr w:rsidR="00FB33D8" w:rsidTr="00FB33D8">
        <w:trPr>
          <w:jc w:val="center"/>
        </w:trPr>
        <w:tc>
          <w:tcPr>
            <w:tcW w:w="9639" w:type="dxa"/>
            <w:hideMark/>
          </w:tcPr>
          <w:p w:rsidR="00FB33D8" w:rsidRDefault="00FB33D8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0,75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66" w:type="dxa"/>
            <w:hideMark/>
          </w:tcPr>
          <w:p w:rsidR="00FB33D8" w:rsidRDefault="00FB33D8">
            <w:pPr>
              <w:spacing w:after="160" w:line="240" w:lineRule="auto"/>
              <w:ind w:left="-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</w:tr>
    </w:tbl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0,75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 xml:space="preserve"> 63= 47,25 чел.-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63+ 47,25 = 110,25 чел.-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уровня языка программирования трудоемкость разработки программы может быть скорректирована следующим образом (формула 10):</w:t>
      </w:r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493"/>
        <w:gridCol w:w="707"/>
      </w:tblGrid>
      <w:tr w:rsidR="00FB33D8" w:rsidTr="00FB33D8">
        <w:trPr>
          <w:jc w:val="center"/>
        </w:trPr>
        <w:tc>
          <w:tcPr>
            <w:tcW w:w="9498" w:type="dxa"/>
            <w:hideMark/>
          </w:tcPr>
          <w:p w:rsidR="00FB33D8" w:rsidRDefault="00FB33D8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Е</w:t>
            </w:r>
            <w:r>
              <w:rPr>
                <w:rFonts w:ascii="Cambria Math" w:hAnsi="Cambria Math" w:cs="Cambria Math"/>
                <w:sz w:val="28"/>
                <w:szCs w:val="28"/>
              </w:rPr>
              <w:t>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kкор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</w:p>
        </w:tc>
        <w:tc>
          <w:tcPr>
            <w:tcW w:w="707" w:type="dxa"/>
            <w:hideMark/>
          </w:tcPr>
          <w:p w:rsidR="00FB33D8" w:rsidRDefault="00FB33D8">
            <w:pPr>
              <w:spacing w:after="160" w:line="240" w:lineRule="auto"/>
              <w:ind w:left="-1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</w:tr>
    </w:tbl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коэффициент изменения трудоемкости, берётся из следующей таблицы 4.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 – Изменение трудоемкости в зависимости уровня языка программирования</w:t>
      </w:r>
    </w:p>
    <w:tbl>
      <w:tblPr>
        <w:tblW w:w="9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4395"/>
        <w:gridCol w:w="2836"/>
      </w:tblGrid>
      <w:tr w:rsidR="00FB33D8" w:rsidTr="00FB33D8">
        <w:trPr>
          <w:trHeight w:val="2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языкапрограммирования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 языка программирования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изменениятрудоемкости</w:t>
            </w:r>
            <w:proofErr w:type="spellEnd"/>
          </w:p>
        </w:tc>
      </w:tr>
      <w:tr w:rsidR="00FB33D8" w:rsidTr="00FB33D8">
        <w:trPr>
          <w:trHeight w:val="2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Покомандный автокод-Ассемблер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33D8" w:rsidTr="00FB33D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Макроассемблер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</w:tr>
      <w:tr w:rsidR="00FB33D8" w:rsidTr="00FB33D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Алгоритмические языки Высокого уровня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 – 0,9</w:t>
            </w:r>
          </w:p>
        </w:tc>
      </w:tr>
    </w:tbl>
    <w:p w:rsidR="00FB33D8" w:rsidRDefault="00FB33D8" w:rsidP="00FB3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13</w:t>
      </w:r>
    </w:p>
    <w:tbl>
      <w:tblPr>
        <w:tblW w:w="9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4395"/>
        <w:gridCol w:w="2836"/>
      </w:tblGrid>
      <w:tr w:rsidR="00FB33D8" w:rsidTr="00FB33D8">
        <w:trPr>
          <w:trHeight w:val="8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Алгоритмические языки Сверхвысокого уровня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 – 0,8</w:t>
            </w:r>
          </w:p>
        </w:tc>
      </w:tr>
    </w:tbl>
    <w:p w:rsidR="00FB33D8" w:rsidRDefault="00FB33D8" w:rsidP="00FB3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выбран язык JS,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которые относятся к алгоритмическим языкам высокого уровня, с учетом этого примем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0,8.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Подставив все полученные данные в формулу 11, получим полную трудоемкость разработки:</w:t>
      </w:r>
    </w:p>
    <w:p w:rsidR="00FB33D8" w:rsidRDefault="00FB33D8" w:rsidP="00FB33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= 21+23,52+57,2 +57,2 +252 +110,25 = 521,17 чел.-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корректировки из формулы 11 получим итоговую трудоемкость разработки:</w:t>
      </w:r>
    </w:p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521,17 * 0,8 = 416,936 чел.-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3cqmetx"/>
      <w:bookmarkEnd w:id="2"/>
      <w:r>
        <w:rPr>
          <w:rFonts w:ascii="Times New Roman" w:hAnsi="Times New Roman" w:cs="Times New Roman"/>
          <w:sz w:val="28"/>
          <w:szCs w:val="28"/>
        </w:rPr>
        <w:t>Определение численности исполнителей (формула 11):</w:t>
      </w:r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493"/>
        <w:gridCol w:w="707"/>
      </w:tblGrid>
      <w:tr w:rsidR="00FB33D8" w:rsidTr="00FB33D8">
        <w:trPr>
          <w:jc w:val="center"/>
        </w:trPr>
        <w:tc>
          <w:tcPr>
            <w:tcW w:w="9498" w:type="dxa"/>
            <w:hideMark/>
          </w:tcPr>
          <w:p w:rsidR="00FB33D8" w:rsidRDefault="00FB33D8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 = Т / Ф,</w:t>
            </w:r>
          </w:p>
        </w:tc>
        <w:tc>
          <w:tcPr>
            <w:tcW w:w="707" w:type="dxa"/>
            <w:hideMark/>
          </w:tcPr>
          <w:p w:rsidR="00FB33D8" w:rsidRDefault="00FB33D8">
            <w:pPr>
              <w:spacing w:after="160" w:line="240" w:lineRule="auto"/>
              <w:ind w:left="-1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</w:tr>
    </w:tbl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Ч – численность исполнителей;</w:t>
      </w:r>
    </w:p>
    <w:p w:rsidR="00FB33D8" w:rsidRDefault="00FB33D8" w:rsidP="00FB33D8">
      <w:pPr>
        <w:spacing w:after="16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 – действительный фонд времени специалиста в период разработки.</w:t>
      </w: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 = 240 часов найдем численность исполнителей:</w:t>
      </w:r>
    </w:p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 = 416,936 / 240 = 1 – исполнитель.</w:t>
      </w: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исполнителей входят: программист.</w:t>
      </w: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трудоемкости по стадиям разработки приведено в таблице 5.</w:t>
      </w: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before="4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14 – Распределение трудоемкости по стадиям разработки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68"/>
        <w:gridCol w:w="2250"/>
        <w:gridCol w:w="1893"/>
        <w:gridCol w:w="1893"/>
        <w:gridCol w:w="1767"/>
      </w:tblGrid>
      <w:tr w:rsidR="00FB33D8" w:rsidTr="00FB33D8">
        <w:trPr>
          <w:jc w:val="center"/>
        </w:trPr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разработки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Трудоёмкость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Трудоёмкость работ исполнителя,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</w:tr>
      <w:tr w:rsidR="00FB33D8" w:rsidTr="00FB33D8">
        <w:trPr>
          <w:jc w:val="center"/>
        </w:trPr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1.Предпроектное обследование.</w:t>
            </w:r>
          </w:p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2.Разработка ТЗ.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15,25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15,25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FB33D8" w:rsidTr="00FB33D8">
        <w:trPr>
          <w:jc w:val="center"/>
        </w:trPr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Уточнение структуры и формы представления входных и выходных данных. Разработка алгоритма решения задачи. Разработка структуры программы. Разработка пояснительной записки. 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76,45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76,45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FB33D8" w:rsidTr="00FB33D8">
        <w:trPr>
          <w:jc w:val="center"/>
        </w:trPr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проект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программы. Разработка дизайна программы.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88,8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88,8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</w:tbl>
    <w:p w:rsidR="00FB33D8" w:rsidRDefault="00FB33D8" w:rsidP="00FB33D8">
      <w:pPr>
        <w:spacing w:before="4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14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50"/>
        <w:gridCol w:w="2360"/>
        <w:gridCol w:w="1732"/>
        <w:gridCol w:w="1753"/>
        <w:gridCol w:w="1776"/>
      </w:tblGrid>
      <w:tr w:rsidR="00FB33D8" w:rsidTr="00FB33D8">
        <w:trPr>
          <w:jc w:val="center"/>
        </w:trPr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Документация и внедрение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программной документации. Подготовка и передача программы и программной документации для сопровождения и изготовления, оформления и утверждения акта о передаче программы на сопровождение. Передача программного продукта заказчику.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59,5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59,5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FB33D8" w:rsidTr="00FB33D8">
        <w:trPr>
          <w:jc w:val="center"/>
        </w:trPr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3D8" w:rsidRDefault="00FB33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B33D8" w:rsidRDefault="00FB33D8" w:rsidP="00FB33D8">
      <w:p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разработку.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заработная плата разработчика рассчитывается по формуле 12:</w:t>
      </w:r>
    </w:p>
    <w:tbl>
      <w:tblPr>
        <w:tblW w:w="10200" w:type="dxa"/>
        <w:jc w:val="center"/>
        <w:tblLayout w:type="fixed"/>
        <w:tblLook w:val="0400" w:firstRow="0" w:lastRow="0" w:firstColumn="0" w:lastColumn="0" w:noHBand="0" w:noVBand="1"/>
      </w:tblPr>
      <w:tblGrid>
        <w:gridCol w:w="9493"/>
        <w:gridCol w:w="707"/>
      </w:tblGrid>
      <w:tr w:rsidR="00FB33D8" w:rsidTr="00FB33D8">
        <w:trPr>
          <w:jc w:val="center"/>
        </w:trPr>
        <w:tc>
          <w:tcPr>
            <w:tcW w:w="9498" w:type="dxa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Зпосн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1,15,</w:t>
            </w:r>
          </w:p>
        </w:tc>
        <w:tc>
          <w:tcPr>
            <w:tcW w:w="707" w:type="dxa"/>
            <w:hideMark/>
          </w:tcPr>
          <w:p w:rsidR="00FB33D8" w:rsidRDefault="00FB33D8">
            <w:pPr>
              <w:spacing w:line="240" w:lineRule="auto"/>
              <w:ind w:left="-1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(12)</w:t>
            </w:r>
          </w:p>
        </w:tc>
      </w:tr>
    </w:tbl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оклад;</w:t>
      </w:r>
    </w:p>
    <w:p w:rsidR="00FB33D8" w:rsidRDefault="00FB33D8" w:rsidP="00FB33D8">
      <w:pPr>
        <w:spacing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1,15 – алтайский коэффициент.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Оклад программиста равен: 50 000 рублей.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основная месячная заработная плата составит:  </w:t>
      </w:r>
    </w:p>
    <w:p w:rsidR="00FB33D8" w:rsidRDefault="00FB33D8" w:rsidP="00FB33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50 000 * 1,15 = 57 500 рублей.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разработчика за весь период разработки программного продукта составит:   </w:t>
      </w:r>
    </w:p>
    <w:p w:rsidR="00FB33D8" w:rsidRDefault="00FB33D8" w:rsidP="00FB33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57 500 руб. * 240 ч. / (6ч. * 23 дня) =  100 000 руб.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Дополнительная заработная плата рассчитывается в процентах от основной заработной платы и составляет 12%.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разработчика за весь период разработки программного продукта составит: </w:t>
      </w:r>
    </w:p>
    <w:p w:rsidR="00FB33D8" w:rsidRDefault="00FB33D8" w:rsidP="00FB33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100 000 * 0,12 = 12 000 руб.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Суммарная заработная плата разработчика за весь период разработки программного продукта составит: </w:t>
      </w:r>
    </w:p>
    <w:p w:rsidR="00FB33D8" w:rsidRDefault="00FB33D8" w:rsidP="00FB33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100 000 руб. + 12 000 руб. = 112 000 руб.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и эксплуатация вычислительного комплекса считаются следующим образом (формула 13): </w:t>
      </w:r>
    </w:p>
    <w:tbl>
      <w:tblPr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9493"/>
        <w:gridCol w:w="707"/>
      </w:tblGrid>
      <w:tr w:rsidR="00FB33D8" w:rsidTr="00FB33D8">
        <w:trPr>
          <w:jc w:val="center"/>
        </w:trPr>
        <w:tc>
          <w:tcPr>
            <w:tcW w:w="9498" w:type="dxa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См-ч 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Число_часов_отладки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07" w:type="dxa"/>
            <w:hideMark/>
          </w:tcPr>
          <w:p w:rsidR="00FB33D8" w:rsidRDefault="00FB33D8">
            <w:pPr>
              <w:spacing w:line="240" w:lineRule="auto"/>
              <w:ind w:left="-1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(13)</w:t>
            </w:r>
          </w:p>
        </w:tc>
      </w:tr>
    </w:tbl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См-ч – стоимость машино-часа.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часов отладки составляет: </w:t>
      </w:r>
    </w:p>
    <w:p w:rsidR="00FB33D8" w:rsidRDefault="00FB33D8" w:rsidP="00FB33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Тотл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(57,2ч.+ 252ч.) * 0,7= 216,44ч. 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машино-часа рассчитывается, как сумма составляющих:</w:t>
      </w: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9077"/>
        <w:gridCol w:w="1393"/>
      </w:tblGrid>
      <w:tr w:rsidR="00FB33D8" w:rsidTr="00FB33D8">
        <w:tc>
          <w:tcPr>
            <w:tcW w:w="9072" w:type="dxa"/>
            <w:hideMark/>
          </w:tcPr>
          <w:p w:rsidR="00FB33D8" w:rsidRDefault="00FB33D8">
            <w:pPr>
              <w:spacing w:line="240" w:lineRule="auto"/>
              <w:ind w:right="-1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Ст-ть_эл_эн_в_год+Аморт_в_год+Затраты_на_ремонт_за_год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Фвт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392" w:type="dxa"/>
            <w:hideMark/>
          </w:tcPr>
          <w:p w:rsidR="00FB33D8" w:rsidRDefault="00FB33D8">
            <w:pPr>
              <w:spacing w:line="240" w:lineRule="auto"/>
              <w:ind w:left="-247" w:right="43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(14)</w:t>
            </w:r>
          </w:p>
        </w:tc>
      </w:tr>
    </w:tbl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Фвт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действительный фонд времени работы вычислительного комплекса.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1 КВТ/час электроэнергии составляет, например, 4,09 руб.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компьютер потребляет, например, 350 ВТ в час.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месяц расходы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электроэнергию, потребляемую одной ЭВМ составляет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33D8" w:rsidRDefault="00FB33D8" w:rsidP="00FB33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ч. * 23 дня * 0,35 КВТ/ч. * 4,09 руб. * ч. / КВТ = 197,55 руб.</w:t>
      </w:r>
    </w:p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Действительный фонд времени работы вычислительного комплекса рассчитываем по следующей формуле 15:</w:t>
      </w:r>
    </w:p>
    <w:tbl>
      <w:tblPr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9493"/>
        <w:gridCol w:w="707"/>
      </w:tblGrid>
      <w:tr w:rsidR="00FB33D8" w:rsidTr="00FB33D8">
        <w:trPr>
          <w:jc w:val="center"/>
        </w:trPr>
        <w:tc>
          <w:tcPr>
            <w:tcW w:w="9498" w:type="dxa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Фвт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Фном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Фпроф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07" w:type="dxa"/>
            <w:hideMark/>
          </w:tcPr>
          <w:p w:rsidR="00FB33D8" w:rsidRDefault="00FB33D8">
            <w:pPr>
              <w:spacing w:line="240" w:lineRule="auto"/>
              <w:ind w:left="-1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</w:tr>
    </w:tbl>
    <w:p w:rsidR="00FB33D8" w:rsidRDefault="00FB33D8" w:rsidP="00FB33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 </w:t>
      </w:r>
      <w:proofErr w:type="spellStart"/>
      <w:r>
        <w:rPr>
          <w:rFonts w:ascii="Times New Roman" w:hAnsi="Times New Roman" w:cs="Times New Roman"/>
          <w:sz w:val="28"/>
          <w:szCs w:val="28"/>
        </w:rPr>
        <w:t>Фном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номинальный фонд времени работы вычислительного комплекса;</w:t>
      </w:r>
    </w:p>
    <w:p w:rsidR="00FB33D8" w:rsidRDefault="00FB33D8" w:rsidP="00FB33D8">
      <w:pPr>
        <w:spacing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Фпроф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годовые затраты времени на профилактические работы (принимаются 15%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Фном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Фпроф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240 час. * 0,15 = 36 час.</w:t>
      </w:r>
    </w:p>
    <w:p w:rsidR="00FB33D8" w:rsidRDefault="00FB33D8" w:rsidP="00FB33D8">
      <w:pPr>
        <w:spacing w:after="16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Фвт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240 час. – 36 час. = 204 часа.</w:t>
      </w: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машино-часа составляет:</w:t>
      </w:r>
    </w:p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(120,56 руб. + 1250 руб. + 400 руб.) / 204 часа = 8,68 руб.</w:t>
      </w: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эксплуатация вычислительного комплекса составляет:</w:t>
      </w:r>
    </w:p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240ч. * 8,68 руб. = 2083,2 руб.</w:t>
      </w:r>
    </w:p>
    <w:p w:rsidR="00FB33D8" w:rsidRDefault="00FB33D8" w:rsidP="00FB3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Накладные расходы рассчитываются, как 60% от расходов на содержание и эксплуатацию вычислительного комплекса: </w:t>
      </w:r>
    </w:p>
    <w:p w:rsidR="00FB33D8" w:rsidRDefault="00FB33D8" w:rsidP="00FB33D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2083,2 руб.*0,6 = 1249,92 руб.</w:t>
      </w:r>
    </w:p>
    <w:p w:rsidR="00FB33D8" w:rsidRDefault="00FB33D8" w:rsidP="00FB33D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 затрат на разработку программного продукта приведена в таблице 6.</w:t>
      </w:r>
    </w:p>
    <w:p w:rsidR="00FB33D8" w:rsidRDefault="00FB33D8" w:rsidP="00FB33D8">
      <w:pPr>
        <w:spacing w:before="4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Смета затрат на разработку программного продукта</w:t>
      </w:r>
    </w:p>
    <w:tbl>
      <w:tblPr>
        <w:tblW w:w="92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378"/>
        <w:gridCol w:w="2260"/>
      </w:tblGrid>
      <w:tr w:rsidR="00FB33D8" w:rsidTr="00FB33D8">
        <w:trPr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статьи расходов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FB33D8" w:rsidTr="00FB33D8">
        <w:trPr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производственного персонала.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</w:tr>
      <w:tr w:rsidR="00FB33D8" w:rsidTr="00FB33D8">
        <w:trPr>
          <w:trHeight w:val="360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производственного персонала.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12 000</w:t>
            </w:r>
          </w:p>
        </w:tc>
      </w:tr>
      <w:tr w:rsidR="00FB33D8" w:rsidTr="00FB33D8">
        <w:trPr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расходы.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1249,92</w:t>
            </w:r>
          </w:p>
        </w:tc>
      </w:tr>
      <w:tr w:rsidR="00FB33D8" w:rsidTr="00FB33D8">
        <w:trPr>
          <w:jc w:val="center"/>
        </w:trPr>
        <w:tc>
          <w:tcPr>
            <w:tcW w:w="6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3D8" w:rsidRDefault="00FB33D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3D8" w:rsidRDefault="00FB33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113 249,92</w:t>
            </w:r>
          </w:p>
        </w:tc>
      </w:tr>
    </w:tbl>
    <w:p w:rsidR="00FB33D8" w:rsidRDefault="00FB33D8" w:rsidP="00FB33D8">
      <w:p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33D8" w:rsidRDefault="00FB33D8" w:rsidP="00FB3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экономических расчетов были получены следующие результаты:</w:t>
      </w:r>
    </w:p>
    <w:p w:rsidR="00FB33D8" w:rsidRDefault="00FB33D8" w:rsidP="00FB33D8">
      <w:pPr>
        <w:pStyle w:val="a4"/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определена трудоемкость разработки программного продукта, которая составила 416,936 чел</w:t>
      </w:r>
      <w:proofErr w:type="gramStart"/>
      <w:r>
        <w:rPr>
          <w:rFonts w:ascii="Times New Roman" w:hAnsi="Times New Roman"/>
          <w:szCs w:val="28"/>
        </w:rPr>
        <w:t>.-</w:t>
      </w:r>
      <w:proofErr w:type="gramEnd"/>
      <w:r>
        <w:rPr>
          <w:rFonts w:ascii="Times New Roman" w:hAnsi="Times New Roman"/>
          <w:szCs w:val="28"/>
        </w:rPr>
        <w:t>час;</w:t>
      </w:r>
    </w:p>
    <w:p w:rsidR="00FB33D8" w:rsidRDefault="00FB33D8" w:rsidP="00FB33D8">
      <w:pPr>
        <w:pStyle w:val="a4"/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рассчитано, что для выполнения данного сайта в планируемый период потребуется один человек: программист;</w:t>
      </w:r>
    </w:p>
    <w:p w:rsidR="00FB33D8" w:rsidRDefault="00FB33D8" w:rsidP="00FB33D8">
      <w:pPr>
        <w:pStyle w:val="a4"/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рассчитана смета затрат на разработку программного продукта, итоговая сумма которой 113 249,92 руб.</w:t>
      </w:r>
    </w:p>
    <w:p w:rsidR="00B6765D" w:rsidRDefault="00B6765D"/>
    <w:sectPr w:rsidR="00B6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C0923"/>
    <w:multiLevelType w:val="multilevel"/>
    <w:tmpl w:val="B06C9B4E"/>
    <w:lvl w:ilvl="0">
      <w:start w:val="2"/>
      <w:numFmt w:val="decimal"/>
      <w:lvlText w:val="%1."/>
      <w:lvlJc w:val="left"/>
      <w:pPr>
        <w:ind w:left="480" w:hanging="480"/>
      </w:pPr>
      <w:rPr>
        <w:rFonts w:ascii="Arial" w:hAnsi="Arial" w:cs="Arial" w:hint="default"/>
        <w:b/>
        <w:i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i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Arial" w:hAnsi="Arial" w:cs="Arial" w:hint="default"/>
        <w:b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hAnsi="Arial" w:cs="Arial" w:hint="default"/>
        <w:b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Arial" w:hAnsi="Arial" w:cs="Arial" w:hint="default"/>
        <w:b/>
        <w:i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ascii="Arial" w:hAnsi="Arial" w:cs="Arial"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Arial" w:hAnsi="Arial" w:cs="Arial"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ascii="Arial" w:hAnsi="Arial" w:cs="Arial" w:hint="default"/>
        <w:b/>
        <w:i/>
      </w:rPr>
    </w:lvl>
  </w:abstractNum>
  <w:abstractNum w:abstractNumId="1">
    <w:nsid w:val="7034491F"/>
    <w:multiLevelType w:val="hybridMultilevel"/>
    <w:tmpl w:val="8A6CBA68"/>
    <w:lvl w:ilvl="0" w:tplc="E16ED47E">
      <w:start w:val="1"/>
      <w:numFmt w:val="bullet"/>
      <w:suff w:val="space"/>
      <w:lvlText w:val=""/>
      <w:lvlJc w:val="left"/>
      <w:pPr>
        <w:ind w:left="2433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B5"/>
    <w:rsid w:val="00635CB5"/>
    <w:rsid w:val="00B6765D"/>
    <w:rsid w:val="00F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3D8"/>
    <w:rPr>
      <w:rFonts w:asciiTheme="minorHAnsi" w:hAnsiTheme="minorHAnsi" w:cstheme="minorBidi"/>
      <w:sz w:val="22"/>
    </w:rPr>
  </w:style>
  <w:style w:type="paragraph" w:styleId="2">
    <w:name w:val="heading 2"/>
    <w:basedOn w:val="a"/>
    <w:next w:val="a"/>
    <w:link w:val="20"/>
    <w:semiHidden/>
    <w:unhideWhenUsed/>
    <w:qFormat/>
    <w:rsid w:val="00FB33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B33D8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a3">
    <w:name w:val="Абзац списка Знак"/>
    <w:basedOn w:val="a0"/>
    <w:link w:val="a4"/>
    <w:uiPriority w:val="34"/>
    <w:locked/>
    <w:rsid w:val="00FB33D8"/>
    <w:rPr>
      <w:rFonts w:ascii="Calibri" w:eastAsia="Times New Roman" w:hAnsi="Calibri"/>
      <w:lang w:eastAsia="ru-RU"/>
    </w:rPr>
  </w:style>
  <w:style w:type="paragraph" w:styleId="a4">
    <w:name w:val="List Paragraph"/>
    <w:basedOn w:val="a"/>
    <w:link w:val="a3"/>
    <w:uiPriority w:val="34"/>
    <w:qFormat/>
    <w:rsid w:val="00FB33D8"/>
    <w:pPr>
      <w:ind w:left="720"/>
      <w:contextualSpacing/>
    </w:pPr>
    <w:rPr>
      <w:rFonts w:ascii="Calibri" w:eastAsia="Times New Roman" w:hAnsi="Calibri" w:cs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3D8"/>
    <w:rPr>
      <w:rFonts w:asciiTheme="minorHAnsi" w:hAnsiTheme="minorHAnsi" w:cstheme="minorBidi"/>
      <w:sz w:val="22"/>
    </w:rPr>
  </w:style>
  <w:style w:type="paragraph" w:styleId="2">
    <w:name w:val="heading 2"/>
    <w:basedOn w:val="a"/>
    <w:next w:val="a"/>
    <w:link w:val="20"/>
    <w:semiHidden/>
    <w:unhideWhenUsed/>
    <w:qFormat/>
    <w:rsid w:val="00FB33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B33D8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a3">
    <w:name w:val="Абзац списка Знак"/>
    <w:basedOn w:val="a0"/>
    <w:link w:val="a4"/>
    <w:uiPriority w:val="34"/>
    <w:locked/>
    <w:rsid w:val="00FB33D8"/>
    <w:rPr>
      <w:rFonts w:ascii="Calibri" w:eastAsia="Times New Roman" w:hAnsi="Calibri"/>
      <w:lang w:eastAsia="ru-RU"/>
    </w:rPr>
  </w:style>
  <w:style w:type="paragraph" w:styleId="a4">
    <w:name w:val="List Paragraph"/>
    <w:basedOn w:val="a"/>
    <w:link w:val="a3"/>
    <w:uiPriority w:val="34"/>
    <w:qFormat/>
    <w:rsid w:val="00FB33D8"/>
    <w:pPr>
      <w:ind w:left="720"/>
      <w:contextualSpacing/>
    </w:pPr>
    <w:rPr>
      <w:rFonts w:ascii="Calibri" w:eastAsia="Times New Roman" w:hAnsi="Calibri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Александро Федорищева</dc:creator>
  <cp:keywords/>
  <dc:description/>
  <cp:lastModifiedBy>Марина Александро Федорищева</cp:lastModifiedBy>
  <cp:revision>2</cp:revision>
  <dcterms:created xsi:type="dcterms:W3CDTF">2022-05-18T07:14:00Z</dcterms:created>
  <dcterms:modified xsi:type="dcterms:W3CDTF">2022-05-18T07:14:00Z</dcterms:modified>
</cp:coreProperties>
</file>