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1E15" w14:textId="12BFC7A3" w:rsidR="0003468D" w:rsidRDefault="0003468D" w:rsidP="0003468D">
      <w:pPr>
        <w:spacing w:line="480" w:lineRule="auto"/>
        <w:jc w:val="right"/>
        <w:rPr>
          <w:rFonts w:ascii="Times New Roman" w:hAnsi="Times New Roman" w:cs="Times New Roman"/>
        </w:rPr>
      </w:pPr>
      <w:r>
        <w:rPr>
          <w:rFonts w:ascii="Times New Roman" w:hAnsi="Times New Roman" w:cs="Times New Roman"/>
        </w:rPr>
        <w:t xml:space="preserve">Marysol Fernández Harvey </w:t>
      </w:r>
    </w:p>
    <w:p w14:paraId="45BF0A7C" w14:textId="22560DAA" w:rsidR="0003468D" w:rsidRDefault="0003468D" w:rsidP="0003468D">
      <w:pPr>
        <w:spacing w:line="480" w:lineRule="auto"/>
        <w:jc w:val="right"/>
        <w:rPr>
          <w:rFonts w:ascii="Times New Roman" w:hAnsi="Times New Roman" w:cs="Times New Roman"/>
        </w:rPr>
      </w:pPr>
      <w:r>
        <w:rPr>
          <w:rFonts w:ascii="Times New Roman" w:hAnsi="Times New Roman" w:cs="Times New Roman"/>
        </w:rPr>
        <w:t xml:space="preserve">Gov 2020 – Harvard University </w:t>
      </w:r>
    </w:p>
    <w:p w14:paraId="574929BD" w14:textId="33CC23A9" w:rsidR="0003468D" w:rsidRPr="0003468D" w:rsidRDefault="0003468D" w:rsidP="0003468D">
      <w:pPr>
        <w:spacing w:line="480" w:lineRule="auto"/>
        <w:jc w:val="center"/>
        <w:rPr>
          <w:rFonts w:ascii="Times New Roman" w:hAnsi="Times New Roman" w:cs="Times New Roman"/>
        </w:rPr>
      </w:pPr>
      <w:r w:rsidRPr="0003468D">
        <w:rPr>
          <w:rFonts w:ascii="Times New Roman" w:hAnsi="Times New Roman" w:cs="Times New Roman"/>
        </w:rPr>
        <w:t>Response Memo to “When China Fears: Varying Response by China to Threats as Indicators of Private Information”</w:t>
      </w:r>
    </w:p>
    <w:p w14:paraId="7D1EA021" w14:textId="5BBC695F" w:rsidR="007F60B6" w:rsidRDefault="0003468D" w:rsidP="0003468D">
      <w:pPr>
        <w:spacing w:line="480" w:lineRule="auto"/>
        <w:ind w:firstLine="720"/>
        <w:rPr>
          <w:rFonts w:ascii="Times New Roman" w:hAnsi="Times New Roman" w:cs="Times New Roman"/>
        </w:rPr>
      </w:pPr>
      <w:r>
        <w:rPr>
          <w:rFonts w:ascii="Times New Roman" w:hAnsi="Times New Roman" w:cs="Times New Roman"/>
        </w:rPr>
        <w:t xml:space="preserve">The current draft of this paper poses an interesting question around how authoritarian regimes respond to different domestic and foreign threats. It is strong in emphasizing the vast heterogeneity in policy responses and compelling in identifying a significant gap in the literature in identifying the mechanism through which a regime might select one instrument over another. I believe the expansive scope of the framing of the paper, which poses questions about authoritarian </w:t>
      </w:r>
      <w:r w:rsidR="007F60B6">
        <w:rPr>
          <w:rFonts w:ascii="Times New Roman" w:hAnsi="Times New Roman" w:cs="Times New Roman"/>
        </w:rPr>
        <w:t>instruments</w:t>
      </w:r>
      <w:r>
        <w:rPr>
          <w:rFonts w:ascii="Times New Roman" w:hAnsi="Times New Roman" w:cs="Times New Roman"/>
        </w:rPr>
        <w:t xml:space="preserve"> generally, is perhaps too broad for the kind of data available to the authors and therefore the type of analysis that is feasible. Consider reframing the big picture question </w:t>
      </w:r>
      <w:r w:rsidR="00253819">
        <w:rPr>
          <w:rFonts w:ascii="Times New Roman" w:hAnsi="Times New Roman" w:cs="Times New Roman"/>
        </w:rPr>
        <w:t xml:space="preserve">and the contribution more narrowly to fit the data incorporated. </w:t>
      </w:r>
      <w:r w:rsidR="007F4A63">
        <w:rPr>
          <w:rFonts w:ascii="Times New Roman" w:hAnsi="Times New Roman" w:cs="Times New Roman"/>
        </w:rPr>
        <w:t>Narrowing</w:t>
      </w:r>
      <w:r w:rsidR="00253819">
        <w:rPr>
          <w:rFonts w:ascii="Times New Roman" w:hAnsi="Times New Roman" w:cs="Times New Roman"/>
        </w:rPr>
        <w:t xml:space="preserve"> the framing of the argument around, for example, when the Chinese government makes policy decisions that maximize loyalty vs. competency in the security forces, may narrow the implications of the findings, but strengthens the robustness of the claims against alternative explanations and potential confounders. </w:t>
      </w:r>
    </w:p>
    <w:p w14:paraId="770D674A" w14:textId="5D0E0792" w:rsidR="0003468D" w:rsidRDefault="007F4A63" w:rsidP="0003468D">
      <w:pPr>
        <w:spacing w:line="480" w:lineRule="auto"/>
        <w:ind w:firstLine="720"/>
        <w:rPr>
          <w:rFonts w:ascii="Times New Roman" w:hAnsi="Times New Roman" w:cs="Times New Roman"/>
        </w:rPr>
      </w:pPr>
      <w:r>
        <w:rPr>
          <w:rFonts w:ascii="Times New Roman" w:hAnsi="Times New Roman" w:cs="Times New Roman"/>
        </w:rPr>
        <w:t>Additionally, t</w:t>
      </w:r>
      <w:r w:rsidR="00253819">
        <w:rPr>
          <w:rFonts w:ascii="Times New Roman" w:hAnsi="Times New Roman" w:cs="Times New Roman"/>
        </w:rPr>
        <w:t>he authors may consider defining in a more precise manner the kinds of authoritarian strategies that are of interest</w:t>
      </w:r>
      <w:r w:rsidR="007F60B6">
        <w:rPr>
          <w:rFonts w:ascii="Times New Roman" w:hAnsi="Times New Roman" w:cs="Times New Roman"/>
        </w:rPr>
        <w:t xml:space="preserve">. The approach claims to use “PLA officer promotions” as a proxy for “policy action.” I believe this approach requires further justification, as it seems unlikely that officer promotions are a proxy for policy action broadly. Consider bringing in the justifications that the authors of the original paper use to assert the importance of this source of data and why the literature should care about PLA officer promotions. This is particularly true </w:t>
      </w:r>
      <w:r w:rsidR="007F60B6">
        <w:rPr>
          <w:rFonts w:ascii="Times New Roman" w:hAnsi="Times New Roman" w:cs="Times New Roman"/>
        </w:rPr>
        <w:lastRenderedPageBreak/>
        <w:t xml:space="preserve">given the author’s early findings that PLA officer promotions do not in fact consistently correlate with the type of perceived threat. If these correlations are weakened, what </w:t>
      </w:r>
      <w:r>
        <w:rPr>
          <w:rFonts w:ascii="Times New Roman" w:hAnsi="Times New Roman" w:cs="Times New Roman"/>
        </w:rPr>
        <w:t xml:space="preserve">might we </w:t>
      </w:r>
      <w:r w:rsidR="007F60B6">
        <w:rPr>
          <w:rFonts w:ascii="Times New Roman" w:hAnsi="Times New Roman" w:cs="Times New Roman"/>
        </w:rPr>
        <w:t xml:space="preserve">think this data is telling us about authoritarian decisions? </w:t>
      </w:r>
      <w:r>
        <w:rPr>
          <w:rFonts w:ascii="Times New Roman" w:hAnsi="Times New Roman" w:cs="Times New Roman"/>
        </w:rPr>
        <w:t xml:space="preserve"> </w:t>
      </w:r>
    </w:p>
    <w:p w14:paraId="3D792D95" w14:textId="08D7942D" w:rsidR="00253819" w:rsidRDefault="007F60B6" w:rsidP="0003468D">
      <w:pPr>
        <w:spacing w:line="480" w:lineRule="auto"/>
        <w:ind w:firstLine="720"/>
        <w:rPr>
          <w:rFonts w:ascii="Times New Roman" w:hAnsi="Times New Roman" w:cs="Times New Roman"/>
        </w:rPr>
      </w:pPr>
      <w:r>
        <w:rPr>
          <w:rFonts w:ascii="Times New Roman" w:hAnsi="Times New Roman" w:cs="Times New Roman"/>
        </w:rPr>
        <w:t>The literature review section provides a very strong justification for the methodological approach taken in the paper. The paper claims that “</w:t>
      </w:r>
      <w:r w:rsidRPr="007F60B6">
        <w:rPr>
          <w:rFonts w:ascii="Times New Roman" w:hAnsi="Times New Roman" w:cs="Times New Roman"/>
        </w:rPr>
        <w:t>only by triangulating elite discourse with observable policy investments can scholars infer the condition under which regimes perceive existential threats</w:t>
      </w:r>
      <w:r>
        <w:rPr>
          <w:rFonts w:ascii="Times New Roman" w:hAnsi="Times New Roman" w:cs="Times New Roman"/>
        </w:rPr>
        <w:t xml:space="preserve">.” Consider avoiding broad claims about what is the “best” </w:t>
      </w:r>
      <w:proofErr w:type="gramStart"/>
      <w:r>
        <w:rPr>
          <w:rFonts w:ascii="Times New Roman" w:hAnsi="Times New Roman" w:cs="Times New Roman"/>
        </w:rPr>
        <w:t>approach, and</w:t>
      </w:r>
      <w:proofErr w:type="gramEnd"/>
      <w:r>
        <w:rPr>
          <w:rFonts w:ascii="Times New Roman" w:hAnsi="Times New Roman" w:cs="Times New Roman"/>
        </w:rPr>
        <w:t xml:space="preserve"> focus rather on how this approach addresses some of the pitfalls of a purely policy-based or purely rhetoric-based approach</w:t>
      </w:r>
      <w:r w:rsidR="007F4A63">
        <w:rPr>
          <w:rFonts w:ascii="Times New Roman" w:hAnsi="Times New Roman" w:cs="Times New Roman"/>
        </w:rPr>
        <w:t>, which is strongly delineated in the paper draft</w:t>
      </w:r>
      <w:r>
        <w:rPr>
          <w:rFonts w:ascii="Times New Roman" w:hAnsi="Times New Roman" w:cs="Times New Roman"/>
        </w:rPr>
        <w:t>. It will also be important here to acknowledge that the dual approach may still run into some of the same methodological challenges outlined in this section and assert the contribution as the “most robust analysis to date.”</w:t>
      </w:r>
    </w:p>
    <w:p w14:paraId="1118298D" w14:textId="10E6FD24" w:rsidR="007F60B6" w:rsidRDefault="007F60B6" w:rsidP="0003468D">
      <w:pPr>
        <w:spacing w:line="480" w:lineRule="auto"/>
        <w:ind w:firstLine="720"/>
        <w:rPr>
          <w:rFonts w:ascii="Times New Roman" w:hAnsi="Times New Roman" w:cs="Times New Roman"/>
        </w:rPr>
      </w:pPr>
      <w:r>
        <w:rPr>
          <w:rFonts w:ascii="Times New Roman" w:hAnsi="Times New Roman" w:cs="Times New Roman"/>
        </w:rPr>
        <w:t>Finally</w:t>
      </w:r>
      <w:r w:rsidR="007536CC">
        <w:rPr>
          <w:rFonts w:ascii="Times New Roman" w:hAnsi="Times New Roman" w:cs="Times New Roman"/>
        </w:rPr>
        <w:t>,</w:t>
      </w:r>
      <w:r>
        <w:rPr>
          <w:rFonts w:ascii="Times New Roman" w:hAnsi="Times New Roman" w:cs="Times New Roman"/>
        </w:rPr>
        <w:t xml:space="preserve"> the data package is clear, complete, and replicable. </w:t>
      </w:r>
      <w:r w:rsidR="007536CC">
        <w:rPr>
          <w:rFonts w:ascii="Times New Roman" w:hAnsi="Times New Roman" w:cs="Times New Roman"/>
        </w:rPr>
        <w:t xml:space="preserve">I conducted a few additional analyses to test the robustness of the early findings that contradict those of Mattingly (2024). Including as many robustness checks as possible is important to build credibility for these alternative findings. I added </w:t>
      </w:r>
      <w:r w:rsidR="007F4A63">
        <w:rPr>
          <w:rFonts w:ascii="Times New Roman" w:hAnsi="Times New Roman" w:cs="Times New Roman"/>
        </w:rPr>
        <w:t xml:space="preserve">plot </w:t>
      </w:r>
      <w:r w:rsidR="007536CC">
        <w:rPr>
          <w:rFonts w:ascii="Times New Roman" w:hAnsi="Times New Roman" w:cs="Times New Roman"/>
        </w:rPr>
        <w:t>lines for loyal promotions to the Foreign Threat Index figure and combat promotions to the Domestic Threat Index figure to test whether combat promotions are more responsive to foreign threats compared to loyal promotions, and whether the opposite is true for domestic threats. This would support the Mattingly (2024) findings, even if the correlations do not seem as strong as what they originally theorized. This analysis largely aligns with this paper</w:t>
      </w:r>
      <w:r w:rsidR="007F4A63">
        <w:rPr>
          <w:rFonts w:ascii="Times New Roman" w:hAnsi="Times New Roman" w:cs="Times New Roman"/>
        </w:rPr>
        <w:t>’</w:t>
      </w:r>
      <w:r w:rsidR="007536CC">
        <w:rPr>
          <w:rFonts w:ascii="Times New Roman" w:hAnsi="Times New Roman" w:cs="Times New Roman"/>
        </w:rPr>
        <w:t xml:space="preserve">s null result, although there is a period between 1995-2010 where there seems there may be some correlation between domestic threat and loyal promotions that the authors may consider looking further into. </w:t>
      </w:r>
      <w:r w:rsidR="009E59F8">
        <w:rPr>
          <w:rFonts w:ascii="Times New Roman" w:hAnsi="Times New Roman" w:cs="Times New Roman"/>
        </w:rPr>
        <w:t xml:space="preserve">Additionally, I conduct a simple 5 year rolled analysis to see </w:t>
      </w:r>
      <w:r w:rsidR="009E59F8">
        <w:rPr>
          <w:rFonts w:ascii="Times New Roman" w:hAnsi="Times New Roman" w:cs="Times New Roman"/>
        </w:rPr>
        <w:lastRenderedPageBreak/>
        <w:t xml:space="preserve">whether a one year time frame does not provide sufficient time for the government to respond to the threat level through officer promotions. The correlation again seems largely unstable. </w:t>
      </w:r>
    </w:p>
    <w:p w14:paraId="2FE387D9" w14:textId="6529DC71" w:rsidR="009E59F8" w:rsidRDefault="009E59F8" w:rsidP="0003468D">
      <w:pPr>
        <w:spacing w:line="480" w:lineRule="auto"/>
        <w:ind w:firstLine="720"/>
        <w:rPr>
          <w:rFonts w:ascii="Times New Roman" w:hAnsi="Times New Roman" w:cs="Times New Roman"/>
        </w:rPr>
      </w:pPr>
      <w:r>
        <w:rPr>
          <w:rFonts w:ascii="Times New Roman" w:hAnsi="Times New Roman" w:cs="Times New Roman"/>
        </w:rPr>
        <w:t xml:space="preserve">In conclusion, this paper poses several interesting questions about the strategic decisions of authoritarian regimes. To strengthen the current draft, I recommend most strongly that the authors narrow the scope of the question asked to match the data and analysis conducted. </w:t>
      </w:r>
    </w:p>
    <w:p w14:paraId="6B01512E" w14:textId="77777777" w:rsidR="007F60B6" w:rsidRDefault="007F60B6" w:rsidP="0003468D">
      <w:pPr>
        <w:spacing w:line="480" w:lineRule="auto"/>
        <w:ind w:firstLine="720"/>
        <w:rPr>
          <w:rFonts w:ascii="Times New Roman" w:hAnsi="Times New Roman" w:cs="Times New Roman"/>
        </w:rPr>
      </w:pPr>
    </w:p>
    <w:p w14:paraId="41E0110F" w14:textId="77777777" w:rsidR="00253819" w:rsidRPr="0003468D" w:rsidRDefault="00253819" w:rsidP="0003468D">
      <w:pPr>
        <w:spacing w:line="480" w:lineRule="auto"/>
        <w:ind w:firstLine="720"/>
        <w:rPr>
          <w:rFonts w:ascii="Times New Roman" w:hAnsi="Times New Roman" w:cs="Times New Roman"/>
        </w:rPr>
      </w:pPr>
    </w:p>
    <w:sectPr w:rsidR="00253819" w:rsidRPr="00034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8D"/>
    <w:rsid w:val="0003468D"/>
    <w:rsid w:val="000B37B5"/>
    <w:rsid w:val="00253819"/>
    <w:rsid w:val="00336072"/>
    <w:rsid w:val="004D42E4"/>
    <w:rsid w:val="005833C0"/>
    <w:rsid w:val="00594111"/>
    <w:rsid w:val="0072632B"/>
    <w:rsid w:val="007536CC"/>
    <w:rsid w:val="007F4A63"/>
    <w:rsid w:val="007F60B6"/>
    <w:rsid w:val="00825817"/>
    <w:rsid w:val="00932DA7"/>
    <w:rsid w:val="009E59F8"/>
    <w:rsid w:val="00B41189"/>
    <w:rsid w:val="00E27694"/>
    <w:rsid w:val="00E45B47"/>
    <w:rsid w:val="00F42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02D948"/>
  <w15:chartTrackingRefBased/>
  <w15:docId w15:val="{E220CCF4-0801-544D-9BFD-4B13F9D84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68D"/>
    <w:rPr>
      <w:rFonts w:eastAsiaTheme="majorEastAsia" w:cstheme="majorBidi"/>
      <w:color w:val="272727" w:themeColor="text1" w:themeTint="D8"/>
    </w:rPr>
  </w:style>
  <w:style w:type="paragraph" w:styleId="Title">
    <w:name w:val="Title"/>
    <w:basedOn w:val="Normal"/>
    <w:next w:val="Normal"/>
    <w:link w:val="TitleChar"/>
    <w:uiPriority w:val="10"/>
    <w:qFormat/>
    <w:rsid w:val="0003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68D"/>
    <w:pPr>
      <w:spacing w:before="160"/>
      <w:jc w:val="center"/>
    </w:pPr>
    <w:rPr>
      <w:i/>
      <w:iCs/>
      <w:color w:val="404040" w:themeColor="text1" w:themeTint="BF"/>
    </w:rPr>
  </w:style>
  <w:style w:type="character" w:customStyle="1" w:styleId="QuoteChar">
    <w:name w:val="Quote Char"/>
    <w:basedOn w:val="DefaultParagraphFont"/>
    <w:link w:val="Quote"/>
    <w:uiPriority w:val="29"/>
    <w:rsid w:val="0003468D"/>
    <w:rPr>
      <w:i/>
      <w:iCs/>
      <w:color w:val="404040" w:themeColor="text1" w:themeTint="BF"/>
    </w:rPr>
  </w:style>
  <w:style w:type="paragraph" w:styleId="ListParagraph">
    <w:name w:val="List Paragraph"/>
    <w:basedOn w:val="Normal"/>
    <w:uiPriority w:val="34"/>
    <w:qFormat/>
    <w:rsid w:val="0003468D"/>
    <w:pPr>
      <w:ind w:left="720"/>
      <w:contextualSpacing/>
    </w:pPr>
  </w:style>
  <w:style w:type="character" w:styleId="IntenseEmphasis">
    <w:name w:val="Intense Emphasis"/>
    <w:basedOn w:val="DefaultParagraphFont"/>
    <w:uiPriority w:val="21"/>
    <w:qFormat/>
    <w:rsid w:val="0003468D"/>
    <w:rPr>
      <w:i/>
      <w:iCs/>
      <w:color w:val="0F4761" w:themeColor="accent1" w:themeShade="BF"/>
    </w:rPr>
  </w:style>
  <w:style w:type="paragraph" w:styleId="IntenseQuote">
    <w:name w:val="Intense Quote"/>
    <w:basedOn w:val="Normal"/>
    <w:next w:val="Normal"/>
    <w:link w:val="IntenseQuoteChar"/>
    <w:uiPriority w:val="30"/>
    <w:qFormat/>
    <w:rsid w:val="00034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68D"/>
    <w:rPr>
      <w:i/>
      <w:iCs/>
      <w:color w:val="0F4761" w:themeColor="accent1" w:themeShade="BF"/>
    </w:rPr>
  </w:style>
  <w:style w:type="character" w:styleId="IntenseReference">
    <w:name w:val="Intense Reference"/>
    <w:basedOn w:val="DefaultParagraphFont"/>
    <w:uiPriority w:val="32"/>
    <w:qFormat/>
    <w:rsid w:val="00034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Fernandez Harvey, Marysol</dc:creator>
  <cp:keywords/>
  <dc:description/>
  <cp:lastModifiedBy>Fernandez Harvey, Marysol</cp:lastModifiedBy>
  <cp:revision>2</cp:revision>
  <dcterms:created xsi:type="dcterms:W3CDTF">2025-11-03T00:39:00Z</dcterms:created>
  <dcterms:modified xsi:type="dcterms:W3CDTF">2025-11-03T00:39:00Z</dcterms:modified>
</cp:coreProperties>
</file>