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0" w:right="0" w:firstLine="0"/>
        <w:spacing w:before="320" w:after="40" w:line="240" w:lineRule="auto"/>
      </w:pPr>
      <w:r>
        <w:rPr>
          <w:rFonts w:ascii="Arial" w:hAnsi="Arial" w:eastAsia="Arial" w:cs="Arial"/>
          <w:sz w:val="56"/>
          <w:szCs w:val="56"/>
          <w:b/>
          <w:bCs/>
          <w:color w:val="4E9F96"/>
        </w:rPr>
        <w:t>MOVA</w:t>
      </w:r>
    </w:p>
    <w:p>
      <w:pPr>
        <w:jc w:val="center"/>
        <w:ind w:left="0" w:right="0" w:firstLine="0"/>
        <w:spacing w:before="0" w:after="100" w:line="240" w:lineRule="auto"/>
      </w:pPr>
      <w:r>
        <w:rPr>
          <w:rFonts w:ascii="Arial" w:hAnsi="Arial" w:eastAsia="Arial" w:cs="Arial"/>
          <w:sz w:val="52"/>
          <w:szCs w:val="52"/>
          <w:b/>
          <w:bCs/>
          <w:color w:val="23364D"/>
        </w:rPr>
        <w:t>PLAN DE GESTIÓN DEL ALCANCE</w:t>
      </w:r>
    </w:p>
    <w:tbl>
      <w:tblPr>
        <w:tblW w:w="782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tcPr>
            <w:tcW w:type="dxa" w:w="2607"/>
            <w:shd w:fill="4E9F9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ind w:firstLine="0"/>
              <w:spacing w:before="0" w:after="0" w:line="240" w:lineRule="auto"/>
            </w:pPr>
            <w:r>
              <w:rPr>
                <w:rFonts w:ascii="Arial" w:hAnsi="Arial" w:eastAsia="Arial" w:cs="Arial"/>
                <w:sz w:val="6"/>
                <w:szCs w:val="6"/>
                <w:color w:val="222222"/>
              </w:rPr>
              <w:t> </w:t>
            </w:r>
          </w:p>
        </w:tc>
        <w:tc>
          <w:tcPr>
            <w:tcW w:type="dxa" w:w="2607"/>
            <w:shd w:fill="B6A6E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ind w:firstLine="0"/>
              <w:spacing w:before="0" w:after="0" w:line="240" w:lineRule="auto"/>
            </w:pPr>
            <w:r>
              <w:rPr>
                <w:rFonts w:ascii="Arial" w:hAnsi="Arial" w:eastAsia="Arial" w:cs="Arial"/>
                <w:sz w:val="6"/>
                <w:szCs w:val="6"/>
                <w:color w:val="222222"/>
              </w:rPr>
              <w:t> </w:t>
            </w:r>
          </w:p>
        </w:tc>
        <w:tc>
          <w:tcPr>
            <w:tcW w:type="dxa" w:w="2607"/>
            <w:shd w:fill="F5C47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ind w:firstLine="0"/>
              <w:spacing w:before="0" w:after="0" w:line="240" w:lineRule="auto"/>
            </w:pPr>
            <w:r>
              <w:rPr>
                <w:rFonts w:ascii="Arial" w:hAnsi="Arial" w:eastAsia="Arial" w:cs="Arial"/>
                <w:sz w:val="6"/>
                <w:szCs w:val="6"/>
                <w:color w:val="222222"/>
              </w:rPr>
              <w:t> </w:t>
            </w:r>
          </w:p>
        </w:tc>
      </w:tr>
    </w:tbl>
    <w:p>
      <w:pPr>
        <w:jc w:val="center"/>
        <w:ind w:left="0" w:right="0" w:firstLine="0"/>
        <w:spacing w:before="240" w:after="240" w:line="240" w:lineRule="auto"/>
      </w:pPr>
      <w:r>
        <w:rPr>
          <w:rFonts w:ascii="Arial" w:hAnsi="Arial" w:eastAsia="Arial" w:cs="Arial"/>
          <w:sz w:val="28"/>
          <w:szCs w:val="28"/>
          <w:color w:val="222222"/>
        </w:rPr>
        <w:t>Aplicación móvil + dispositivo wearable de apoyo a rutinas</w:t>
      </w:r>
    </w:p>
    <w:tbl>
      <w:tblPr>
        <w:tblW w:type="dxa" w:w="90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FD6"/>
          <w:left w:val="single" w:sz="4" w:space="0" w:color="C7CFD6"/>
          <w:bottom w:val="single" w:sz="4" w:space="0" w:color="C7CFD6"/>
          <w:right w:val="single" w:sz="4" w:space="0" w:color="C7CFD6"/>
          <w:insideH w:val="single" w:sz="4" w:space="0" w:color="C7CFD6"/>
          <w:insideV w:val="single" w:sz="4" w:space="0" w:color="C7CFD6"/>
        </w:tblBorders>
      </w:tblPr>
      <w:tblGrid>
        <w:gridCol w:w="4933"/>
        <w:gridCol w:w="4933"/>
      </w:tblGrid>
      <w:tr>
        <w:trPr>
          <w:tblHeader w:val="true"/>
          <w:cantSplit w:val="1"/>
        </w:trPr>
        <w:tc>
          <w:tcPr>
            <w:tcW w:type="dxa" w:w="3004"/>
            <w:shd w:fill="F3F5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  <w:t>Campo</w:t>
            </w:r>
          </w:p>
        </w:tc>
        <w:tc>
          <w:tcPr>
            <w:tcW w:type="dxa" w:w="6009"/>
            <w:shd w:fill="FFFF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</w: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30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  <w:t>Documento</w:t>
            </w:r>
          </w:p>
        </w:tc>
        <w:tc>
          <w:tcPr>
            <w:tcW w:type="dxa" w:w="60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</w: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  <w:t>Gestión del Alcance del Proyecto TI</w:t>
            </w:r>
          </w:p>
        </w:tc>
      </w:tr>
      <w:tr>
        <w:trPr>
          <w:cantSplit w:val="1"/>
        </w:trPr>
        <w:tc>
          <w:tcPr>
            <w:tcW w:type="dxa" w:w="3004"/>
            <w:shd w:fill="F3F5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  <w:t>Código</w:t>
            </w:r>
          </w:p>
        </w:tc>
        <w:tc>
          <w:tcPr>
            <w:tcW w:type="dxa" w:w="6009"/>
            <w:shd w:fill="FFFF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</w: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  <w:t>MOVA-GA-01</w:t>
            </w:r>
          </w:p>
        </w:tc>
      </w:tr>
      <w:tr>
        <w:trPr>
          <w:cantSplit w:val="1"/>
        </w:trPr>
        <w:tc>
          <w:tcPr>
            <w:tcW w:type="dxa" w:w="30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  <w:t>Versión</w:t>
            </w:r>
          </w:p>
        </w:tc>
        <w:tc>
          <w:tcPr>
            <w:tcW w:type="dxa" w:w="60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</w: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  <w:t>1.0</w:t>
            </w:r>
          </w:p>
        </w:tc>
      </w:tr>
      <w:tr>
        <w:trPr>
          <w:cantSplit w:val="1"/>
        </w:trPr>
        <w:tc>
          <w:tcPr>
            <w:tcW w:type="dxa" w:w="3004"/>
            <w:shd w:fill="F3F5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  <w:t>Fecha</w:t>
            </w:r>
          </w:p>
        </w:tc>
        <w:tc>
          <w:tcPr>
            <w:tcW w:type="dxa" w:w="6009"/>
            <w:shd w:fill="FFFF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</w: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  <w:t>2 de septiembre de 2026</w:t>
            </w:r>
          </w:p>
        </w:tc>
      </w:tr>
      <w:tr>
        <w:trPr>
          <w:cantSplit w:val="1"/>
        </w:trPr>
        <w:tc>
          <w:tcPr>
            <w:tcW w:type="dxa" w:w="30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  <w:t>Metodología</w:t>
            </w:r>
          </w:p>
        </w:tc>
        <w:tc>
          <w:tcPr>
            <w:tcW w:type="dxa" w:w="600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</w: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  <w:t>Scrum</w:t>
            </w:r>
          </w:p>
        </w:tc>
      </w:tr>
      <w:tr>
        <w:trPr>
          <w:cantSplit w:val="1"/>
        </w:trPr>
        <w:tc>
          <w:tcPr>
            <w:tcW w:type="dxa" w:w="3004"/>
            <w:shd w:fill="F3F5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  <w:t>Estado</w:t>
            </w:r>
          </w:p>
        </w:tc>
        <w:tc>
          <w:tcPr>
            <w:tcW w:type="dxa" w:w="6009"/>
            <w:shd w:fill="FFFF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</w: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  <w:t>Versión consolidada para revisión y aprobación</w:t>
            </w:r>
          </w:p>
        </w:tc>
      </w:tr>
    </w:tbl>
    <w:tbl>
      <w:tblPr>
        <w:tblW w:type="dxa" w:w="9025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4E9F96"/>
          <w:left w:val="single" w:sz="7" w:space="0" w:color="4E9F96"/>
          <w:bottom w:val="single" w:sz="7" w:space="0" w:color="4E9F96"/>
          <w:right w:val="single" w:sz="7" w:space="0" w:color="4E9F96"/>
          <w:insideH w:val="single" w:sz="7" w:space="0" w:color="4E9F96"/>
          <w:insideV w:val="single" w:sz="7" w:space="0" w:color="4E9F96"/>
        </w:tblBorders>
      </w:tblPr>
      <w:tblGrid>
        <w:gridCol w:w="9866"/>
      </w:tblGrid>
      <w:tr>
        <w:trPr>
          <w:cantSplit w:val="1"/>
        </w:trPr>
        <w:tc>
          <w:tcPr>
            <w:tcW w:type="dxa" w:w="9866"/>
            <w:shd w:fill="FFF4E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  <w:ind w:firstLine="0" w:left="0" w:right="0"/>
              <w:spacing w:before="0" w:after="40" w:line="240" w:lineRule="auto"/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color w:val="23364D"/>
              </w:rPr>
              <w:t>Propósito de esta versión</w:t>
            </w:r>
          </w:p>
          <w:p>
            <w:pPr>
              <w:jc w:val="left"/>
              <w:ind w:firstLine="0" w:left="0" w:right="0"/>
              <w:spacing w:before="0" w:after="0" w:line="240" w:lineRule="auto"/>
            </w:pPr>
            <w:r>
              <w:rPr>
                <w:rFonts w:ascii="Arial" w:hAnsi="Arial" w:eastAsia="Arial" w:cs="Arial"/>
                <w:sz w:val="21"/>
                <w:szCs w:val="21"/>
                <w:color w:val="222222"/>
              </w:rPr>
              <w:t>Consolidar el alcance vigente de MOVA mediante la integración de la Product Vision, el Product Backlog, la metodología Scrum, los criterios de aceptación y las decisiones de arquitectura y datos, estableciendo una línea base coherente para su revisión y aprobación.</w:t>
            </w:r>
          </w:p>
        </w:tc>
      </w:tr>
    </w:tbl>
    <w:p>
      <w:pPr/>
      <w:r>
        <w:rPr>
          <w:rFonts w:ascii="Arial" w:hAnsi="Arial" w:eastAsia="Arial" w:cs="Arial"/>
        </w:rPr>
        <w:br w:type="page"/>
      </w:r>
    </w:p>
    <w:p>
      <w:pPr>
        <w:pStyle w:val="Heading1"/>
        <w:keepNext/>
        <w:spacing w:before="280" w:after="120" w:line="240" w:lineRule="auto"/>
        <w:jc w:val="left"/>
        <w:ind w:left="0" w:right="0" w:firstLine="0"/>
      </w:pPr>
      <w:r>
        <w:rPr>
          <w:rFonts w:ascii="Arial" w:hAnsi="Arial" w:eastAsia="Arial" w:cs="Arial"/>
          <w:sz w:val="34"/>
          <w:szCs w:val="34"/>
          <w:b/>
          <w:bCs/>
          <w:color w:val="23364D"/>
        </w:rPr>
        <w:t>1. Información general del proyecto</w:t>
      </w:r>
    </w:p>
    <w:p>
      <w:pPr>
        <w:jc w:val="left"/>
        <w:ind w:firstLine="0"/>
        <w:spacing w:before="160" w:after="0" w:line="240" w:lineRule="auto"/>
        <w:keepNext/>
      </w:pPr>
      <w:r>
        <w:rPr>
          <w:rFonts w:ascii="Arial" w:hAnsi="Arial" w:eastAsia="Arial" w:cs="Arial"/>
          <w:sz w:val="21"/>
          <w:szCs w:val="21"/>
          <w:b/>
          <w:bCs/>
          <w:color w:val="222222"/>
        </w:rPr>
        <w:t>Tabla 1</w:t>
      </w:r>
    </w:p>
    <w:p>
      <w:pPr>
        <w:jc w:val="left"/>
        <w:ind w:firstLine="0"/>
        <w:spacing w:before="0" w:after="100" w:line="240" w:lineRule="auto"/>
        <w:keepNext/>
      </w:pPr>
      <w:r>
        <w:rPr>
          <w:rFonts w:ascii="Arial" w:hAnsi="Arial" w:eastAsia="Arial" w:cs="Arial"/>
          <w:sz w:val="21"/>
          <w:szCs w:val="21"/>
          <w:i/>
          <w:iCs/>
          <w:color w:val="222222"/>
        </w:rPr>
        <w:t>Información general del proyecto</w:t>
      </w:r>
    </w:p>
    <w:tbl>
      <w:tblPr>
        <w:tblW w:type="dxa" w:w="90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FD6"/>
          <w:left w:val="single" w:sz="4" w:space="0" w:color="C7CFD6"/>
          <w:bottom w:val="single" w:sz="4" w:space="0" w:color="C7CFD6"/>
          <w:right w:val="single" w:sz="4" w:space="0" w:color="C7CFD6"/>
          <w:insideH w:val="single" w:sz="4" w:space="0" w:color="C7CFD6"/>
          <w:insideV w:val="single" w:sz="4" w:space="0" w:color="C7CFD6"/>
        </w:tblBorders>
      </w:tblPr>
      <w:tblGrid>
        <w:gridCol w:w="4933"/>
        <w:gridCol w:w="4933"/>
      </w:tblGrid>
      <w:tr>
        <w:trPr>
          <w:tblHeader w:val="true"/>
          <w:cantSplit w:val="1"/>
        </w:trPr>
        <w:tc>
          <w:tcPr>
            <w:tcW w:type="dxa" w:w="3061"/>
            <w:shd w:fill="F3F5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  <w:t>Campo</w:t>
            </w:r>
          </w:p>
        </w:tc>
        <w:tc>
          <w:tcPr>
            <w:tcW w:type="dxa" w:w="5952"/>
            <w:shd w:fill="FFFF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</w: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  <w:t>Información</w:t>
            </w:r>
          </w:p>
        </w:tc>
      </w:tr>
      <w:tr>
        <w:trPr>
          <w:cantSplit w:val="1"/>
        </w:trPr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  <w:t>Nombre del proyecto</w:t>
            </w:r>
          </w:p>
        </w:tc>
        <w:tc>
          <w:tcPr>
            <w:tcW w:type="dxa" w:w="5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</w: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  <w:t>MOVA - Aplicación móvil + dispositivo wearable de apoyo a rutinas</w:t>
            </w:r>
          </w:p>
        </w:tc>
      </w:tr>
      <w:tr>
        <w:trPr>
          <w:cantSplit w:val="1"/>
        </w:trPr>
        <w:tc>
          <w:tcPr>
            <w:tcW w:type="dxa" w:w="3061"/>
            <w:shd w:fill="F3F5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  <w:t>Código del proyecto</w:t>
            </w:r>
          </w:p>
        </w:tc>
        <w:tc>
          <w:tcPr>
            <w:tcW w:type="dxa" w:w="5952"/>
            <w:shd w:fill="FFFF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</w: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  <w:t>MOVA-2026 / Documento de alcance MOVA-GA-01</w:t>
            </w:r>
          </w:p>
        </w:tc>
      </w:tr>
      <w:tr>
        <w:trPr>
          <w:cantSplit w:val="1"/>
        </w:trPr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  <w:t>Patrocinador / sponsor</w:t>
            </w:r>
          </w:p>
        </w:tc>
        <w:tc>
          <w:tcPr>
            <w:tcW w:type="dxa" w:w="5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</w: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  <w:t>Por completar según definición institucional o académica</w:t>
            </w:r>
          </w:p>
        </w:tc>
      </w:tr>
      <w:tr>
        <w:trPr>
          <w:cantSplit w:val="1"/>
        </w:trPr>
        <w:tc>
          <w:tcPr>
            <w:tcW w:type="dxa" w:w="3061"/>
            <w:shd w:fill="F3F5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  <w:t>Gerente / responsable del proyecto</w:t>
            </w:r>
          </w:p>
        </w:tc>
        <w:tc>
          <w:tcPr>
            <w:tcW w:type="dxa" w:w="5952"/>
            <w:shd w:fill="FFFF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</w: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  <w:t>Maritza San Martín</w:t>
            </w:r>
          </w:p>
        </w:tc>
      </w:tr>
      <w:tr>
        <w:trPr>
          <w:cantSplit w:val="1"/>
        </w:trPr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  <w:t>Marco de trabajo</w:t>
            </w:r>
          </w:p>
        </w:tc>
        <w:tc>
          <w:tcPr>
            <w:tcW w:type="dxa" w:w="5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</w: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  <w:t>Scrum, con Sprints de dos semanas como cadencia inicial revisable</w:t>
            </w:r>
          </w:p>
        </w:tc>
      </w:tr>
      <w:tr>
        <w:trPr>
          <w:cantSplit w:val="1"/>
        </w:trPr>
        <w:tc>
          <w:tcPr>
            <w:tcW w:type="dxa" w:w="3061"/>
            <w:shd w:fill="F3F5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  <w:t>Fecha de inicio</w:t>
            </w:r>
          </w:p>
        </w:tc>
        <w:tc>
          <w:tcPr>
            <w:tcW w:type="dxa" w:w="5952"/>
            <w:shd w:fill="FFFF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</w: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  <w:t>Agosto de 2026</w:t>
            </w:r>
          </w:p>
        </w:tc>
      </w:tr>
      <w:tr>
        <w:trPr>
          <w:cantSplit w:val="1"/>
        </w:trPr>
        <w:tc>
          <w:tcPr>
            <w:tcW w:type="dxa" w:w="30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3F5F7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  <w:t>Fecha estimada de fin</w:t>
            </w:r>
          </w:p>
        </w:tc>
        <w:tc>
          <w:tcPr>
            <w:tcW w:type="dxa" w:w="5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</w: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  <w:t>Diciembre de 2026 (semestre académico)</w:t>
            </w:r>
          </w:p>
        </w:tc>
      </w:tr>
      <w:tr>
        <w:trPr>
          <w:cantSplit w:val="1"/>
        </w:trPr>
        <w:tc>
          <w:tcPr>
            <w:tcW w:type="dxa" w:w="3061"/>
            <w:shd w:fill="F3F5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23364D"/>
              </w:rPr>
              <w:t>Público inicial</w:t>
            </w:r>
          </w:p>
        </w:tc>
        <w:tc>
          <w:tcPr>
            <w:tcW w:type="dxa" w:w="5952"/>
            <w:shd w:fill="FFFFFF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</w:r>
            <w:r>
              <w:rPr>
                <w:rFonts w:ascii="Arial" w:hAnsi="Arial" w:eastAsia="Arial" w:cs="Arial"/>
                <w:sz w:val="20"/>
                <w:szCs w:val="20"/>
                <w:color w:val="222222"/>
              </w:rPr>
              <w:t>Principalmente usuarios que requieren apoyo para organizar rutinas; primera validación orientada principalmente a niños con TEA</w:t>
            </w:r>
          </w:p>
        </w:tc>
      </w:tr>
    </w:tbl>
    <w:tbl>
      <w:tblPr>
        <w:tblW w:type="dxa" w:w="9025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4E9F96"/>
          <w:left w:val="single" w:sz="7" w:space="0" w:color="4E9F96"/>
          <w:bottom w:val="single" w:sz="7" w:space="0" w:color="4E9F96"/>
          <w:right w:val="single" w:sz="7" w:space="0" w:color="4E9F96"/>
          <w:insideH w:val="single" w:sz="7" w:space="0" w:color="4E9F96"/>
          <w:insideV w:val="single" w:sz="7" w:space="0" w:color="4E9F96"/>
        </w:tblBorders>
      </w:tblPr>
      <w:tblGrid>
        <w:gridCol w:w="9866"/>
      </w:tblGrid>
      <w:tr>
        <w:trPr>
          <w:cantSplit w:val="1"/>
        </w:trPr>
        <w:tc>
          <w:tcPr>
            <w:tcW w:type="dxa" w:w="9866"/>
            <w:shd w:fill="EA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color w:val="23364D"/>
              </w:rPr>
              <w:t>Criterio de consistencia del alcance</w:t>
            </w:r>
          </w:p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1"/>
                <w:szCs w:val="21"/>
                <w:color w:val="222222"/>
              </w:rPr>
              <w:t>MOVA no se define en esta versión como un sistema de monitoreo biométrico ni como dispositivo médico. Se eliminan de la plantilla los compromisos de sensores biométricos específicos, diagnóstico o alerta clínica. GPS, vibración, sonido, autonomía exacta, telemetría y sincronización bidireccional en tiempo real se mantienen condicionados a validación de hardware y arquitectura.</w:t>
            </w:r>
          </w:p>
        </w:tc>
      </w:tr>
    </w:tbl>
    <w:p>
      <w:pPr>
        <w:pStyle w:val="Heading1"/>
        <w:keepNext/>
        <w:spacing w:before="280" w:after="120" w:line="240" w:lineRule="auto"/>
        <w:jc w:val="left"/>
        <w:ind w:left="0" w:right="0" w:firstLine="0"/>
      </w:pPr>
      <w:r>
        <w:rPr>
          <w:rFonts w:ascii="Arial" w:hAnsi="Arial" w:eastAsia="Arial" w:cs="Arial"/>
          <w:sz w:val="34"/>
          <w:szCs w:val="34"/>
          <w:b/>
          <w:bCs/>
          <w:color w:val="23364D"/>
        </w:rPr>
        <w:t>2. Propósito y justificación del proyecto</w:t>
      </w:r>
    </w:p>
    <w:p>
      <w:pPr>
        <w:pStyle w:val="Heading2"/>
        <w:keepNext/>
        <w:spacing w:before="200" w:after="80" w:line="240" w:lineRule="auto"/>
        <w:jc w:val="left"/>
        <w:ind w:left="0" w:right="0" w:firstLine="0"/>
      </w:pPr>
      <w:r>
        <w:rPr>
          <w:rFonts w:ascii="Arial" w:hAnsi="Arial" w:eastAsia="Arial" w:cs="Arial"/>
          <w:sz w:val="26"/>
          <w:szCs w:val="26"/>
          <w:b/>
          <w:bCs/>
          <w:color w:val="4E9F96"/>
        </w:rPr>
        <w:t>2.1 Propósito</w:t>
      </w:r>
    </w:p>
    <w:p>
      <w:pPr>
        <w:pStyle w:val="Normal"/>
        <w:spacing w:after="0" w:line="480" w:lineRule="auto" w:before="0"/>
        <w:jc w:val="left"/>
        <w:ind w:left="0" w:right="0" w:firstLine="720"/>
      </w:pPr>
      <w:r>
        <w:rPr>
          <w:rFonts w:ascii="Arial" w:hAnsi="Arial" w:eastAsia="Arial" w:cs="Arial"/>
          <w:sz w:val="22"/>
          <w:szCs w:val="22"/>
          <w:color w:val="222222"/>
        </w:rPr>
        <w:t>Desarrollar y validar una experiencia integrada entre la aplicación móvil y el wearable MOVA, permitiendo que un adulto responsable configure perfiles, rutinas, actividades, horarios y apoyos visuales desde la aplicación, y que la información relevante llegue al dispositivo de forma clara, segura, confiable y útil para el usuario.</w:t>
      </w:r>
    </w:p>
    <w:p>
      <w:pPr>
        <w:pStyle w:val="Normal"/>
        <w:spacing w:after="0" w:line="480" w:lineRule="auto" w:before="0"/>
        <w:jc w:val="left"/>
        <w:ind w:left="0" w:right="0" w:firstLine="720"/>
      </w:pPr>
      <w:r>
        <w:rPr>
          <w:rFonts w:ascii="Arial" w:hAnsi="Arial" w:eastAsia="Arial" w:cs="Arial"/>
          <w:sz w:val="22"/>
          <w:szCs w:val="22"/>
          <w:color w:val="222222"/>
        </w:rPr>
        <w:t>El valor central de MOVA es trasladar la planificación desde el teléfono del adulto al contexto cotidiano del usuario, mediante una interacción visual de baja complejidad, recordatorios y una experiencia portátil que apoye la anticipación y seguimiento de actividades.</w:t>
      </w:r>
    </w:p>
    <w:p>
      <w:pPr>
        <w:pStyle w:val="Heading2"/>
        <w:keepNext/>
        <w:spacing w:before="200" w:after="80" w:line="240" w:lineRule="auto"/>
        <w:jc w:val="left"/>
        <w:ind w:left="0" w:right="0" w:firstLine="0"/>
      </w:pPr>
      <w:r>
        <w:rPr>
          <w:rFonts w:ascii="Arial" w:hAnsi="Arial" w:eastAsia="Arial" w:cs="Arial"/>
          <w:sz w:val="26"/>
          <w:szCs w:val="26"/>
          <w:b/>
          <w:bCs/>
          <w:color w:val="4E9F96"/>
        </w:rPr>
        <w:t>2.2 Justificación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La planificación cotidiana suele depender del teléfono del adulto, agendas físicas o recordatorios verbales; MOVA busca llevar esa información al dispositivo que acompaña al usuario.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La solución integra dos experiencias complementarias: administración desde la aplicación móvil y presentación simplificada de rutinas y apoyos en el wearable.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El uso de pictogramas, imágenes y acciones simples busca reducir la carga de interacción y facilitar la comprensión de la actividad actual y la siguiente.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El proyecto es técnicamente demostrable porque exige integración real entre software, datos, sincronización y un dispositivo compatible, no solo mockups o almacenamiento aislado.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La primera etapa se orienta principalmente a niños con TEA, pero la arquitectura evita condicionar el sistema al almacenamiento de diagnósticos o datos clínicos innecesarios.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MOVA actúa como herramienta de apoyo y no reemplaza el acompañamiento familiar, educativo, profesional ni servicios de emergencia.</w:t>
      </w:r>
    </w:p>
    <w:p>
      <w:pPr>
        <w:pStyle w:val="Heading1"/>
        <w:keepNext/>
        <w:spacing w:before="280" w:after="120" w:line="240" w:lineRule="auto"/>
        <w:jc w:val="left"/>
        <w:ind w:left="0" w:right="0" w:firstLine="0"/>
      </w:pPr>
      <w:r>
        <w:rPr>
          <w:rFonts w:ascii="Arial" w:hAnsi="Arial" w:eastAsia="Arial" w:cs="Arial"/>
          <w:sz w:val="34"/>
          <w:szCs w:val="34"/>
          <w:b/>
          <w:bCs/>
          <w:color w:val="23364D"/>
        </w:rPr>
        <w:t>3. Objetivos del proyecto</w:t>
      </w:r>
    </w:p>
    <w:p>
      <w:pPr>
        <w:pStyle w:val="Heading2"/>
        <w:keepNext/>
        <w:spacing w:before="200" w:after="80" w:line="240" w:lineRule="auto"/>
        <w:jc w:val="left"/>
        <w:ind w:left="0" w:right="0" w:firstLine="0"/>
      </w:pPr>
      <w:r>
        <w:rPr>
          <w:rFonts w:ascii="Arial" w:hAnsi="Arial" w:eastAsia="Arial" w:cs="Arial"/>
          <w:sz w:val="26"/>
          <w:szCs w:val="26"/>
          <w:b/>
          <w:bCs/>
          <w:color w:val="4E9F96"/>
        </w:rPr>
        <w:t>3.1 Objetivo general</w:t>
      </w:r>
    </w:p>
    <w:p>
      <w:pPr>
        <w:pStyle w:val="Normal"/>
        <w:spacing w:after="0" w:line="480" w:lineRule="auto" w:before="0"/>
        <w:jc w:val="left"/>
        <w:ind w:left="0" w:right="0" w:firstLine="720"/>
      </w:pPr>
      <w:r>
        <w:rPr>
          <w:rFonts w:ascii="Arial" w:hAnsi="Arial" w:eastAsia="Arial" w:cs="Arial"/>
          <w:sz w:val="22"/>
          <w:szCs w:val="22"/>
          <w:color w:val="222222"/>
        </w:rPr>
        <w:t>Entregar dentro del periodo académico una primera versión integrada y demostrable de MOVA en la que un adulto responsable pueda crear o modificar una rutina desde la aplicación móvil, sincronizarla con un wearable compatible y permitir que el usuario consulte actividades, reciba apoyos visuales o alertas e interactúe de forma simple, con seguridad, privacidad y evidencia de pruebas.</w:t>
      </w:r>
    </w:p>
    <w:p>
      <w:pPr>
        <w:pStyle w:val="Heading2"/>
        <w:keepNext/>
        <w:spacing w:before="200" w:after="80" w:line="240" w:lineRule="auto"/>
        <w:jc w:val="left"/>
        <w:ind w:left="0" w:right="0" w:firstLine="0"/>
      </w:pPr>
      <w:r>
        <w:rPr>
          <w:rFonts w:ascii="Arial" w:hAnsi="Arial" w:eastAsia="Arial" w:cs="Arial"/>
          <w:sz w:val="26"/>
          <w:szCs w:val="26"/>
          <w:b/>
          <w:bCs/>
          <w:color w:val="4E9F96"/>
        </w:rPr>
        <w:t>3.2 Objetivos específicos</w:t>
      </w:r>
    </w:p>
    <w:p>
      <w:pPr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1.</w:t>
      </w:r>
      <w:r>
        <w:rPr>
          <w:rFonts w:ascii="Arial" w:hAnsi="Arial" w:eastAsia="Arial" w:cs="Arial"/>
          <w:sz w:val="22"/>
          <w:szCs w:val="22"/>
          <w:color w:val="222222"/>
        </w:rPr>
        <w:t xml:space="preserve">  Implementar el acceso seguro de adultos responsables y mantener separadas las entidades Cuenta y Perfil del usuario del wearable.</w:t>
      </w:r>
    </w:p>
    <w:p>
      <w:pPr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2.</w:t>
      </w:r>
      <w:r>
        <w:rPr>
          <w:rFonts w:ascii="Arial" w:hAnsi="Arial" w:eastAsia="Arial" w:cs="Arial"/>
          <w:sz w:val="22"/>
          <w:szCs w:val="22"/>
          <w:color w:val="222222"/>
        </w:rPr>
        <w:t xml:space="preserve">  Permitir la creación, edición, ordenamiento y eliminación/desactivación de rutinas y actividades, incluyendo horarios y pictogramas o imágenes compatibles.</w:t>
      </w:r>
    </w:p>
    <w:p>
      <w:pPr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3.</w:t>
      </w:r>
      <w:r>
        <w:rPr>
          <w:rFonts w:ascii="Arial" w:hAnsi="Arial" w:eastAsia="Arial" w:cs="Arial"/>
          <w:sz w:val="22"/>
          <w:szCs w:val="22"/>
          <w:color w:val="222222"/>
        </w:rPr>
        <w:t xml:space="preserve">  Vincular un wearable con el perfil autorizado y sincronizar la planificación con control de estado, reintentos y manejo de pérdidas temporales de conectividad.</w:t>
      </w:r>
    </w:p>
    <w:p>
      <w:pPr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4.</w:t>
      </w:r>
      <w:r>
        <w:rPr>
          <w:rFonts w:ascii="Arial" w:hAnsi="Arial" w:eastAsia="Arial" w:cs="Arial"/>
          <w:sz w:val="22"/>
          <w:szCs w:val="22"/>
          <w:color w:val="222222"/>
        </w:rPr>
        <w:t xml:space="preserve">  Presentar en el wearable la actividad actual, la siguiente actividad y recordatorios mediante las modalidades realmente soportadas por el dispositivo.</w:t>
      </w:r>
    </w:p>
    <w:p>
      <w:pPr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5.</w:t>
      </w:r>
      <w:r>
        <w:rPr>
          <w:rFonts w:ascii="Arial" w:hAnsi="Arial" w:eastAsia="Arial" w:cs="Arial"/>
          <w:sz w:val="22"/>
          <w:szCs w:val="22"/>
          <w:color w:val="222222"/>
        </w:rPr>
        <w:t xml:space="preserve">  Incorporar interacción simple para confirmar actividades y, en incrementos posteriores si corresponde, registrar estados emocionales o necesidades sin interpretarlos como diagnóstico clínico.</w:t>
      </w:r>
    </w:p>
    <w:p>
      <w:pPr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6.</w:t>
      </w:r>
      <w:r>
        <w:rPr>
          <w:rFonts w:ascii="Arial" w:hAnsi="Arial" w:eastAsia="Arial" w:cs="Arial"/>
          <w:sz w:val="22"/>
          <w:szCs w:val="22"/>
          <w:color w:val="222222"/>
        </w:rPr>
        <w:t xml:space="preserve">  Aplicar controles de autenticación, autorización, minimización de datos, cifrado en tránsito y protección de información de perfiles.</w:t>
      </w:r>
    </w:p>
    <w:p>
      <w:pPr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7.</w:t>
      </w:r>
      <w:r>
        <w:rPr>
          <w:rFonts w:ascii="Arial" w:hAnsi="Arial" w:eastAsia="Arial" w:cs="Arial"/>
          <w:sz w:val="22"/>
          <w:szCs w:val="22"/>
          <w:color w:val="222222"/>
        </w:rPr>
        <w:t xml:space="preserve">  Validar el MVP mediante pruebas funcionales, de integración, usabilidad y no funcionales, alcanzando al menos 90 % de aprobación de los casos críticos definidos.</w:t>
      </w:r>
    </w:p>
    <w:p>
      <w:pPr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8.</w:t>
      </w:r>
      <w:r>
        <w:rPr>
          <w:rFonts w:ascii="Arial" w:hAnsi="Arial" w:eastAsia="Arial" w:cs="Arial"/>
          <w:sz w:val="22"/>
          <w:szCs w:val="22"/>
          <w:color w:val="222222"/>
        </w:rPr>
        <w:t xml:space="preserve">  Mantener GPS, autonomía de batería, telemetría, vibración/sonido y otras capacidades de hardware como funciones condicionadas hasta contar con evidencia técnica suficiente.</w:t>
      </w:r>
    </w:p>
    <w:p>
      <w:pPr>
        <w:pStyle w:val="Heading1"/>
        <w:keepNext/>
        <w:spacing w:before="280" w:after="120" w:line="240" w:lineRule="auto"/>
        <w:jc w:val="left"/>
        <w:ind w:left="0" w:right="0" w:firstLine="0"/>
      </w:pPr>
      <w:r>
        <w:rPr>
          <w:rFonts w:ascii="Arial" w:hAnsi="Arial" w:eastAsia="Arial" w:cs="Arial"/>
          <w:sz w:val="34"/>
          <w:szCs w:val="34"/>
          <w:b/>
          <w:bCs/>
          <w:color w:val="23364D"/>
        </w:rPr>
        <w:t>4. Alcance del proyecto</w:t>
      </w:r>
    </w:p>
    <w:p>
      <w:pPr>
        <w:pStyle w:val="Normal"/>
        <w:spacing w:after="0" w:line="480" w:lineRule="auto" w:before="0"/>
        <w:jc w:val="left"/>
        <w:ind w:left="0" w:right="0" w:firstLine="720"/>
      </w:pPr>
      <w:r>
        <w:rPr>
          <w:rFonts w:ascii="Arial" w:hAnsi="Arial" w:eastAsia="Arial" w:cs="Arial"/>
          <w:sz w:val="22"/>
          <w:szCs w:val="22"/>
          <w:color w:val="222222"/>
        </w:rPr>
        <w:t>El alcance comprende la construcción incremental de una solución app-wearable centrada en rutinas, apoyos visuales, recordatorios, sincronización y control de acceso. El Product Backlog es emergente; por ello, esta línea base define el marco y el corte de MVP, mientras la prioridad detallada puede adaptarse mediante Scrum sin perder el Product Goal.</w:t>
      </w:r>
    </w:p>
    <w:p>
      <w:pPr>
        <w:pStyle w:val="Heading2"/>
        <w:keepNext/>
        <w:spacing w:before="200" w:after="80" w:line="240" w:lineRule="auto"/>
        <w:jc w:val="left"/>
        <w:ind w:left="0" w:right="0" w:firstLine="0"/>
      </w:pPr>
      <w:r>
        <w:rPr>
          <w:rFonts w:ascii="Arial" w:hAnsi="Arial" w:eastAsia="Arial" w:cs="Arial"/>
          <w:sz w:val="26"/>
          <w:szCs w:val="26"/>
          <w:b/>
          <w:bCs/>
          <w:color w:val="4E9F96"/>
        </w:rPr>
        <w:t>4.1 Entregables principales</w:t>
      </w:r>
    </w:p>
    <w:p>
      <w:pPr>
        <w:jc w:val="left"/>
        <w:ind w:firstLine="0"/>
        <w:spacing w:before="160" w:after="0" w:line="240" w:lineRule="auto"/>
        <w:keepNext/>
      </w:pPr>
      <w:r>
        <w:rPr>
          <w:rFonts w:ascii="Arial" w:hAnsi="Arial" w:eastAsia="Arial" w:cs="Arial"/>
          <w:sz w:val="21"/>
          <w:szCs w:val="21"/>
          <w:b/>
          <w:bCs/>
          <w:color w:val="222222"/>
        </w:rPr>
        <w:t>Tabla 2</w:t>
      </w:r>
    </w:p>
    <w:p>
      <w:pPr>
        <w:jc w:val="left"/>
        <w:ind w:firstLine="0"/>
        <w:spacing w:before="0" w:after="100" w:line="240" w:lineRule="auto"/>
        <w:keepNext/>
      </w:pPr>
      <w:r>
        <w:rPr>
          <w:rFonts w:ascii="Arial" w:hAnsi="Arial" w:eastAsia="Arial" w:cs="Arial"/>
          <w:sz w:val="21"/>
          <w:szCs w:val="21"/>
          <w:i/>
          <w:iCs/>
          <w:color w:val="222222"/>
        </w:rPr>
        <w:t>Entregables principales del proyecto</w:t>
      </w:r>
    </w:p>
    <w:tbl>
      <w:tblPr>
        <w:tblW w:type="dxa" w:w="90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FD6"/>
          <w:left w:val="single" w:sz="4" w:space="0" w:color="C7CFD6"/>
          <w:bottom w:val="single" w:sz="4" w:space="0" w:color="C7CFD6"/>
          <w:right w:val="single" w:sz="4" w:space="0" w:color="C7CFD6"/>
          <w:insideH w:val="single" w:sz="4" w:space="0" w:color="C7CFD6"/>
          <w:insideV w:val="single" w:sz="4" w:space="0" w:color="C7CFD6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  <w:cantSplit w:val="1"/>
        </w:trPr>
        <w:tc>
          <w:tcPr>
            <w:tcW w:type="dxa" w:w="737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  <w:t>ID</w:t>
            </w:r>
          </w:p>
        </w:tc>
        <w:tc>
          <w:tcPr>
            <w:tcW w:type="dxa" w:w="2154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  <w:t>Entregable</w:t>
            </w:r>
          </w:p>
        </w:tc>
        <w:tc>
          <w:tcPr>
            <w:tcW w:type="dxa" w:w="4081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  <w:t>Descripción breve</w:t>
            </w:r>
          </w:p>
        </w:tc>
        <w:tc>
          <w:tcPr>
            <w:tcW w:type="dxa" w:w="2040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  <w:t>Fecha estimada</w:t>
            </w:r>
          </w:p>
        </w:tc>
      </w:tr>
      <w:tr>
        <w:trPr>
          <w:cantSplit w:val="1"/>
        </w:trP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E1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Gestión y definición del producto</w:t>
            </w:r>
          </w:p>
        </w:tc>
        <w:tc>
          <w:tcPr>
            <w:tcW w:type="dxa" w:w="40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Product Vision, Plan de Gestión del Alcance, metodología Scrum y backlog priorizado actualizados.</w:t>
            </w:r>
          </w:p>
        </w:tc>
        <w:tc>
          <w:tcPr>
            <w:tcW w:type="dxa" w:w="2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Septiembre 2026</w:t>
            </w:r>
          </w:p>
        </w:tc>
      </w:tr>
      <w:tr>
        <w:trPr>
          <w:cantSplit w:val="1"/>
        </w:trPr>
        <w:tc>
          <w:tcPr>
            <w:tcW w:type="dxa" w:w="73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E2</w:t>
            </w:r>
          </w:p>
        </w:tc>
        <w:tc>
          <w:tcPr>
            <w:tcW w:type="dxa" w:w="215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Diseño UX/UI y flujos</w:t>
            </w:r>
          </w:p>
        </w:tc>
        <w:tc>
          <w:tcPr>
            <w:tcW w:type="dxa" w:w="40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Mockups y flujos principales de la aplicación y del wearable, con interacción de baja complejidad.</w:t>
            </w:r>
          </w:p>
        </w:tc>
        <w:tc>
          <w:tcPr>
            <w:tcW w:type="dxa" w:w="204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Septiembre 2026</w:t>
            </w:r>
          </w:p>
        </w:tc>
      </w:tr>
      <w:tr>
        <w:trPr>
          <w:cantSplit w:val="1"/>
        </w:trP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E3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Arquitectura y datos</w:t>
            </w:r>
          </w:p>
        </w:tc>
        <w:tc>
          <w:tcPr>
            <w:tcW w:type="dxa" w:w="40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Diseño de arquitectura DD-01; modelo conceptual, lógico y físico DD-02; reglas de seguridad e integración.</w:t>
            </w:r>
          </w:p>
        </w:tc>
        <w:tc>
          <w:tcPr>
            <w:tcW w:type="dxa" w:w="2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Septiembre-Octubre 2026</w:t>
            </w:r>
          </w:p>
        </w:tc>
      </w:tr>
      <w:tr>
        <w:trPr>
          <w:cantSplit w:val="1"/>
        </w:trPr>
        <w:tc>
          <w:tcPr>
            <w:tcW w:type="dxa" w:w="73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E4</w:t>
            </w:r>
          </w:p>
        </w:tc>
        <w:tc>
          <w:tcPr>
            <w:tcW w:type="dxa" w:w="215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Aplicación móvil MOVA</w:t>
            </w:r>
          </w:p>
        </w:tc>
        <w:tc>
          <w:tcPr>
            <w:tcW w:type="dxa" w:w="40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Cuenta/acceso, perfiles, rutinas, actividades, horarios, pictogramas, vinculación y estados de sincronización según MVP.</w:t>
            </w:r>
          </w:p>
        </w:tc>
        <w:tc>
          <w:tcPr>
            <w:tcW w:type="dxa" w:w="204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Octubre-Noviembre 2026</w:t>
            </w:r>
          </w:p>
        </w:tc>
      </w:tr>
      <w:tr>
        <w:trPr>
          <w:cantSplit w:val="1"/>
        </w:trP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E5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Servicios y persistencia</w:t>
            </w:r>
          </w:p>
        </w:tc>
        <w:tc>
          <w:tcPr>
            <w:tcW w:type="dxa" w:w="40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Capa de servicios/datos necesaria para autenticación, autorización, rutinas, perfiles y sincronización; modelo físico PostgreSQL cuando aplique a la arquitectura aprobada.</w:t>
            </w:r>
          </w:p>
        </w:tc>
        <w:tc>
          <w:tcPr>
            <w:tcW w:type="dxa" w:w="2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Octubre-Noviembre 2026</w:t>
            </w:r>
          </w:p>
        </w:tc>
      </w:tr>
      <w:tr>
        <w:trPr>
          <w:cantSplit w:val="1"/>
        </w:trPr>
        <w:tc>
          <w:tcPr>
            <w:tcW w:type="dxa" w:w="73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E6</w:t>
            </w:r>
          </w:p>
        </w:tc>
        <w:tc>
          <w:tcPr>
            <w:tcW w:type="dxa" w:w="215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Wearable compatible e integración</w:t>
            </w:r>
          </w:p>
        </w:tc>
        <w:tc>
          <w:tcPr>
            <w:tcW w:type="dxa" w:w="40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Selección/configuración del dispositivo compatible y flujo de presentación de actividades, alertas e interacción simple.</w:t>
            </w:r>
          </w:p>
        </w:tc>
        <w:tc>
          <w:tcPr>
            <w:tcW w:type="dxa" w:w="204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Noviembre 2026</w:t>
            </w:r>
          </w:p>
        </w:tc>
      </w:tr>
      <w:tr>
        <w:trPr>
          <w:cantSplit w:val="1"/>
        </w:trP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E7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MVP integrado app-wearable</w:t>
            </w:r>
          </w:p>
        </w:tc>
        <w:tc>
          <w:tcPr>
            <w:tcW w:type="dxa" w:w="40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Flujo vertical completo: crear/modificar rutina -&gt; sincronizar -&gt; visualizar en wearable -&gt; recibir alerta -&gt; registrar interacción definida.</w:t>
            </w:r>
          </w:p>
        </w:tc>
        <w:tc>
          <w:tcPr>
            <w:tcW w:type="dxa" w:w="2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Noviembre-Diciembre 2026</w:t>
            </w:r>
          </w:p>
        </w:tc>
      </w:tr>
      <w:tr>
        <w:trPr>
          <w:cantSplit w:val="1"/>
        </w:trPr>
        <w:tc>
          <w:tcPr>
            <w:tcW w:type="dxa" w:w="73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E8</w:t>
            </w:r>
          </w:p>
        </w:tc>
        <w:tc>
          <w:tcPr>
            <w:tcW w:type="dxa" w:w="215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Plan y evidencia de pruebas</w:t>
            </w:r>
          </w:p>
        </w:tc>
        <w:tc>
          <w:tcPr>
            <w:tcW w:type="dxa" w:w="40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Pruebas funcionales, integración, usabilidad, seguridad, rendimiento, disponibilidad, compatibilidad y recuperación.</w:t>
            </w:r>
          </w:p>
        </w:tc>
        <w:tc>
          <w:tcPr>
            <w:tcW w:type="dxa" w:w="204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Diciembre 2026</w:t>
            </w:r>
          </w:p>
        </w:tc>
      </w:tr>
      <w:tr>
        <w:trPr>
          <w:cantSplit w:val="1"/>
        </w:trP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E9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Documentación de cierre</w:t>
            </w:r>
          </w:p>
        </w:tc>
        <w:tc>
          <w:tcPr>
            <w:tcW w:type="dxa" w:w="40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Manual de usuario de aplicación y wearable, documentación técnica, resultados de pruebas y evidencia de Sprint Review/demostración final.</w:t>
            </w:r>
          </w:p>
        </w:tc>
        <w:tc>
          <w:tcPr>
            <w:tcW w:type="dxa" w:w="2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Diciembre 2026</w:t>
            </w:r>
          </w:p>
        </w:tc>
      </w:tr>
    </w:tbl>
    <w:p>
      <w:pPr>
        <w:pStyle w:val="Heading2"/>
        <w:keepNext/>
        <w:spacing w:before="200" w:after="80" w:line="240" w:lineRule="auto"/>
        <w:jc w:val="left"/>
        <w:ind w:left="0" w:right="0" w:firstLine="0"/>
      </w:pPr>
      <w:r>
        <w:rPr>
          <w:rFonts w:ascii="Arial" w:hAnsi="Arial" w:eastAsia="Arial" w:cs="Arial"/>
          <w:sz w:val="26"/>
          <w:szCs w:val="26"/>
          <w:b/>
          <w:bCs/>
          <w:color w:val="4E9F96"/>
        </w:rPr>
        <w:t>4.2 Requisitos funcionales</w:t>
      </w:r>
    </w:p>
    <w:p>
      <w:pPr>
        <w:jc w:val="left"/>
        <w:ind w:firstLine="0"/>
        <w:spacing w:before="160" w:after="0" w:line="240" w:lineRule="auto"/>
        <w:keepNext/>
      </w:pPr>
      <w:r>
        <w:rPr>
          <w:rFonts w:ascii="Arial" w:hAnsi="Arial" w:eastAsia="Arial" w:cs="Arial"/>
          <w:sz w:val="21"/>
          <w:szCs w:val="21"/>
          <w:b/>
          <w:bCs/>
          <w:color w:val="222222"/>
        </w:rPr>
        <w:t>Tabla 3</w:t>
      </w:r>
    </w:p>
    <w:p>
      <w:pPr>
        <w:jc w:val="left"/>
        <w:ind w:firstLine="0"/>
        <w:spacing w:before="0" w:after="100" w:line="240" w:lineRule="auto"/>
        <w:keepNext/>
      </w:pPr>
      <w:r>
        <w:rPr>
          <w:rFonts w:ascii="Arial" w:hAnsi="Arial" w:eastAsia="Arial" w:cs="Arial"/>
          <w:sz w:val="21"/>
          <w:szCs w:val="21"/>
          <w:i/>
          <w:iCs/>
          <w:color w:val="222222"/>
        </w:rPr>
        <w:t>Requisitos funcionales de MOVA</w:t>
      </w:r>
    </w:p>
    <w:tbl>
      <w:tblPr>
        <w:tblW w:type="dxa" w:w="90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FD6"/>
          <w:left w:val="single" w:sz="4" w:space="0" w:color="C7CFD6"/>
          <w:bottom w:val="single" w:sz="4" w:space="0" w:color="C7CFD6"/>
          <w:right w:val="single" w:sz="4" w:space="0" w:color="C7CFD6"/>
          <w:insideH w:val="single" w:sz="4" w:space="0" w:color="C7CFD6"/>
          <w:insideV w:val="single" w:sz="4" w:space="0" w:color="C7CFD6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 w:val="1"/>
        </w:trPr>
        <w:tc>
          <w:tcPr>
            <w:tcW w:type="dxa" w:w="680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  <w:t>ID</w:t>
            </w:r>
          </w:p>
        </w:tc>
        <w:tc>
          <w:tcPr>
            <w:tcW w:type="dxa" w:w="1757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  <w:t>Requisito</w:t>
            </w:r>
          </w:p>
        </w:tc>
        <w:tc>
          <w:tcPr>
            <w:tcW w:type="dxa" w:w="2267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  <w:t>Descripción</w:t>
            </w:r>
          </w:p>
        </w:tc>
        <w:tc>
          <w:tcPr>
            <w:tcW w:type="dxa" w:w="907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  <w:t>Prioridad</w:t>
            </w:r>
          </w:p>
        </w:tc>
        <w:tc>
          <w:tcPr>
            <w:tcW w:type="dxa" w:w="2381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  <w:t>Criterio de aceptación resumido</w:t>
            </w:r>
          </w:p>
        </w:tc>
        <w:tc>
          <w:tcPr>
            <w:tcW w:type="dxa" w:w="1020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  <w:t>Entrega</w:t>
            </w:r>
          </w:p>
        </w:tc>
      </w:tr>
      <w:tr>
        <w:trPr>
          <w:cantSplit w:val="1"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RF-01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Cuenta de adulto responsable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Registrar una cuenta con datos mínimos y autenticación segura.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Must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Cuenta creada y apta para iniciar sesión.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MVP</w:t>
            </w:r>
          </w:p>
        </w:tc>
      </w:tr>
      <w:tr>
        <w:trPr>
          <w:cantSplit w:val="1"/>
        </w:trPr>
        <w:tc>
          <w:tcPr>
            <w:tcW w:type="dxa" w:w="68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RF-02</w:t>
            </w:r>
          </w:p>
        </w:tc>
        <w:tc>
          <w:tcPr>
            <w:tcW w:type="dxa" w:w="175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Inicio/cierre de sesión</w:t>
            </w:r>
          </w:p>
        </w:tc>
        <w:tc>
          <w:tcPr>
            <w:tcW w:type="dxa" w:w="226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Permitir acceso con credenciales válidas, rechazo seguro de credenciales inválidas y cierre de sesión.</w:t>
            </w:r>
          </w:p>
        </w:tc>
        <w:tc>
          <w:tcPr>
            <w:tcW w:type="dxa" w:w="90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Must</w:t>
            </w:r>
          </w:p>
        </w:tc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Acceso autorizado sin exponer información sensible.</w:t>
            </w:r>
          </w:p>
        </w:tc>
        <w:tc>
          <w:tcPr>
            <w:tcW w:type="dxa" w:w="102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MVP</w:t>
            </w:r>
          </w:p>
        </w:tc>
      </w:tr>
      <w:tr>
        <w:trPr>
          <w:cantSplit w:val="1"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RF-03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Perfil del wearable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Crear un perfil independiente de la cuenta responsable para asociar rutinas, preferencias y dispositivo.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Must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Perfil persistente, asociado al responsable autorizado y sin exigir datos clínicos.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MVP</w:t>
            </w:r>
          </w:p>
        </w:tc>
      </w:tr>
      <w:tr>
        <w:trPr>
          <w:cantSplit w:val="1"/>
        </w:trPr>
        <w:tc>
          <w:tcPr>
            <w:tcW w:type="dxa" w:w="68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RF-04</w:t>
            </w:r>
          </w:p>
        </w:tc>
        <w:tc>
          <w:tcPr>
            <w:tcW w:type="dxa" w:w="175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Responsables autorizados</w:t>
            </w:r>
          </w:p>
        </w:tc>
        <w:tc>
          <w:tcPr>
            <w:tcW w:type="dxa" w:w="226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Permitir que un perfil pueda ser administrado por una o más cuentas autorizadas según permisos.</w:t>
            </w:r>
          </w:p>
        </w:tc>
        <w:tc>
          <w:tcPr>
            <w:tcW w:type="dxa" w:w="90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Should</w:t>
            </w:r>
          </w:p>
        </w:tc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Relación Cuenta-Perfil controlada y revocable.</w:t>
            </w:r>
          </w:p>
        </w:tc>
        <w:tc>
          <w:tcPr>
            <w:tcW w:type="dxa" w:w="102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Incremento 2</w:t>
            </w:r>
          </w:p>
        </w:tc>
      </w:tr>
      <w:tr>
        <w:trPr>
          <w:cantSplit w:val="1"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RF-05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Creación de rutina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Crear una rutina identificable asociada al perfil seleccionado.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Must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Rutina guardada y visible en el perfil.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MVP</w:t>
            </w:r>
          </w:p>
        </w:tc>
      </w:tr>
      <w:tr>
        <w:trPr>
          <w:cantSplit w:val="1"/>
        </w:trPr>
        <w:tc>
          <w:tcPr>
            <w:tcW w:type="dxa" w:w="68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RF-06</w:t>
            </w:r>
          </w:p>
        </w:tc>
        <w:tc>
          <w:tcPr>
            <w:tcW w:type="dxa" w:w="175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Actividades</w:t>
            </w:r>
          </w:p>
        </w:tc>
        <w:tc>
          <w:tcPr>
            <w:tcW w:type="dxa" w:w="226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Agregar actividades a una rutina con los campos mínimos definidos.</w:t>
            </w:r>
          </w:p>
        </w:tc>
        <w:tc>
          <w:tcPr>
            <w:tcW w:type="dxa" w:w="90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Must</w:t>
            </w:r>
          </w:p>
        </w:tc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Actividades persistentes y asociadas a la rutina correcta.</w:t>
            </w:r>
          </w:p>
        </w:tc>
        <w:tc>
          <w:tcPr>
            <w:tcW w:type="dxa" w:w="102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MVP</w:t>
            </w:r>
          </w:p>
        </w:tc>
      </w:tr>
      <w:tr>
        <w:trPr>
          <w:cantSplit w:val="1"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RF-07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Pictogramas / imágenes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Asociar recursos visuales compatibles a las actividades.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Must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Vista previa en app y visualización reconocible en wearable cuando sea soportado.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MVP</w:t>
            </w:r>
          </w:p>
        </w:tc>
      </w:tr>
      <w:tr>
        <w:trPr>
          <w:cantSplit w:val="1"/>
        </w:trPr>
        <w:tc>
          <w:tcPr>
            <w:tcW w:type="dxa" w:w="68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RF-08</w:t>
            </w:r>
          </w:p>
        </w:tc>
        <w:tc>
          <w:tcPr>
            <w:tcW w:type="dxa" w:w="175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Horarios y orden</w:t>
            </w:r>
          </w:p>
        </w:tc>
        <w:tc>
          <w:tcPr>
            <w:tcW w:type="dxa" w:w="226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Definir horario/regla temporal y reordenar actividades.</w:t>
            </w:r>
          </w:p>
        </w:tc>
        <w:tc>
          <w:tcPr>
            <w:tcW w:type="dxa" w:w="90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Must</w:t>
            </w:r>
          </w:p>
        </w:tc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Orden y horario se conservan después de guardar y sincronizar.</w:t>
            </w:r>
          </w:p>
        </w:tc>
        <w:tc>
          <w:tcPr>
            <w:tcW w:type="dxa" w:w="102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MVP</w:t>
            </w:r>
          </w:p>
        </w:tc>
      </w:tr>
      <w:tr>
        <w:trPr>
          <w:cantSplit w:val="1"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RF-09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Edición y eliminación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Modificar o eliminar/desactivar rutinas y actividades con confirmación cuando corresponda.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Must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Cambios sin duplicados; elementos eliminados no generan nuevas alertas.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MVP</w:t>
            </w:r>
          </w:p>
        </w:tc>
      </w:tr>
      <w:tr>
        <w:trPr>
          <w:cantSplit w:val="1"/>
        </w:trPr>
        <w:tc>
          <w:tcPr>
            <w:tcW w:type="dxa" w:w="68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RF-10</w:t>
            </w:r>
          </w:p>
        </w:tc>
        <w:tc>
          <w:tcPr>
            <w:tcW w:type="dxa" w:w="175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Vinculación wearable-perfil</w:t>
            </w:r>
          </w:p>
        </w:tc>
        <w:tc>
          <w:tcPr>
            <w:tcW w:type="dxa" w:w="226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Asociar un dispositivo compatible al perfil autorizado correcto.</w:t>
            </w:r>
          </w:p>
        </w:tc>
        <w:tc>
          <w:tcPr>
            <w:tcW w:type="dxa" w:w="90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Must</w:t>
            </w:r>
          </w:p>
        </w:tc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Estado inequívoco de vinculación y prevención de asociaciones no autorizadas.</w:t>
            </w:r>
          </w:p>
        </w:tc>
        <w:tc>
          <w:tcPr>
            <w:tcW w:type="dxa" w:w="102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MVP</w:t>
            </w:r>
          </w:p>
        </w:tc>
      </w:tr>
      <w:tr>
        <w:trPr>
          <w:cantSplit w:val="1"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RF-11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Sincronización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Enviar la planificación vigente al wearable y confirmar el resultado.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Must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Versión en wearable coincide con versión vigente de la app.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MVP</w:t>
            </w:r>
          </w:p>
        </w:tc>
      </w:tr>
      <w:tr>
        <w:trPr>
          <w:cantSplit w:val="1"/>
        </w:trPr>
        <w:tc>
          <w:tcPr>
            <w:tcW w:type="dxa" w:w="68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RF-12</w:t>
            </w:r>
          </w:p>
        </w:tc>
        <w:tc>
          <w:tcPr>
            <w:tcW w:type="dxa" w:w="175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Estado y reintento</w:t>
            </w:r>
          </w:p>
        </w:tc>
        <w:tc>
          <w:tcPr>
            <w:tcW w:type="dxa" w:w="226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Mostrar sincronización exitosa, pendiente o fallida y permitir reintento seguro.</w:t>
            </w:r>
          </w:p>
        </w:tc>
        <w:tc>
          <w:tcPr>
            <w:tcW w:type="dxa" w:w="90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Must</w:t>
            </w:r>
          </w:p>
        </w:tc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Una falla no se informa como éxito y el reintento no duplica datos.</w:t>
            </w:r>
          </w:p>
        </w:tc>
        <w:tc>
          <w:tcPr>
            <w:tcW w:type="dxa" w:w="102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MVP</w:t>
            </w:r>
          </w:p>
        </w:tc>
      </w:tr>
      <w:tr>
        <w:trPr>
          <w:cantSplit w:val="1"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RF-13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Actividad actual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Mostrar en el wearable la actividad vigente con texto breve y/o apoyo visual.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Must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Información legible y sin navegación compleja.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MVP</w:t>
            </w:r>
          </w:p>
        </w:tc>
      </w:tr>
      <w:tr>
        <w:trPr>
          <w:cantSplit w:val="1"/>
        </w:trPr>
        <w:tc>
          <w:tcPr>
            <w:tcW w:type="dxa" w:w="68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RF-14</w:t>
            </w:r>
          </w:p>
        </w:tc>
        <w:tc>
          <w:tcPr>
            <w:tcW w:type="dxa" w:w="175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Alertas / recordatorios</w:t>
            </w:r>
          </w:p>
        </w:tc>
        <w:tc>
          <w:tcPr>
            <w:tcW w:type="dxa" w:w="226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Presentar una señal al horario configurado usando solo modalidades soportadas por el dispositivo.</w:t>
            </w:r>
          </w:p>
        </w:tc>
        <w:tc>
          <w:tcPr>
            <w:tcW w:type="dxa" w:w="90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Must</w:t>
            </w:r>
          </w:p>
        </w:tc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Alerta asociada a la actividad y sin repeticiones no previstas.</w:t>
            </w:r>
          </w:p>
        </w:tc>
        <w:tc>
          <w:tcPr>
            <w:tcW w:type="dxa" w:w="102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MVP</w:t>
            </w:r>
          </w:p>
        </w:tc>
      </w:tr>
      <w:tr>
        <w:trPr>
          <w:cantSplit w:val="1"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RF-15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Confirmar actividad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Permitir marcar una actividad como completada mediante una acción simple.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Must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Estado actualizado; retorno a la app solo si la arquitectura lo soporta.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MVP</w:t>
            </w:r>
          </w:p>
        </w:tc>
      </w:tr>
      <w:tr>
        <w:trPr>
          <w:cantSplit w:val="1"/>
        </w:trPr>
        <w:tc>
          <w:tcPr>
            <w:tcW w:type="dxa" w:w="68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RF-16</w:t>
            </w:r>
          </w:p>
        </w:tc>
        <w:tc>
          <w:tcPr>
            <w:tcW w:type="dxa" w:w="175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Siguiente actividad</w:t>
            </w:r>
          </w:p>
        </w:tc>
        <w:tc>
          <w:tcPr>
            <w:tcW w:type="dxa" w:w="226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Permitir consultar la próxima actividad sin perder la referencia de la actual.</w:t>
            </w:r>
          </w:p>
        </w:tc>
        <w:tc>
          <w:tcPr>
            <w:tcW w:type="dxa" w:w="90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Should</w:t>
            </w:r>
          </w:p>
        </w:tc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Respeta orden/horario y comunica cuando no existe siguiente actividad.</w:t>
            </w:r>
          </w:p>
        </w:tc>
        <w:tc>
          <w:tcPr>
            <w:tcW w:type="dxa" w:w="102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MVP</w:t>
            </w:r>
          </w:p>
        </w:tc>
      </w:tr>
      <w:tr>
        <w:trPr>
          <w:cantSplit w:val="1"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RF-17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Estado emocional simple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Permitir seleccionar una opción visual de estado emocional o necesidad sin interpretación clínica.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Should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Selección temporal registrada con interacción simple.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Incremento 2</w:t>
            </w:r>
          </w:p>
        </w:tc>
      </w:tr>
      <w:tr>
        <w:trPr>
          <w:cantSplit w:val="1"/>
        </w:trPr>
        <w:tc>
          <w:tcPr>
            <w:tcW w:type="dxa" w:w="68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RF-18</w:t>
            </w:r>
          </w:p>
        </w:tc>
        <w:tc>
          <w:tcPr>
            <w:tcW w:type="dxa" w:w="175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Seguimiento y batería</w:t>
            </w:r>
          </w:p>
        </w:tc>
        <w:tc>
          <w:tcPr>
            <w:tcW w:type="dxa" w:w="226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Mostrar progreso sincronizado y, si el hardware lo expone, el último estado de batería reportado.</w:t>
            </w:r>
          </w:p>
        </w:tc>
        <w:tc>
          <w:tcPr>
            <w:tcW w:type="dxa" w:w="90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Should</w:t>
            </w:r>
          </w:p>
        </w:tc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Datos distinguen estado confirmado/desactualizado.</w:t>
            </w:r>
          </w:p>
        </w:tc>
        <w:tc>
          <w:tcPr>
            <w:tcW w:type="dxa" w:w="102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Incremento 2</w:t>
            </w:r>
          </w:p>
        </w:tc>
      </w:tr>
      <w:tr>
        <w:trPr>
          <w:cantSplit w:val="1"/>
        </w:trPr>
        <w:tc>
          <w:tcPr>
            <w:tcW w:type="dxa" w:w="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RF-19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Ubicación GPS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Consultar última ubicación válida con fecha/hora, solo si hardware, permisos, conectividad y alcance lo permiten.</w:t>
            </w:r>
          </w:p>
        </w:tc>
        <w:tc>
          <w:tcPr>
            <w:tcW w:type="dxa" w:w="90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Condicional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No se presenta como ubicación en tiempo real garantizada.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Post-MVP / condicional</w:t>
            </w:r>
          </w:p>
        </w:tc>
      </w:tr>
      <w:tr>
        <w:trPr>
          <w:cantSplit w:val="1"/>
        </w:trPr>
        <w:tc>
          <w:tcPr>
            <w:tcW w:type="dxa" w:w="68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RF-20</w:t>
            </w:r>
          </w:p>
        </w:tc>
        <w:tc>
          <w:tcPr>
            <w:tcW w:type="dxa" w:w="175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Control sobre datos</w:t>
            </w:r>
          </w:p>
        </w:tc>
        <w:tc>
          <w:tcPr>
            <w:tcW w:type="dxa" w:w="226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Permitir solicitar eliminación de datos administrados conforme a reglas de integridad y retención.</w:t>
            </w:r>
          </w:p>
        </w:tc>
        <w:tc>
          <w:tcPr>
            <w:tcW w:type="dxa" w:w="90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Should</w:t>
            </w:r>
          </w:p>
        </w:tc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Confirmación explícita y resultado informado.</w:t>
            </w:r>
          </w:p>
        </w:tc>
        <w:tc>
          <w:tcPr>
            <w:tcW w:type="dxa" w:w="102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Post-MVP</w:t>
            </w:r>
          </w:p>
        </w:tc>
      </w:tr>
    </w:tbl>
    <w:p>
      <w:pPr>
        <w:pStyle w:val="Heading2"/>
        <w:keepNext/>
        <w:spacing w:before="200" w:after="80" w:line="240" w:lineRule="auto"/>
        <w:jc w:val="left"/>
        <w:ind w:left="0" w:right="0" w:firstLine="0"/>
      </w:pPr>
      <w:r>
        <w:rPr>
          <w:rFonts w:ascii="Arial" w:hAnsi="Arial" w:eastAsia="Arial" w:cs="Arial"/>
          <w:sz w:val="26"/>
          <w:szCs w:val="26"/>
          <w:b/>
          <w:bCs/>
          <w:color w:val="4E9F96"/>
        </w:rPr>
        <w:t>4.3 Requisitos no funcionales</w:t>
      </w:r>
    </w:p>
    <w:p>
      <w:pPr>
        <w:jc w:val="left"/>
        <w:ind w:firstLine="0"/>
        <w:spacing w:before="160" w:after="0" w:line="240" w:lineRule="auto"/>
        <w:keepNext/>
      </w:pPr>
      <w:r>
        <w:rPr>
          <w:rFonts w:ascii="Arial" w:hAnsi="Arial" w:eastAsia="Arial" w:cs="Arial"/>
          <w:sz w:val="21"/>
          <w:szCs w:val="21"/>
          <w:b/>
          <w:bCs/>
          <w:color w:val="222222"/>
        </w:rPr>
        <w:t>Tabla 4</w:t>
      </w:r>
    </w:p>
    <w:p>
      <w:pPr>
        <w:jc w:val="left"/>
        <w:ind w:firstLine="0"/>
        <w:spacing w:before="0" w:after="100" w:line="240" w:lineRule="auto"/>
        <w:keepNext/>
      </w:pPr>
      <w:r>
        <w:rPr>
          <w:rFonts w:ascii="Arial" w:hAnsi="Arial" w:eastAsia="Arial" w:cs="Arial"/>
          <w:sz w:val="21"/>
          <w:szCs w:val="21"/>
          <w:i/>
          <w:iCs/>
          <w:color w:val="222222"/>
        </w:rPr>
        <w:t>Requisitos no funcionales de MOVA</w:t>
      </w:r>
    </w:p>
    <w:tbl>
      <w:tblPr>
        <w:tblW w:type="dxa" w:w="90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FD6"/>
          <w:left w:val="single" w:sz="4" w:space="0" w:color="C7CFD6"/>
          <w:bottom w:val="single" w:sz="4" w:space="0" w:color="C7CFD6"/>
          <w:right w:val="single" w:sz="4" w:space="0" w:color="C7CFD6"/>
          <w:insideH w:val="single" w:sz="4" w:space="0" w:color="C7CFD6"/>
          <w:insideV w:val="single" w:sz="4" w:space="0" w:color="C7CFD6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 w:val="1"/>
        </w:trPr>
        <w:tc>
          <w:tcPr>
            <w:tcW w:type="dxa" w:w="708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  <w:t>ID</w:t>
            </w:r>
          </w:p>
        </w:tc>
        <w:tc>
          <w:tcPr>
            <w:tcW w:type="dxa" w:w="1700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  <w:t>Requisito</w:t>
            </w:r>
          </w:p>
        </w:tc>
        <w:tc>
          <w:tcPr>
            <w:tcW w:type="dxa" w:w="2267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  <w:t>Descripción detallada</w:t>
            </w:r>
          </w:p>
        </w:tc>
        <w:tc>
          <w:tcPr>
            <w:tcW w:type="dxa" w:w="850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  <w:t>Prioridad</w:t>
            </w:r>
          </w:p>
        </w:tc>
        <w:tc>
          <w:tcPr>
            <w:tcW w:type="dxa" w:w="2154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  <w:t>Criterio de aceptación</w:t>
            </w:r>
          </w:p>
        </w:tc>
        <w:tc>
          <w:tcPr>
            <w:tcW w:type="dxa" w:w="1360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  <w:t>Observaciones técnicas</w:t>
            </w:r>
          </w:p>
        </w:tc>
      </w:tr>
      <w:tr>
        <w:trPr>
          <w:cantSplit w:val="1"/>
        </w:trPr>
        <w:tc>
          <w:tcPr>
            <w:tcW w:type="dxa" w:w="7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RNF-01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Seguridad - autenticación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Funciones de administración y consulta solo disponibles para sesiones autenticadas y autorizadas.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Alta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Pruebas de acceso autorizado/no autorizado.</w:t>
            </w:r>
          </w:p>
        </w:tc>
        <w:tc>
          <w:tcPr>
            <w:tcW w:type="dxa" w:w="1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Aplicar en app, backend/capa de datos y APIs.</w:t>
            </w:r>
          </w:p>
        </w:tc>
      </w:tr>
      <w:tr>
        <w:trPr>
          <w:cantSplit w:val="1"/>
        </w:trPr>
        <w:tc>
          <w:tcPr>
            <w:tcW w:type="dxa" w:w="708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RNF-02</w:t>
            </w:r>
          </w:p>
        </w:tc>
        <w:tc>
          <w:tcPr>
            <w:tcW w:type="dxa" w:w="170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Seguridad - datos en tránsito</w:t>
            </w:r>
          </w:p>
        </w:tc>
        <w:tc>
          <w:tcPr>
            <w:tcW w:type="dxa" w:w="226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Cuando exista red IP, la comunicación usa canales cifrados vigentes (p. ej., HTTPS/TLS).</w:t>
            </w:r>
          </w:p>
        </w:tc>
        <w:tc>
          <w:tcPr>
            <w:tcW w:type="dxa" w:w="85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Alta</w:t>
            </w:r>
          </w:p>
        </w:tc>
        <w:tc>
          <w:tcPr>
            <w:tcW w:type="dxa" w:w="215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Configuración técnica o inspección de conexión.</w:t>
            </w:r>
          </w:p>
        </w:tc>
        <w:tc>
          <w:tcPr>
            <w:tcW w:type="dxa" w:w="136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No incluir secretos en logs.</w:t>
            </w:r>
          </w:p>
        </w:tc>
      </w:tr>
      <w:tr>
        <w:trPr>
          <w:cantSplit w:val="1"/>
        </w:trPr>
        <w:tc>
          <w:tcPr>
            <w:tcW w:type="dxa" w:w="7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RNF-03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Privacidad - minimización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Solicitar y conservar únicamente datos necesarios; evitar exposición en errores o registros.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Alta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Revisión de formularios, pantallas y logs.</w:t>
            </w:r>
          </w:p>
        </w:tc>
        <w:tc>
          <w:tcPr>
            <w:tcW w:type="dxa" w:w="1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No exigir diagnóstico clínico.</w:t>
            </w:r>
          </w:p>
        </w:tc>
      </w:tr>
      <w:tr>
        <w:trPr>
          <w:cantSplit w:val="1"/>
        </w:trPr>
        <w:tc>
          <w:tcPr>
            <w:tcW w:type="dxa" w:w="708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RNF-04</w:t>
            </w:r>
          </w:p>
        </w:tc>
        <w:tc>
          <w:tcPr>
            <w:tcW w:type="dxa" w:w="170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Privacidad - ubicación</w:t>
            </w:r>
          </w:p>
        </w:tc>
        <w:tc>
          <w:tcPr>
            <w:tcW w:type="dxa" w:w="226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Si se incorpora GPS, la ubicación solo es accesible a cuentas autorizadas.</w:t>
            </w:r>
          </w:p>
        </w:tc>
        <w:tc>
          <w:tcPr>
            <w:tcW w:type="dxa" w:w="85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Alta</w:t>
            </w:r>
          </w:p>
        </w:tc>
        <w:tc>
          <w:tcPr>
            <w:tcW w:type="dxa" w:w="215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Prueba por roles y revisión visual.</w:t>
            </w:r>
          </w:p>
        </w:tc>
        <w:tc>
          <w:tcPr>
            <w:tcW w:type="dxa" w:w="136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Ubicación como eventos históricos con marca temporal.</w:t>
            </w:r>
          </w:p>
        </w:tc>
      </w:tr>
      <w:tr>
        <w:trPr>
          <w:cantSplit w:val="1"/>
        </w:trPr>
        <w:tc>
          <w:tcPr>
            <w:tcW w:type="dxa" w:w="7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RNF-05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Rendimiento - navegación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Objetivo inicial: acciones locales habituales responden visualmente en ≤ 2 s, excluyendo operaciones de red.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Media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10 ejecuciones y registro de tiempos.</w:t>
            </w:r>
          </w:p>
        </w:tc>
        <w:tc>
          <w:tcPr>
            <w:tcW w:type="dxa" w:w="1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Ajustable según hardware final.</w:t>
            </w:r>
          </w:p>
        </w:tc>
      </w:tr>
      <w:tr>
        <w:trPr>
          <w:cantSplit w:val="1"/>
        </w:trPr>
        <w:tc>
          <w:tcPr>
            <w:tcW w:type="dxa" w:w="708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RNF-06</w:t>
            </w:r>
          </w:p>
        </w:tc>
        <w:tc>
          <w:tcPr>
            <w:tcW w:type="dxa" w:w="170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Rendimiento - sincronización</w:t>
            </w:r>
          </w:p>
        </w:tc>
        <w:tc>
          <w:tcPr>
            <w:tcW w:type="dxa" w:w="226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Con conectividad estable, objetivo inicial: rutina modificada disponible en wearable en ≤ 5 s en al menos 9/10 pruebas.</w:t>
            </w:r>
          </w:p>
        </w:tc>
        <w:tc>
          <w:tcPr>
            <w:tcW w:type="dxa" w:w="85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Alta</w:t>
            </w:r>
          </w:p>
        </w:tc>
        <w:tc>
          <w:tcPr>
            <w:tcW w:type="dxa" w:w="215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Registro de 10 sincronizaciones.</w:t>
            </w:r>
          </w:p>
        </w:tc>
        <w:tc>
          <w:tcPr>
            <w:tcW w:type="dxa" w:w="136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Umbral sujeto a arquitectura y dispositivo.</w:t>
            </w:r>
          </w:p>
        </w:tc>
      </w:tr>
      <w:tr>
        <w:trPr>
          <w:cantSplit w:val="1"/>
        </w:trPr>
        <w:tc>
          <w:tcPr>
            <w:tcW w:type="dxa" w:w="7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RNF-07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Rendimiento - alertas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Objetivo inicial: alerta dentro de ±10 s del horario configurado en pruebas controladas.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Alta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Video/log temporal con reloj visible.</w:t>
            </w:r>
          </w:p>
        </w:tc>
        <w:tc>
          <w:tcPr>
            <w:tcW w:type="dxa" w:w="1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Depende del SO y mecanismo de alertas.</w:t>
            </w:r>
          </w:p>
        </w:tc>
      </w:tr>
      <w:tr>
        <w:trPr>
          <w:cantSplit w:val="1"/>
        </w:trPr>
        <w:tc>
          <w:tcPr>
            <w:tcW w:type="dxa" w:w="708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RNF-08</w:t>
            </w:r>
          </w:p>
        </w:tc>
        <w:tc>
          <w:tcPr>
            <w:tcW w:type="dxa" w:w="170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Disponibilidad - recuperación</w:t>
            </w:r>
          </w:p>
        </w:tc>
        <w:tc>
          <w:tcPr>
            <w:tcW w:type="dxa" w:w="226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Tras interrupción temporal, recuperar comunicación sin reinstalar ni perder rutinas guardadas.</w:t>
            </w:r>
          </w:p>
        </w:tc>
        <w:tc>
          <w:tcPr>
            <w:tcW w:type="dxa" w:w="85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Alta</w:t>
            </w:r>
          </w:p>
        </w:tc>
        <w:tc>
          <w:tcPr>
            <w:tcW w:type="dxa" w:w="215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Prueba de caída y recuperación.</w:t>
            </w:r>
          </w:p>
        </w:tc>
        <w:tc>
          <w:tcPr>
            <w:tcW w:type="dxa" w:w="136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Debe permitir reintento.</w:t>
            </w:r>
          </w:p>
        </w:tc>
      </w:tr>
      <w:tr>
        <w:trPr>
          <w:cantSplit w:val="1"/>
        </w:trPr>
        <w:tc>
          <w:tcPr>
            <w:tcW w:type="dxa" w:w="7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RNF-09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Disponibilidad - datos locales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Rutinas ya sincronizadas necesarias permanecen disponibles durante pérdida breve de conexión, según capacidad del wearable.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Alta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Prueba sin conectividad.</w:t>
            </w:r>
          </w:p>
        </w:tc>
        <w:tc>
          <w:tcPr>
            <w:tcW w:type="dxa" w:w="1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No prometer más almacenamiento del soportado.</w:t>
            </w:r>
          </w:p>
        </w:tc>
      </w:tr>
      <w:tr>
        <w:trPr>
          <w:cantSplit w:val="1"/>
        </w:trPr>
        <w:tc>
          <w:tcPr>
            <w:tcW w:type="dxa" w:w="708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RNF-10</w:t>
            </w:r>
          </w:p>
        </w:tc>
        <w:tc>
          <w:tcPr>
            <w:tcW w:type="dxa" w:w="170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Escalabilidad lógica</w:t>
            </w:r>
          </w:p>
        </w:tc>
        <w:tc>
          <w:tcPr>
            <w:tcW w:type="dxa" w:w="226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Modelo de datos permite múltiples perfiles, rutinas y actividades sin cambios estructurales del flujo principal.</w:t>
            </w:r>
          </w:p>
        </w:tc>
        <w:tc>
          <w:tcPr>
            <w:tcW w:type="dxa" w:w="85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Media</w:t>
            </w:r>
          </w:p>
        </w:tc>
        <w:tc>
          <w:tcPr>
            <w:tcW w:type="dxa" w:w="215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Dataset ampliado y revisión técnica.</w:t>
            </w:r>
          </w:p>
        </w:tc>
        <w:tc>
          <w:tcPr>
            <w:tcW w:type="dxa" w:w="136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Alineado con DD-02.</w:t>
            </w:r>
          </w:p>
        </w:tc>
      </w:tr>
      <w:tr>
        <w:trPr>
          <w:cantSplit w:val="1"/>
        </w:trPr>
        <w:tc>
          <w:tcPr>
            <w:tcW w:type="dxa" w:w="7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RNF-11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Escalabilidad - carga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Si existe backend desplegado, objetivo inicial: operaciones críticas sin error con al menos 100 sesiones concurrentes simuladas.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Media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Informe de prueba de carga.</w:t>
            </w:r>
          </w:p>
        </w:tc>
        <w:tc>
          <w:tcPr>
            <w:tcW w:type="dxa" w:w="1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Ajustable según ambiente.</w:t>
            </w:r>
          </w:p>
        </w:tc>
      </w:tr>
      <w:tr>
        <w:trPr>
          <w:cantSplit w:val="1"/>
        </w:trPr>
        <w:tc>
          <w:tcPr>
            <w:tcW w:type="dxa" w:w="708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RNF-12</w:t>
            </w:r>
          </w:p>
        </w:tc>
        <w:tc>
          <w:tcPr>
            <w:tcW w:type="dxa" w:w="170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Compatibilidad</w:t>
            </w:r>
          </w:p>
        </w:tc>
        <w:tc>
          <w:tcPr>
            <w:tcW w:type="dxa" w:w="226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App y wearable operan en versiones de SO/hardware declaradas oficialmente para el MVP.</w:t>
            </w:r>
          </w:p>
        </w:tc>
        <w:tc>
          <w:tcPr>
            <w:tcW w:type="dxa" w:w="85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Alta</w:t>
            </w:r>
          </w:p>
        </w:tc>
        <w:tc>
          <w:tcPr>
            <w:tcW w:type="dxa" w:w="215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Matriz de compatibilidad ejecutada.</w:t>
            </w:r>
          </w:p>
        </w:tc>
        <w:tc>
          <w:tcPr>
            <w:tcW w:type="dxa" w:w="136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Validar antes de comprometer funciones de hardware.</w:t>
            </w:r>
          </w:p>
        </w:tc>
      </w:tr>
      <w:tr>
        <w:trPr>
          <w:cantSplit w:val="1"/>
        </w:trPr>
        <w:tc>
          <w:tcPr>
            <w:tcW w:type="dxa" w:w="7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RNF-13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Usabilidad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Un adulto de prueba puede crear una rutina, asignar apoyo visual y enviarla al wearable sin asistencia técnica directa.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Alta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Sesión de usabilidad y observaciones.</w:t>
            </w:r>
          </w:p>
        </w:tc>
        <w:tc>
          <w:tcPr>
            <w:tcW w:type="dxa" w:w="1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Feedback vuelve al Product Backlog.</w:t>
            </w:r>
          </w:p>
        </w:tc>
      </w:tr>
      <w:tr>
        <w:trPr>
          <w:cantSplit w:val="1"/>
        </w:trPr>
        <w:tc>
          <w:tcPr>
            <w:tcW w:type="dxa" w:w="708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RNF-14</w:t>
            </w:r>
          </w:p>
        </w:tc>
        <w:tc>
          <w:tcPr>
            <w:tcW w:type="dxa" w:w="170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Legibilidad</w:t>
            </w:r>
          </w:p>
        </w:tc>
        <w:tc>
          <w:tcPr>
            <w:tcW w:type="dxa" w:w="226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Textos, pictogramas e indicadores críticos no presentan solapamientos, recortes ni pérdida de información esencial.</w:t>
            </w:r>
          </w:p>
        </w:tc>
        <w:tc>
          <w:tcPr>
            <w:tcW w:type="dxa" w:w="85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Alta</w:t>
            </w:r>
          </w:p>
        </w:tc>
        <w:tc>
          <w:tcPr>
            <w:tcW w:type="dxa" w:w="215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Capturas en dispositivos objetivo.</w:t>
            </w:r>
          </w:p>
        </w:tc>
        <w:tc>
          <w:tcPr>
            <w:tcW w:type="dxa" w:w="136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Validar tamaño real de pantalla.</w:t>
            </w:r>
          </w:p>
        </w:tc>
      </w:tr>
      <w:tr>
        <w:trPr>
          <w:cantSplit w:val="1"/>
        </w:trPr>
        <w:tc>
          <w:tcPr>
            <w:tcW w:type="dxa" w:w="7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RNF-15</w:t>
            </w:r>
          </w:p>
        </w:tc>
        <w:tc>
          <w:tcPr>
            <w:tcW w:type="dxa" w:w="17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Batería del wearable</w:t>
            </w:r>
          </w:p>
        </w:tc>
        <w:tc>
          <w:tcPr>
            <w:tcW w:type="dxa" w:w="22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Objetivo inicial: completar jornada de prueba de 12 h con perfil de uso del MVP sin apagarse.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Media</w:t>
            </w:r>
          </w:p>
        </w:tc>
        <w:tc>
          <w:tcPr>
            <w:tcW w:type="dxa" w:w="21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Registro de nivel inicial/final y duración.</w:t>
            </w:r>
          </w:p>
        </w:tc>
        <w:tc>
          <w:tcPr>
            <w:tcW w:type="dxa" w:w="13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No asumir autonomía hasta validación real.</w:t>
            </w:r>
          </w:p>
        </w:tc>
      </w:tr>
    </w:tbl>
    <w:p>
      <w:pPr>
        <w:pStyle w:val="Heading2"/>
        <w:keepNext/>
        <w:spacing w:before="200" w:after="80" w:line="240" w:lineRule="auto"/>
        <w:jc w:val="left"/>
        <w:ind w:left="0" w:right="0" w:firstLine="0"/>
      </w:pPr>
      <w:r>
        <w:rPr>
          <w:rFonts w:ascii="Arial" w:hAnsi="Arial" w:eastAsia="Arial" w:cs="Arial"/>
          <w:sz w:val="26"/>
          <w:szCs w:val="26"/>
          <w:b/>
          <w:bCs/>
          <w:color w:val="4E9F96"/>
        </w:rPr>
        <w:t>4.4 Alcance recomendado del primer MVP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Cuenta y acceso básico: HU-01, HU-02, HU-04 y HU-28.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Creación y edición de planificación: HU-07 a HU-12.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Vinculación y sincronización: HU-14 a HU-17 y HU-27.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Experiencia mínima en wearable: HU-19, HU-20, HU-21 y HU-23.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Preferencias visuales básicas: HU-05, si la capacidad del Sprint lo permite.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Enablers obligatorios: autenticación segura, autorización Cuenta-Perfil, cifrado en tránsito, sincronización idempotente, tolerancia a desconexiones y compatibilidad app-wearable.</w:t>
      </w:r>
    </w:p>
    <w:tbl>
      <w:tblPr>
        <w:tblW w:type="dxa" w:w="9025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4E9F96"/>
          <w:left w:val="single" w:sz="7" w:space="0" w:color="4E9F96"/>
          <w:bottom w:val="single" w:sz="7" w:space="0" w:color="4E9F96"/>
          <w:right w:val="single" w:sz="7" w:space="0" w:color="4E9F96"/>
          <w:insideH w:val="single" w:sz="7" w:space="0" w:color="4E9F96"/>
          <w:insideV w:val="single" w:sz="7" w:space="0" w:color="4E9F96"/>
        </w:tblBorders>
      </w:tblPr>
      <w:tblGrid>
        <w:gridCol w:w="9866"/>
      </w:tblGrid>
      <w:tr>
        <w:trPr>
          <w:cantSplit w:val="1"/>
        </w:trPr>
        <w:tc>
          <w:tcPr>
            <w:tcW w:type="dxa" w:w="9866"/>
            <w:shd w:fill="FFF4E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color w:val="23364D"/>
              </w:rPr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color w:val="23364D"/>
              </w:rPr>
              <w:t>Límite del MVP</w:t>
            </w:r>
          </w:p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21"/>
                <w:szCs w:val="21"/>
                <w:color w:val="222222"/>
              </w:rPr>
              <w:t>El corte central estimado en el backlog es de 91 Story Points como referencia relativa, no como compromiso temporal. GPS no se recomienda en el MVP hasta validar hardware y arquitectura. Tampoco se debe exigir el registro de diagnósticos o datos clínicos para usar las funciones centrales de MOVA.</w:t>
            </w:r>
          </w:p>
        </w:tc>
      </w:tr>
    </w:tbl>
    <w:p>
      <w:pPr>
        <w:pStyle w:val="Heading2"/>
        <w:keepNext/>
        <w:spacing w:before="200" w:after="80" w:line="240" w:lineRule="auto"/>
        <w:jc w:val="left"/>
        <w:ind w:left="0" w:right="0" w:firstLine="0"/>
      </w:pPr>
      <w:r>
        <w:rPr>
          <w:rFonts w:ascii="Arial" w:hAnsi="Arial" w:eastAsia="Arial" w:cs="Arial"/>
          <w:sz w:val="26"/>
          <w:szCs w:val="26"/>
          <w:b/>
          <w:bCs/>
          <w:color w:val="4E9F96"/>
        </w:rPr>
        <w:t>4.5 Supuestos, dependencias y restricciones</w:t>
      </w:r>
    </w:p>
    <w:p>
      <w:pPr>
        <w:jc w:val="left"/>
        <w:ind w:firstLine="0"/>
        <w:spacing w:before="160" w:after="0" w:line="240" w:lineRule="auto"/>
        <w:keepNext/>
      </w:pPr>
      <w:r>
        <w:rPr>
          <w:rFonts w:ascii="Arial" w:hAnsi="Arial" w:eastAsia="Arial" w:cs="Arial"/>
          <w:sz w:val="21"/>
          <w:szCs w:val="21"/>
          <w:b/>
          <w:bCs/>
          <w:color w:val="222222"/>
        </w:rPr>
        <w:t>Tabla 5</w:t>
      </w:r>
    </w:p>
    <w:p>
      <w:pPr>
        <w:jc w:val="left"/>
        <w:ind w:firstLine="0"/>
        <w:spacing w:before="0" w:after="100" w:line="240" w:lineRule="auto"/>
        <w:keepNext/>
      </w:pPr>
      <w:r>
        <w:rPr>
          <w:rFonts w:ascii="Arial" w:hAnsi="Arial" w:eastAsia="Arial" w:cs="Arial"/>
          <w:sz w:val="21"/>
          <w:szCs w:val="21"/>
          <w:i/>
          <w:iCs/>
          <w:color w:val="222222"/>
        </w:rPr>
        <w:t>Supuestos, dependencias y restricciones</w:t>
      </w:r>
    </w:p>
    <w:tbl>
      <w:tblPr>
        <w:tblW w:type="dxa" w:w="90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FD6"/>
          <w:left w:val="single" w:sz="4" w:space="0" w:color="C7CFD6"/>
          <w:bottom w:val="single" w:sz="4" w:space="0" w:color="C7CFD6"/>
          <w:right w:val="single" w:sz="4" w:space="0" w:color="C7CFD6"/>
          <w:insideH w:val="single" w:sz="4" w:space="0" w:color="C7CFD6"/>
          <w:insideV w:val="single" w:sz="4" w:space="0" w:color="C7CFD6"/>
        </w:tblBorders>
      </w:tblPr>
      <w:tblGrid>
        <w:gridCol w:w="3289"/>
        <w:gridCol w:w="3289"/>
        <w:gridCol w:w="3289"/>
      </w:tblGrid>
      <w:tr>
        <w:trPr>
          <w:tblHeader w:val="true"/>
          <w:cantSplit w:val="1"/>
        </w:trPr>
        <w:tc>
          <w:tcPr>
            <w:tcW w:type="dxa" w:w="2381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  <w:t>Restricción / dependencia</w:t>
            </w:r>
          </w:p>
        </w:tc>
        <w:tc>
          <w:tcPr>
            <w:tcW w:type="dxa" w:w="3401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  <w:t>Impacto en el alcance</w:t>
            </w:r>
          </w:p>
        </w:tc>
        <w:tc>
          <w:tcPr>
            <w:tcW w:type="dxa" w:w="3231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  <w:t>Tratamiento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Compatibilidad del wearable</w:t>
            </w:r>
          </w:p>
        </w:tc>
        <w:tc>
          <w:tcPr>
            <w:tcW w:type="dxa" w:w="34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El dispositivo puede limitar interfaz, APIs, permisos, almacenamiento, batería o modalidades de alerta.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Validar dispositivo y matriz de compatibilidad tempranamente.</w:t>
            </w:r>
          </w:p>
        </w:tc>
      </w:tr>
      <w:tr>
        <w:trPr>
          <w:cantSplit w:val="1"/>
        </w:trPr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Conectividad remota</w:t>
            </w:r>
          </w:p>
        </w:tc>
        <w:tc>
          <w:tcPr>
            <w:tcW w:type="dxa" w:w="340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Pérdidas de señal pueden interrumpir sincronización.</w:t>
            </w:r>
          </w:p>
        </w:tc>
        <w:tc>
          <w:tcPr>
            <w:tcW w:type="dxa" w:w="323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Diseñar reintentos, estados claros y conservación de datos ya sincronizados.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SIM/eSIM / plan de datos</w:t>
            </w:r>
          </w:p>
        </w:tc>
        <w:tc>
          <w:tcPr>
            <w:tcW w:type="dxa" w:w="34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La comunicación autónoma puede depender del operador, cobertura y plan.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Confirmar antes de comprometer sincronización remota permanente.</w:t>
            </w:r>
          </w:p>
        </w:tc>
      </w:tr>
      <w:tr>
        <w:trPr>
          <w:cantSplit w:val="1"/>
        </w:trPr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GPS</w:t>
            </w:r>
          </w:p>
        </w:tc>
        <w:tc>
          <w:tcPr>
            <w:tcW w:type="dxa" w:w="340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Precisión y disponibilidad varían, especialmente en interiores o baja cobertura.</w:t>
            </w:r>
          </w:p>
        </w:tc>
        <w:tc>
          <w:tcPr>
            <w:tcW w:type="dxa" w:w="323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Usar última ubicación válida con marca temporal; no prometer precisión garantizada.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Batería</w:t>
            </w:r>
          </w:p>
        </w:tc>
        <w:tc>
          <w:tcPr>
            <w:tcW w:type="dxa" w:w="34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GPS, sincronización y alertas pueden reducir autonomía.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Medir el perfil real de uso y ajustar frecuencia de comunicación.</w:t>
            </w:r>
          </w:p>
        </w:tc>
      </w:tr>
      <w:tr>
        <w:trPr>
          <w:cantSplit w:val="1"/>
        </w:trPr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Sincronización bidireccional</w:t>
            </w:r>
          </w:p>
        </w:tc>
        <w:tc>
          <w:tcPr>
            <w:tcW w:type="dxa" w:w="340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El retorno de estados desde wearable depende de la arquitectura y dispositivo.</w:t>
            </w:r>
          </w:p>
        </w:tc>
        <w:tc>
          <w:tcPr>
            <w:tcW w:type="dxa" w:w="323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Mantener historias relacionadas condicionadas hasta validación.</w:t>
            </w:r>
          </w:p>
        </w:tc>
      </w:tr>
      <w:tr>
        <w:trPr>
          <w:cantSplit w:val="1"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Privacidad</w:t>
            </w:r>
          </w:p>
        </w:tc>
        <w:tc>
          <w:tcPr>
            <w:tcW w:type="dxa" w:w="34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El sistema maneja información de perfiles y potencial ubicación.</w:t>
            </w:r>
          </w:p>
        </w:tc>
        <w:tc>
          <w:tcPr>
            <w:tcW w:type="dxa" w:w="32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Autenticación, autorización, minimización, cifrado y trazabilidad técnica sin datos innecesarios.</w:t>
            </w:r>
          </w:p>
        </w:tc>
      </w:tr>
      <w:tr>
        <w:trPr>
          <w:cantSplit w:val="1"/>
        </w:trPr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Metodología Scrum</w:t>
            </w:r>
          </w:p>
        </w:tc>
        <w:tc>
          <w:tcPr>
            <w:tcW w:type="dxa" w:w="340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El detalle del backlog puede cambiar durante el proyecto.</w:t>
            </w:r>
          </w:p>
        </w:tc>
        <w:tc>
          <w:tcPr>
            <w:tcW w:type="dxa" w:w="323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Proteger Product Goal y Sprint Goal; actualizar línea base cuando cambie alcance mayor.</w:t>
            </w:r>
          </w:p>
        </w:tc>
      </w:tr>
    </w:tbl>
    <w:p>
      <w:pPr>
        <w:pStyle w:val="Heading1"/>
        <w:keepNext/>
        <w:spacing w:before="280" w:after="120" w:line="240" w:lineRule="auto"/>
        <w:jc w:val="left"/>
        <w:ind w:left="0" w:right="0" w:firstLine="0"/>
      </w:pPr>
      <w:r>
        <w:rPr>
          <w:rFonts w:ascii="Arial" w:hAnsi="Arial" w:eastAsia="Arial" w:cs="Arial"/>
          <w:sz w:val="34"/>
          <w:szCs w:val="34"/>
          <w:b/>
          <w:bCs/>
          <w:color w:val="23364D"/>
        </w:rPr>
        <w:t>5. Exclusiones del alcance</w:t>
      </w:r>
    </w:p>
    <w:p>
      <w:pPr>
        <w:pStyle w:val="Normal"/>
        <w:spacing w:after="0" w:line="480" w:lineRule="auto" w:before="0"/>
        <w:jc w:val="left"/>
        <w:ind w:left="0" w:right="0" w:firstLine="720"/>
      </w:pPr>
      <w:r>
        <w:rPr>
          <w:rFonts w:ascii="Arial" w:hAnsi="Arial" w:eastAsia="Arial" w:cs="Arial"/>
          <w:sz w:val="22"/>
          <w:szCs w:val="22"/>
          <w:color w:val="222222"/>
        </w:rPr>
        <w:t>Para evitar compromisos no sustentados o solicitudes que desvíen el Product Goal, se establecen las siguientes exclusiones de la línea base:</w:t>
      </w:r>
    </w:p>
    <w:p>
      <w:pPr>
        <w:jc w:val="left"/>
        <w:ind w:firstLine="0"/>
        <w:spacing w:before="160" w:after="0" w:line="240" w:lineRule="auto"/>
        <w:keepNext/>
      </w:pPr>
      <w:r>
        <w:rPr>
          <w:rFonts w:ascii="Arial" w:hAnsi="Arial" w:eastAsia="Arial" w:cs="Arial"/>
          <w:sz w:val="21"/>
          <w:szCs w:val="21"/>
          <w:b/>
          <w:bCs/>
          <w:color w:val="222222"/>
        </w:rPr>
        <w:t>Tabla 6</w:t>
      </w:r>
    </w:p>
    <w:p>
      <w:pPr>
        <w:jc w:val="left"/>
        <w:ind w:firstLine="0"/>
        <w:spacing w:before="0" w:after="100" w:line="240" w:lineRule="auto"/>
        <w:keepNext/>
      </w:pPr>
      <w:r>
        <w:rPr>
          <w:rFonts w:ascii="Arial" w:hAnsi="Arial" w:eastAsia="Arial" w:cs="Arial"/>
          <w:sz w:val="21"/>
          <w:szCs w:val="21"/>
          <w:i/>
          <w:iCs/>
          <w:color w:val="222222"/>
        </w:rPr>
        <w:t>Exclusiones del alcance</w:t>
      </w:r>
    </w:p>
    <w:tbl>
      <w:tblPr>
        <w:tblW w:type="dxa" w:w="90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FD6"/>
          <w:left w:val="single" w:sz="4" w:space="0" w:color="C7CFD6"/>
          <w:bottom w:val="single" w:sz="4" w:space="0" w:color="C7CFD6"/>
          <w:right w:val="single" w:sz="4" w:space="0" w:color="C7CFD6"/>
          <w:insideH w:val="single" w:sz="4" w:space="0" w:color="C7CFD6"/>
          <w:insideV w:val="single" w:sz="4" w:space="0" w:color="C7CFD6"/>
        </w:tblBorders>
      </w:tblPr>
      <w:tblGrid>
        <w:gridCol w:w="4933"/>
        <w:gridCol w:w="4933"/>
      </w:tblGrid>
      <w:tr>
        <w:trPr>
          <w:tblHeader w:val="true"/>
          <w:cantSplit w:val="1"/>
        </w:trPr>
        <w:tc>
          <w:tcPr>
            <w:tcW w:type="dxa" w:w="3401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</w:rPr>
              <w:t>Exclusión</w:t>
            </w:r>
          </w:p>
        </w:tc>
        <w:tc>
          <w:tcPr>
            <w:tcW w:type="dxa" w:w="5612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</w:rPr>
              <w:t>Aclaración</w:t>
            </w:r>
          </w:p>
        </w:tc>
      </w:tr>
      <w:tr>
        <w:trPr>
          <w:cantSplit w:val="1"/>
        </w:trPr>
        <w:tc>
          <w:tcPr>
            <w:tcW w:type="dxa" w:w="34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Fabricación de un smartwatch/wearable desde cero</w:t>
            </w:r>
          </w:p>
        </w:tc>
        <w:tc>
          <w:tcPr>
            <w:tcW w:type="dxa" w:w="56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MOVA integra y configura un dispositivo compatible; no contempla diseño industrial ni producción masiva de hardware.</w:t>
            </w:r>
          </w:p>
        </w:tc>
      </w:tr>
      <w:tr>
        <w:trPr>
          <w:cantSplit w:val="1"/>
        </w:trPr>
        <w:tc>
          <w:tcPr>
            <w:tcW w:type="dxa" w:w="340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Monitoreo biométrico o diagnóstico clínico</w:t>
            </w:r>
          </w:p>
        </w:tc>
        <w:tc>
          <w:tcPr>
            <w:tcW w:type="dxa" w:w="5612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No se incluyen sensores biométricos específicos, inferencias médicas, diagnósticos ni alertas clínicas como parte del alcance vigente.</w:t>
            </w:r>
          </w:p>
        </w:tc>
      </w:tr>
      <w:tr>
        <w:trPr>
          <w:cantSplit w:val="1"/>
        </w:trPr>
        <w:tc>
          <w:tcPr>
            <w:tcW w:type="dxa" w:w="34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Servicio profesional de emergencias</w:t>
            </w:r>
          </w:p>
        </w:tc>
        <w:tc>
          <w:tcPr>
            <w:tcW w:type="dxa" w:w="56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MOVA es una herramienta de apoyo; no sustituye servicios de emergencia ni garantiza respuesta SOS.</w:t>
            </w:r>
          </w:p>
        </w:tc>
      </w:tr>
      <w:tr>
        <w:trPr>
          <w:cantSplit w:val="1"/>
        </w:trPr>
        <w:tc>
          <w:tcPr>
            <w:tcW w:type="dxa" w:w="340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GPS en tiempo real garantizado</w:t>
            </w:r>
          </w:p>
        </w:tc>
        <w:tc>
          <w:tcPr>
            <w:tcW w:type="dxa" w:w="5612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La geolocalización se mantiene condicional/post-MVP y, si se implementa, se muestra con vigencia temporal y sin garantía de precisión continua.</w:t>
            </w:r>
          </w:p>
        </w:tc>
      </w:tr>
      <w:tr>
        <w:trPr>
          <w:cantSplit w:val="1"/>
        </w:trPr>
        <w:tc>
          <w:tcPr>
            <w:tcW w:type="dxa" w:w="34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Infraestructura propia de telecomunicaciones</w:t>
            </w:r>
          </w:p>
        </w:tc>
        <w:tc>
          <w:tcPr>
            <w:tcW w:type="dxa" w:w="56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No se desarrollan redes móviles, torres, operadores ni servicios de conectividad propios.</w:t>
            </w:r>
          </w:p>
        </w:tc>
      </w:tr>
      <w:tr>
        <w:trPr>
          <w:cantSplit w:val="1"/>
        </w:trPr>
        <w:tc>
          <w:tcPr>
            <w:tcW w:type="dxa" w:w="340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Capacidades de hardware no validadas</w:t>
            </w:r>
          </w:p>
        </w:tc>
        <w:tc>
          <w:tcPr>
            <w:tcW w:type="dxa" w:w="5612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No se comprometen vibración, sonido, autonomía exacta, telemetría o almacenamiento hasta validarlos en el dispositivo seleccionado.</w:t>
            </w:r>
          </w:p>
        </w:tc>
      </w:tr>
      <w:tr>
        <w:trPr>
          <w:cantSplit w:val="1"/>
        </w:trPr>
        <w:tc>
          <w:tcPr>
            <w:tcW w:type="dxa" w:w="34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Almacenamiento clínico por pertenecer al público TEA</w:t>
            </w:r>
          </w:p>
        </w:tc>
        <w:tc>
          <w:tcPr>
            <w:tcW w:type="dxa" w:w="56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No se requiere guardar diagnósticos ni datos de salud para operar rutinas, perfiles y sincronización.</w:t>
            </w:r>
          </w:p>
        </w:tc>
      </w:tr>
      <w:tr>
        <w:trPr>
          <w:cantSplit w:val="1"/>
        </w:trPr>
        <w:tc>
          <w:tcPr>
            <w:tcW w:type="dxa" w:w="340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Despliegue comercial masivo y soporte 24/7</w:t>
            </w:r>
          </w:p>
        </w:tc>
        <w:tc>
          <w:tcPr>
            <w:tcW w:type="dxa" w:w="5612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El proyecto académico se concentra en un MVP funcional, documentado y validado; operación comercial y soporte permanente quedan fuera.</w:t>
            </w:r>
          </w:p>
        </w:tc>
      </w:tr>
      <w:tr>
        <w:trPr>
          <w:cantSplit w:val="1"/>
        </w:trPr>
        <w:tc>
          <w:tcPr>
            <w:tcW w:type="dxa" w:w="34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Funciones Post-MVP como obligación de primera entrega</w:t>
            </w:r>
          </w:p>
        </w:tc>
        <w:tc>
          <w:tcPr>
            <w:tcW w:type="dxa" w:w="56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Historial avanzado, duplicación de rutinas, eliminación integral de datos, GPS y otras historias Post-MVP no bloquean la aceptación del corte central.</w:t>
            </w:r>
          </w:p>
        </w:tc>
      </w:tr>
      <w:tr>
        <w:trPr>
          <w:cantSplit w:val="1"/>
        </w:trPr>
        <w:tc>
          <w:tcPr>
            <w:tcW w:type="dxa" w:w="340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Reemplazo del acompañamiento humano</w:t>
            </w:r>
          </w:p>
        </w:tc>
        <w:tc>
          <w:tcPr>
            <w:tcW w:type="dxa" w:w="5612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La solución complementa, pero no sustituye, el acompañamiento familiar, educativo o profesional.</w:t>
            </w:r>
          </w:p>
        </w:tc>
      </w:tr>
    </w:tbl>
    <w:p>
      <w:pPr>
        <w:pStyle w:val="Heading1"/>
        <w:keepNext/>
        <w:spacing w:before="280" w:after="120" w:line="240" w:lineRule="auto"/>
        <w:jc w:val="left"/>
        <w:ind w:left="0" w:right="0" w:firstLine="0"/>
      </w:pPr>
      <w:r>
        <w:rPr>
          <w:rFonts w:ascii="Arial" w:hAnsi="Arial" w:eastAsia="Arial" w:cs="Arial"/>
          <w:sz w:val="34"/>
          <w:szCs w:val="34"/>
          <w:b/>
          <w:bCs/>
          <w:color w:val="23364D"/>
        </w:rPr>
        <w:t>6. Criterios de aceptación</w:t>
      </w:r>
    </w:p>
    <w:p>
      <w:pPr>
        <w:pStyle w:val="Normal"/>
        <w:spacing w:after="0" w:line="480" w:lineRule="auto" w:before="0"/>
        <w:jc w:val="left"/>
        <w:ind w:left="0" w:right="0" w:firstLine="720"/>
      </w:pPr>
      <w:r>
        <w:rPr>
          <w:rFonts w:ascii="Arial" w:hAnsi="Arial" w:eastAsia="Arial" w:cs="Arial"/>
          <w:sz w:val="22"/>
          <w:szCs w:val="22"/>
          <w:color w:val="222222"/>
        </w:rPr>
        <w:t>Los criterios de aceptación deben ser observables y verificables. Un criterio se considera aceptado únicamente cuando la prueba definida produce el resultado esperado y existe evidencia (captura, video, registro, log o resultado del caso de prueba).</w:t>
      </w:r>
    </w:p>
    <w:p>
      <w:pPr>
        <w:pStyle w:val="Heading2"/>
        <w:keepNext/>
        <w:spacing w:before="200" w:after="80" w:line="240" w:lineRule="auto"/>
        <w:jc w:val="left"/>
        <w:ind w:left="0" w:right="0" w:firstLine="0"/>
      </w:pPr>
      <w:r>
        <w:rPr>
          <w:rFonts w:ascii="Arial" w:hAnsi="Arial" w:eastAsia="Arial" w:cs="Arial"/>
          <w:sz w:val="26"/>
          <w:szCs w:val="26"/>
          <w:b/>
          <w:bCs/>
          <w:color w:val="4E9F96"/>
        </w:rPr>
        <w:t>6.1 Criterios de aceptación por entregable</w:t>
      </w:r>
    </w:p>
    <w:p>
      <w:pPr>
        <w:jc w:val="left"/>
        <w:ind w:firstLine="0"/>
        <w:spacing w:before="160" w:after="0" w:line="240" w:lineRule="auto"/>
        <w:keepNext/>
      </w:pPr>
      <w:r>
        <w:rPr>
          <w:rFonts w:ascii="Arial" w:hAnsi="Arial" w:eastAsia="Arial" w:cs="Arial"/>
          <w:sz w:val="21"/>
          <w:szCs w:val="21"/>
          <w:b/>
          <w:bCs/>
          <w:color w:val="222222"/>
        </w:rPr>
        <w:t>Tabla 7</w:t>
      </w:r>
    </w:p>
    <w:p>
      <w:pPr>
        <w:jc w:val="left"/>
        <w:ind w:firstLine="0"/>
        <w:spacing w:before="0" w:after="100" w:line="240" w:lineRule="auto"/>
        <w:keepNext/>
      </w:pPr>
      <w:r>
        <w:rPr>
          <w:rFonts w:ascii="Arial" w:hAnsi="Arial" w:eastAsia="Arial" w:cs="Arial"/>
          <w:sz w:val="21"/>
          <w:szCs w:val="21"/>
          <w:i/>
          <w:iCs/>
          <w:color w:val="222222"/>
        </w:rPr>
        <w:t>Criterios de aceptación por entregable</w:t>
      </w:r>
    </w:p>
    <w:tbl>
      <w:tblPr>
        <w:tblW w:type="dxa" w:w="90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FD6"/>
          <w:left w:val="single" w:sz="4" w:space="0" w:color="C7CFD6"/>
          <w:bottom w:val="single" w:sz="4" w:space="0" w:color="C7CFD6"/>
          <w:right w:val="single" w:sz="4" w:space="0" w:color="C7CFD6"/>
          <w:insideH w:val="single" w:sz="4" w:space="0" w:color="C7CFD6"/>
          <w:insideV w:val="single" w:sz="4" w:space="0" w:color="C7CFD6"/>
        </w:tblBorders>
      </w:tblPr>
      <w:tblGrid>
        <w:gridCol w:w="3289"/>
        <w:gridCol w:w="3289"/>
        <w:gridCol w:w="3289"/>
      </w:tblGrid>
      <w:tr>
        <w:trPr>
          <w:tblHeader w:val="true"/>
          <w:cantSplit w:val="1"/>
        </w:trPr>
        <w:tc>
          <w:tcPr>
            <w:tcW w:type="dxa" w:w="2551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  <w:t>Entregable / área</w:t>
            </w:r>
          </w:p>
        </w:tc>
        <w:tc>
          <w:tcPr>
            <w:tcW w:type="dxa" w:w="4251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  <w:t>Criterio de aceptación</w:t>
            </w:r>
          </w:p>
        </w:tc>
        <w:tc>
          <w:tcPr>
            <w:tcW w:type="dxa" w:w="2211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color w:val="FFFFFF"/>
              </w:rPr>
              <w:t>Referencia</w:t>
            </w:r>
          </w:p>
        </w:tc>
      </w:tr>
      <w:tr>
        <w:trPr>
          <w:cantSplit w:val="1"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Aplicación móvil</w:t>
            </w:r>
          </w:p>
        </w:tc>
        <w:tc>
          <w:tcPr>
            <w:tcW w:type="dxa" w:w="42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Acceso autorizado; perfiles independientes; creación/edición de rutinas; pictogramas; orden y horarios; mensajes de error comprensibles.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CA-F01 a CA-F09, CA-F17; CA-NF01, 03, 05, 13, 14</w:t>
            </w:r>
          </w:p>
        </w:tc>
      </w:tr>
      <w:tr>
        <w:trPr>
          <w:cantSplit w:val="1"/>
        </w:trPr>
        <w:tc>
          <w:tcPr>
            <w:tcW w:type="dxa" w:w="255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Vinculación y sincronización</w:t>
            </w:r>
          </w:p>
        </w:tc>
        <w:tc>
          <w:tcPr>
            <w:tcW w:type="dxa" w:w="425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Wearable correcto asociado al perfil; versión del wearable coincide con app; estados de sincronización inequívocos; recuperación tras desconexión.</w:t>
            </w:r>
          </w:p>
        </w:tc>
        <w:tc>
          <w:tcPr>
            <w:tcW w:type="dxa" w:w="221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CA-F04, CA-F10, CA-F11, CA-F16, CA-F17; CA-NF06, 08, 09, 12</w:t>
            </w:r>
          </w:p>
        </w:tc>
      </w:tr>
      <w:tr>
        <w:trPr>
          <w:cantSplit w:val="1"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Experiencia en wearable</w:t>
            </w:r>
          </w:p>
        </w:tc>
        <w:tc>
          <w:tcPr>
            <w:tcW w:type="dxa" w:w="42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Actividad vigente legible; alerta correspondiente al horario; confirmación simple cuando aplique; opciones emocionales solo si forman parte del incremento.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CA-F12 a CA-F15; CA-NF07, 14, 15</w:t>
            </w:r>
          </w:p>
        </w:tc>
      </w:tr>
      <w:tr>
        <w:trPr>
          <w:cantSplit w:val="1"/>
        </w:trPr>
        <w:tc>
          <w:tcPr>
            <w:tcW w:type="dxa" w:w="255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Privacidad y seguridad</w:t>
            </w:r>
          </w:p>
        </w:tc>
        <w:tc>
          <w:tcPr>
            <w:tcW w:type="dxa" w:w="425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Solo sesiones y cuentas autorizadas acceden a perfiles; datos en tránsito protegidos; minimización de datos; ubicación protegida si se incorpora.</w:t>
            </w:r>
          </w:p>
        </w:tc>
        <w:tc>
          <w:tcPr>
            <w:tcW w:type="dxa" w:w="221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CA-NF01 a CA-NF04</w:t>
            </w:r>
          </w:p>
        </w:tc>
      </w:tr>
      <w:tr>
        <w:trPr>
          <w:cantSplit w:val="1"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Arquitectura y datos</w:t>
            </w:r>
          </w:p>
        </w:tc>
        <w:tc>
          <w:tcPr>
            <w:tcW w:type="dxa" w:w="42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Modelo soporta crecimiento lógico, autorización Cuenta-Perfil, persistencia histórica cuando corresponda y recuperación coherente.</w:t>
            </w:r>
          </w:p>
        </w:tc>
        <w:tc>
          <w:tcPr>
            <w:tcW w:type="dxa" w:w="221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CA-NF10, CA-NF11 + revisión DD-01/DD-02</w:t>
            </w:r>
          </w:p>
        </w:tc>
      </w:tr>
      <w:tr>
        <w:trPr>
          <w:cantSplit w:val="1"/>
        </w:trPr>
        <w:tc>
          <w:tcPr>
            <w:tcW w:type="dxa" w:w="255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MVP integrado</w:t>
            </w:r>
          </w:p>
        </w:tc>
        <w:tc>
          <w:tcPr>
            <w:tcW w:type="dxa" w:w="425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Demostración continua del flujo vertical completo con evidencia de pruebas y trazabilidad.</w:t>
            </w:r>
          </w:p>
        </w:tc>
        <w:tc>
          <w:tcPr>
            <w:tcW w:type="dxa" w:w="221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</w:r>
            <w:r>
              <w:rPr>
                <w:rFonts w:ascii="Arial" w:hAnsi="Arial" w:eastAsia="Arial" w:cs="Arial"/>
                <w:sz w:val="17"/>
                <w:szCs w:val="17"/>
                <w:color w:val="222222"/>
              </w:rPr>
              <w:t>CA-MVP01 a CA-MVP06</w:t>
            </w:r>
          </w:p>
        </w:tc>
      </w:tr>
    </w:tbl>
    <w:p>
      <w:pPr>
        <w:pStyle w:val="Heading2"/>
        <w:keepNext/>
        <w:spacing w:before="200" w:after="80" w:line="240" w:lineRule="auto"/>
        <w:jc w:val="left"/>
        <w:ind w:left="0" w:right="0" w:firstLine="0"/>
      </w:pPr>
      <w:r>
        <w:rPr>
          <w:rFonts w:ascii="Arial" w:hAnsi="Arial" w:eastAsia="Arial" w:cs="Arial"/>
          <w:sz w:val="26"/>
          <w:szCs w:val="26"/>
          <w:b/>
          <w:bCs/>
          <w:color w:val="4E9F96"/>
        </w:rPr>
        <w:t>6.2 Criterios de salida del MVP</w:t>
      </w:r>
    </w:p>
    <w:p>
      <w:pPr>
        <w:jc w:val="left"/>
        <w:ind w:firstLine="0"/>
        <w:spacing w:before="160" w:after="0" w:line="240" w:lineRule="auto"/>
        <w:keepNext/>
      </w:pPr>
      <w:r>
        <w:rPr>
          <w:rFonts w:ascii="Arial" w:hAnsi="Arial" w:eastAsia="Arial" w:cs="Arial"/>
          <w:sz w:val="21"/>
          <w:szCs w:val="21"/>
          <w:b/>
          <w:bCs/>
          <w:color w:val="222222"/>
        </w:rPr>
        <w:t>Tabla 8</w:t>
      </w:r>
    </w:p>
    <w:p>
      <w:pPr>
        <w:jc w:val="left"/>
        <w:ind w:firstLine="0"/>
        <w:spacing w:before="0" w:after="100" w:line="240" w:lineRule="auto"/>
        <w:keepNext/>
      </w:pPr>
      <w:r>
        <w:rPr>
          <w:rFonts w:ascii="Arial" w:hAnsi="Arial" w:eastAsia="Arial" w:cs="Arial"/>
          <w:sz w:val="21"/>
          <w:szCs w:val="21"/>
          <w:i/>
          <w:iCs/>
          <w:color w:val="222222"/>
        </w:rPr>
        <w:t>Criterios de salida del MVP</w:t>
      </w:r>
    </w:p>
    <w:tbl>
      <w:tblPr>
        <w:tblW w:type="dxa" w:w="90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FD6"/>
          <w:left w:val="single" w:sz="4" w:space="0" w:color="C7CFD6"/>
          <w:bottom w:val="single" w:sz="4" w:space="0" w:color="C7CFD6"/>
          <w:right w:val="single" w:sz="4" w:space="0" w:color="C7CFD6"/>
          <w:insideH w:val="single" w:sz="4" w:space="0" w:color="C7CFD6"/>
          <w:insideV w:val="single" w:sz="4" w:space="0" w:color="C7CFD6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 w:val="1"/>
        </w:trPr>
        <w:tc>
          <w:tcPr>
            <w:tcW w:type="dxa" w:w="1133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  <w:t>ID</w:t>
            </w:r>
          </w:p>
        </w:tc>
        <w:tc>
          <w:tcPr>
            <w:tcW w:type="dxa" w:w="1814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  <w:t>Criterio de salida</w:t>
            </w:r>
          </w:p>
        </w:tc>
        <w:tc>
          <w:tcPr>
            <w:tcW w:type="dxa" w:w="2834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  <w:t>Condición</w:t>
            </w:r>
          </w:p>
        </w:tc>
        <w:tc>
          <w:tcPr>
            <w:tcW w:type="dxa" w:w="1133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  <w:t>Prioridad</w:t>
            </w:r>
          </w:p>
        </w:tc>
        <w:tc>
          <w:tcPr>
            <w:tcW w:type="dxa" w:w="2097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  <w:t>Evidencia esperada</w:t>
            </w:r>
          </w:p>
        </w:tc>
      </w:tr>
      <w:tr>
        <w:trPr>
          <w:cantSplit w:val="1"/>
        </w:trPr>
        <w:tc>
          <w:tcPr>
            <w:tcW w:type="dxa" w:w="11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CA-MVP01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Flujo integrado</w:t>
            </w:r>
          </w:p>
        </w:tc>
        <w:tc>
          <w:tcPr>
            <w:tcW w:type="dxa" w:w="28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Demostrar al menos un flujo completo: crear o modificar rutina en la app -&gt; sincronizar -&gt; visualizar en wearable -&gt; recibir una alerta asociada.</w:t>
            </w:r>
          </w:p>
        </w:tc>
        <w:tc>
          <w:tcPr>
            <w:tcW w:type="dxa" w:w="11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Alta</w:t>
            </w:r>
          </w:p>
        </w:tc>
        <w:tc>
          <w:tcPr>
            <w:tcW w:type="dxa" w:w="20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Video continuo o Sprint Review.</w:t>
            </w:r>
          </w:p>
        </w:tc>
      </w:tr>
      <w:tr>
        <w:trPr>
          <w:cantSplit w:val="1"/>
        </w:trPr>
        <w:tc>
          <w:tcPr>
            <w:tcW w:type="dxa" w:w="1133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CA-MVP02</w:t>
            </w:r>
          </w:p>
        </w:tc>
        <w:tc>
          <w:tcPr>
            <w:tcW w:type="dxa" w:w="181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Sin errores bloqueantes</w:t>
            </w:r>
          </w:p>
        </w:tc>
        <w:tc>
          <w:tcPr>
            <w:tcW w:type="dxa" w:w="283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No existen defectos abiertos de severidad bloqueante en autenticación, rutinas, sincronización, visualización o alertas.</w:t>
            </w:r>
          </w:p>
        </w:tc>
        <w:tc>
          <w:tcPr>
            <w:tcW w:type="dxa" w:w="1133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Alta</w:t>
            </w:r>
          </w:p>
        </w:tc>
        <w:tc>
          <w:tcPr>
            <w:tcW w:type="dxa" w:w="209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Listado de defectos y estado.</w:t>
            </w:r>
          </w:p>
        </w:tc>
      </w:tr>
      <w:tr>
        <w:trPr>
          <w:cantSplit w:val="1"/>
        </w:trPr>
        <w:tc>
          <w:tcPr>
            <w:tcW w:type="dxa" w:w="11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CA-MVP03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Cobertura crítica</w:t>
            </w:r>
          </w:p>
        </w:tc>
        <w:tc>
          <w:tcPr>
            <w:tcW w:type="dxa" w:w="28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Al menos 90 % de los casos de prueba definidos como críticos se ejecutan satisfactoriamente.</w:t>
            </w:r>
          </w:p>
        </w:tc>
        <w:tc>
          <w:tcPr>
            <w:tcW w:type="dxa" w:w="11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Alta</w:t>
            </w:r>
          </w:p>
        </w:tc>
        <w:tc>
          <w:tcPr>
            <w:tcW w:type="dxa" w:w="20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Matriz de pruebas con porcentaje.</w:t>
            </w:r>
          </w:p>
        </w:tc>
      </w:tr>
      <w:tr>
        <w:trPr>
          <w:cantSplit w:val="1"/>
        </w:trPr>
        <w:tc>
          <w:tcPr>
            <w:tcW w:type="dxa" w:w="1133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CA-MVP04</w:t>
            </w:r>
          </w:p>
        </w:tc>
        <w:tc>
          <w:tcPr>
            <w:tcW w:type="dxa" w:w="181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Pruebas de integración</w:t>
            </w:r>
          </w:p>
        </w:tc>
        <w:tc>
          <w:tcPr>
            <w:tcW w:type="dxa" w:w="283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Se prueban las comunicaciones app-servicios-wearable según la arquitectura y se documentan resultados y fallos.</w:t>
            </w:r>
          </w:p>
        </w:tc>
        <w:tc>
          <w:tcPr>
            <w:tcW w:type="dxa" w:w="1133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Alta</w:t>
            </w:r>
          </w:p>
        </w:tc>
        <w:tc>
          <w:tcPr>
            <w:tcW w:type="dxa" w:w="209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Informe o matriz de integración.</w:t>
            </w:r>
          </w:p>
        </w:tc>
      </w:tr>
      <w:tr>
        <w:trPr>
          <w:cantSplit w:val="1"/>
        </w:trPr>
        <w:tc>
          <w:tcPr>
            <w:tcW w:type="dxa" w:w="11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CA-MVP05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Pruebas de usabilidad</w:t>
            </w:r>
          </w:p>
        </w:tc>
        <w:tc>
          <w:tcPr>
            <w:tcW w:type="dxa" w:w="28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Se realiza al menos una sesión de usabilidad del flujo principal y las observaciones se incorporan al backlog.</w:t>
            </w:r>
          </w:p>
        </w:tc>
        <w:tc>
          <w:tcPr>
            <w:tcW w:type="dxa" w:w="113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Media</w:t>
            </w:r>
          </w:p>
        </w:tc>
        <w:tc>
          <w:tcPr>
            <w:tcW w:type="dxa" w:w="209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Acta/notas/formulario.</w:t>
            </w:r>
          </w:p>
        </w:tc>
      </w:tr>
      <w:tr>
        <w:trPr>
          <w:cantSplit w:val="1"/>
        </w:trPr>
        <w:tc>
          <w:tcPr>
            <w:tcW w:type="dxa" w:w="1133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CA-MVP06</w:t>
            </w:r>
          </w:p>
        </w:tc>
        <w:tc>
          <w:tcPr>
            <w:tcW w:type="dxa" w:w="181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Trazabilidad</w:t>
            </w:r>
          </w:p>
        </w:tc>
        <w:tc>
          <w:tcPr>
            <w:tcW w:type="dxa" w:w="283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Cada funcionalidad crítica aceptada se relaciona con criterio de aceptación y evidencia.</w:t>
            </w:r>
          </w:p>
        </w:tc>
        <w:tc>
          <w:tcPr>
            <w:tcW w:type="dxa" w:w="1133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Alta</w:t>
            </w:r>
          </w:p>
        </w:tc>
        <w:tc>
          <w:tcPr>
            <w:tcW w:type="dxa" w:w="209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Matriz PBI-criterio-evidencia.</w:t>
            </w:r>
          </w:p>
        </w:tc>
      </w:tr>
    </w:tbl>
    <w:p>
      <w:pPr>
        <w:pStyle w:val="Heading2"/>
        <w:keepNext/>
        <w:spacing w:before="200" w:after="80" w:line="240" w:lineRule="auto"/>
        <w:jc w:val="left"/>
        <w:ind w:left="0" w:right="0" w:firstLine="0"/>
      </w:pPr>
      <w:r>
        <w:rPr>
          <w:rFonts w:ascii="Arial" w:hAnsi="Arial" w:eastAsia="Arial" w:cs="Arial"/>
          <w:sz w:val="26"/>
          <w:szCs w:val="26"/>
          <w:b/>
          <w:bCs/>
          <w:color w:val="4E9F96"/>
        </w:rPr>
        <w:t>6.3 Definition of Done aplicada a la aceptación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Implementación integrada y revisada en el flujo de trabajo definido por el equipo.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Criterios de aceptación ejecutados satisfactoriamente.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Pruebas unitarias, funcionales o de integración aplicables superadas.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Sin errores bloqueantes conocidos en el flujo afectado.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Seguridad, privacidad y manejo de errores revisados cuando corresponda.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Documentación técnica, funcional o de usuario actualizada.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Incremento estable y demostrable durante la Sprint Review.</w:t>
      </w:r>
    </w:p>
    <w:p>
      <w:pPr>
        <w:pStyle w:val="Heading1"/>
        <w:keepNext/>
        <w:spacing w:before="280" w:after="120" w:line="240" w:lineRule="auto"/>
        <w:jc w:val="left"/>
        <w:ind w:left="0" w:right="0" w:firstLine="0"/>
      </w:pPr>
      <w:r>
        <w:rPr>
          <w:rFonts w:ascii="Arial" w:hAnsi="Arial" w:eastAsia="Arial" w:cs="Arial"/>
          <w:sz w:val="34"/>
          <w:szCs w:val="34"/>
          <w:b/>
          <w:bCs/>
          <w:color w:val="23364D"/>
        </w:rPr>
        <w:t>7. Estructura de desglose del trabajo (EDT/WBS)</w:t>
      </w:r>
    </w:p>
    <w:p>
      <w:pPr>
        <w:pStyle w:val="Normal"/>
        <w:spacing w:after="0" w:line="480" w:lineRule="auto" w:before="0"/>
        <w:jc w:val="left"/>
        <w:ind w:left="0" w:right="0" w:firstLine="720"/>
      </w:pPr>
      <w:r>
        <w:rPr>
          <w:rFonts w:ascii="Arial" w:hAnsi="Arial" w:eastAsia="Arial" w:cs="Arial"/>
          <w:sz w:val="22"/>
          <w:szCs w:val="22"/>
          <w:color w:val="222222"/>
        </w:rPr>
        <w:t>La EDT organiza el trabajo por resultados y paquetes de trabajo. En Scrum, estos paquetes no sustituyen al Product Backlog; sirven como vista de alcance y trazabilidad del proyecto.</w:t>
      </w:r>
    </w:p>
    <w:p>
      <w:pPr>
        <w:jc w:val="left"/>
        <w:ind w:firstLine="0"/>
        <w:spacing w:before="160" w:after="0" w:line="240" w:lineRule="auto"/>
        <w:keepNext/>
      </w:pPr>
      <w:r>
        <w:rPr>
          <w:rFonts w:ascii="Arial" w:hAnsi="Arial" w:eastAsia="Arial" w:cs="Arial"/>
          <w:sz w:val="21"/>
          <w:szCs w:val="21"/>
          <w:b/>
          <w:bCs/>
          <w:color w:val="222222"/>
        </w:rPr>
        <w:t>Tabla 9</w:t>
      </w:r>
    </w:p>
    <w:p>
      <w:pPr>
        <w:jc w:val="left"/>
        <w:ind w:firstLine="0"/>
        <w:spacing w:before="0" w:after="100" w:line="240" w:lineRule="auto"/>
        <w:keepNext/>
      </w:pPr>
      <w:r>
        <w:rPr>
          <w:rFonts w:ascii="Arial" w:hAnsi="Arial" w:eastAsia="Arial" w:cs="Arial"/>
          <w:sz w:val="21"/>
          <w:szCs w:val="21"/>
          <w:i/>
          <w:iCs/>
          <w:color w:val="222222"/>
        </w:rPr>
        <w:t>Estructura de desglose del trabajo (EDT/WBS)</w:t>
      </w:r>
    </w:p>
    <w:tbl>
      <w:tblPr>
        <w:tblW w:type="dxa" w:w="90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FD6"/>
          <w:left w:val="single" w:sz="4" w:space="0" w:color="C7CFD6"/>
          <w:bottom w:val="single" w:sz="4" w:space="0" w:color="C7CFD6"/>
          <w:right w:val="single" w:sz="4" w:space="0" w:color="C7CFD6"/>
          <w:insideH w:val="single" w:sz="4" w:space="0" w:color="C7CFD6"/>
          <w:insideV w:val="single" w:sz="4" w:space="0" w:color="C7CFD6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 w:val="1"/>
        </w:trPr>
        <w:tc>
          <w:tcPr>
            <w:tcW w:type="dxa" w:w="850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  <w:t>WBS</w:t>
            </w:r>
          </w:p>
        </w:tc>
        <w:tc>
          <w:tcPr>
            <w:tcW w:type="dxa" w:w="1984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  <w:t>Entregable / fase</w:t>
            </w:r>
          </w:p>
        </w:tc>
        <w:tc>
          <w:tcPr>
            <w:tcW w:type="dxa" w:w="3401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  <w:t>Paquetes de trabajo</w:t>
            </w:r>
          </w:p>
        </w:tc>
        <w:tc>
          <w:tcPr>
            <w:tcW w:type="dxa" w:w="1757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  <w:t>Responsable funcional</w:t>
            </w:r>
          </w:p>
        </w:tc>
        <w:tc>
          <w:tcPr>
            <w:tcW w:type="dxa" w:w="1020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FFFFFF"/>
              </w:rPr>
              <w:t>Ventana</w:t>
            </w:r>
          </w:p>
        </w:tc>
      </w:tr>
      <w:tr>
        <w:trPr>
          <w:cantSplit w:val="1"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1.0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Gestión y planificación</w:t>
            </w:r>
          </w:p>
        </w:tc>
        <w:tc>
          <w:tcPr>
            <w:tcW w:type="dxa" w:w="34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1.1 Product Vision; 1.2 Gestión del alcance; 1.3 Metodología Scrum; 1.4 Backlog y trazabilidad.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Gerencia / PO / Scrum Team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Agosto-Septiembre</w:t>
            </w:r>
          </w:p>
        </w:tc>
      </w:tr>
      <w:tr>
        <w:trPr>
          <w:cantSplit w:val="1"/>
        </w:trPr>
        <w:tc>
          <w:tcPr>
            <w:tcW w:type="dxa" w:w="85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2.0</w:t>
            </w:r>
          </w:p>
        </w:tc>
        <w:tc>
          <w:tcPr>
            <w:tcW w:type="dxa" w:w="198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UX/UI</w:t>
            </w:r>
          </w:p>
        </w:tc>
        <w:tc>
          <w:tcPr>
            <w:tcW w:type="dxa" w:w="340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2.1 Flujos app; 2.2 Mockups app; 2.3 Mockups wearable; 2.4 Validación de legibilidad e interacción.</w:t>
            </w:r>
          </w:p>
        </w:tc>
        <w:tc>
          <w:tcPr>
            <w:tcW w:type="dxa" w:w="175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UX/UI + equipo</w:t>
            </w:r>
          </w:p>
        </w:tc>
        <w:tc>
          <w:tcPr>
            <w:tcW w:type="dxa" w:w="102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Agosto-Septiembre</w:t>
            </w:r>
          </w:p>
        </w:tc>
      </w:tr>
      <w:tr>
        <w:trPr>
          <w:cantSplit w:val="1"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3.0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Arquitectura y datos</w:t>
            </w:r>
          </w:p>
        </w:tc>
        <w:tc>
          <w:tcPr>
            <w:tcW w:type="dxa" w:w="34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3.1 DD-01 contexto/contenedores/componentes; 3.2 DD-02 conceptual/lógico/físico; 3.3 seguridad/autorización; 3.4 integración/sincronización.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Arquitectura / Backend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Septiembre-Octubre</w:t>
            </w:r>
          </w:p>
        </w:tc>
      </w:tr>
      <w:tr>
        <w:trPr>
          <w:cantSplit w:val="1"/>
        </w:trPr>
        <w:tc>
          <w:tcPr>
            <w:tcW w:type="dxa" w:w="85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4.0</w:t>
            </w:r>
          </w:p>
        </w:tc>
        <w:tc>
          <w:tcPr>
            <w:tcW w:type="dxa" w:w="198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Aplicación móvil</w:t>
            </w:r>
          </w:p>
        </w:tc>
        <w:tc>
          <w:tcPr>
            <w:tcW w:type="dxa" w:w="340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4.1 Cuenta/acceso; 4.2 Perfil; 4.3 Rutinas/actividades; 4.4 Pictogramas/horarios; 4.5 Vinculación/sincronización; 4.6 estados y errores.</w:t>
            </w:r>
          </w:p>
        </w:tc>
        <w:tc>
          <w:tcPr>
            <w:tcW w:type="dxa" w:w="175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Desarrollo móvil</w:t>
            </w:r>
          </w:p>
        </w:tc>
        <w:tc>
          <w:tcPr>
            <w:tcW w:type="dxa" w:w="102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Octubre-Noviembre</w:t>
            </w:r>
          </w:p>
        </w:tc>
      </w:tr>
      <w:tr>
        <w:trPr>
          <w:cantSplit w:val="1"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5.0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Servicios y persistencia</w:t>
            </w:r>
          </w:p>
        </w:tc>
        <w:tc>
          <w:tcPr>
            <w:tcW w:type="dxa" w:w="34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5.1 APIs/servicios; 5.2 autenticación/autorización; 5.3 persistencia; 5.4 estados de sincronización; 5.5 observabilidad y recuperación.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Backend / Datos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Octubre-Noviembre</w:t>
            </w:r>
          </w:p>
        </w:tc>
      </w:tr>
      <w:tr>
        <w:trPr>
          <w:cantSplit w:val="1"/>
        </w:trPr>
        <w:tc>
          <w:tcPr>
            <w:tcW w:type="dxa" w:w="85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6.0</w:t>
            </w:r>
          </w:p>
        </w:tc>
        <w:tc>
          <w:tcPr>
            <w:tcW w:type="dxa" w:w="198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Wearable e integración</w:t>
            </w:r>
          </w:p>
        </w:tc>
        <w:tc>
          <w:tcPr>
            <w:tcW w:type="dxa" w:w="340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6.1 Validar dispositivo; 6.2 vinculación; 6.3 visualización actividad; 6.4 alerta; 6.5 confirmación; 6.6 comportamiento sin conexión.</w:t>
            </w:r>
          </w:p>
        </w:tc>
        <w:tc>
          <w:tcPr>
            <w:tcW w:type="dxa" w:w="175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Wearable / Integración</w:t>
            </w:r>
          </w:p>
        </w:tc>
        <w:tc>
          <w:tcPr>
            <w:tcW w:type="dxa" w:w="102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Octubre-Noviembre</w:t>
            </w:r>
          </w:p>
        </w:tc>
      </w:tr>
      <w:tr>
        <w:trPr>
          <w:cantSplit w:val="1"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7.0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Calidad y pruebas</w:t>
            </w:r>
          </w:p>
        </w:tc>
        <w:tc>
          <w:tcPr>
            <w:tcW w:type="dxa" w:w="34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7.1 Funcionales; 7.2 integración; 7.3 no funcionales; 7.4 usabilidad; 7.5 regresión; 7.6 evidencia y defectos.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QA + Scrum Team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Noviembre-Diciembre</w:t>
            </w:r>
          </w:p>
        </w:tc>
      </w:tr>
      <w:tr>
        <w:trPr>
          <w:cantSplit w:val="1"/>
        </w:trPr>
        <w:tc>
          <w:tcPr>
            <w:tcW w:type="dxa" w:w="85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8.0</w:t>
            </w:r>
          </w:p>
        </w:tc>
        <w:tc>
          <w:tcPr>
            <w:tcW w:type="dxa" w:w="198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Cierre y transferencia</w:t>
            </w:r>
          </w:p>
        </w:tc>
        <w:tc>
          <w:tcPr>
            <w:tcW w:type="dxa" w:w="340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8.1 Manual app; 8.2 manual wearable; 8.3 documentación técnica; 8.4 resultados; 8.5 demostración final; 8.6 cierre.</w:t>
            </w:r>
          </w:p>
        </w:tc>
        <w:tc>
          <w:tcPr>
            <w:tcW w:type="dxa" w:w="175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Equipo completo</w:t>
            </w:r>
          </w:p>
        </w:tc>
        <w:tc>
          <w:tcPr>
            <w:tcW w:type="dxa" w:w="102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</w:r>
            <w:r>
              <w:rPr>
                <w:rFonts w:ascii="Arial" w:hAnsi="Arial" w:eastAsia="Arial" w:cs="Arial"/>
                <w:sz w:val="16"/>
                <w:szCs w:val="16"/>
                <w:color w:val="222222"/>
              </w:rPr>
              <w:t>Diciembre</w:t>
            </w:r>
          </w:p>
        </w:tc>
      </w:tr>
    </w:tbl>
    <w:p>
      <w:pPr>
        <w:pStyle w:val="Normal"/>
        <w:spacing w:after="0" w:line="480" w:lineRule="auto" w:before="0"/>
        <w:jc w:val="left"/>
        <w:ind w:left="0" w:right="0" w:firstLine="720"/>
      </w:pPr>
      <w:r>
        <w:rPr>
          <w:rFonts w:ascii="Arial" w:hAnsi="Arial" w:eastAsia="Arial" w:cs="Arial"/>
          <w:sz w:val="22"/>
          <w:szCs w:val="22"/>
          <w:color w:val="222222"/>
        </w:rPr>
        <w:t>Cadencia recomendada: Sprints de dos semanas como acuerdo operativo inicial. Cada Sprint debe seleccionar PBIs que acerquen al equipo al Product Goal y, cuando sea posible, producir un incremento integrado app-wearable.</w:t>
      </w:r>
    </w:p>
    <w:p>
      <w:pPr>
        <w:pStyle w:val="Heading1"/>
        <w:keepNext/>
        <w:spacing w:before="280" w:after="120" w:line="240" w:lineRule="auto"/>
        <w:jc w:val="left"/>
        <w:ind w:left="0" w:right="0" w:firstLine="0"/>
      </w:pPr>
      <w:r>
        <w:rPr>
          <w:rFonts w:ascii="Arial" w:hAnsi="Arial" w:eastAsia="Arial" w:cs="Arial"/>
          <w:sz w:val="34"/>
          <w:szCs w:val="34"/>
          <w:b/>
          <w:bCs/>
          <w:color w:val="23364D"/>
        </w:rPr>
        <w:t>8. Control de cambios al alcance</w:t>
      </w:r>
    </w:p>
    <w:p>
      <w:pPr>
        <w:pStyle w:val="Normal"/>
        <w:spacing w:after="0" w:line="480" w:lineRule="auto" w:before="0"/>
        <w:jc w:val="left"/>
        <w:ind w:left="0" w:right="0" w:firstLine="720"/>
      </w:pPr>
      <w:r>
        <w:rPr>
          <w:rFonts w:ascii="Arial" w:hAnsi="Arial" w:eastAsia="Arial" w:cs="Arial"/>
          <w:sz w:val="22"/>
          <w:szCs w:val="22"/>
          <w:color w:val="222222"/>
        </w:rPr>
        <w:t>El control de cambios se adapta al uso de Scrum: los cambios de detalle se gestionan mediante el Product Backlog, mientras que los cambios que modifican la línea base del proyecto requieren evaluación y aprobación explícita.</w:t>
      </w:r>
    </w:p>
    <w:p>
      <w:pPr>
        <w:pStyle w:val="Heading2"/>
        <w:keepNext/>
        <w:spacing w:before="200" w:after="80" w:line="240" w:lineRule="auto"/>
        <w:jc w:val="left"/>
        <w:ind w:left="0" w:right="0" w:firstLine="0"/>
      </w:pPr>
      <w:r>
        <w:rPr>
          <w:rFonts w:ascii="Arial" w:hAnsi="Arial" w:eastAsia="Arial" w:cs="Arial"/>
          <w:sz w:val="26"/>
          <w:szCs w:val="26"/>
          <w:b/>
          <w:bCs/>
          <w:color w:val="4E9F96"/>
        </w:rPr>
        <w:t>8.1 Procedimiento</w:t>
      </w:r>
    </w:p>
    <w:p>
      <w:pPr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1.</w:t>
      </w:r>
      <w:r>
        <w:rPr>
          <w:rFonts w:ascii="Arial" w:hAnsi="Arial" w:eastAsia="Arial" w:cs="Arial"/>
          <w:sz w:val="22"/>
          <w:szCs w:val="22"/>
          <w:color w:val="222222"/>
        </w:rPr>
        <w:t xml:space="preserve">  Registrar la solicitud o necesidad de cambio con descripción, justificación y solicitante.</w:t>
      </w:r>
    </w:p>
    <w:p>
      <w:pPr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2.</w:t>
      </w:r>
      <w:r>
        <w:rPr>
          <w:rFonts w:ascii="Arial" w:hAnsi="Arial" w:eastAsia="Arial" w:cs="Arial"/>
          <w:sz w:val="22"/>
          <w:szCs w:val="22"/>
          <w:color w:val="222222"/>
        </w:rPr>
        <w:t xml:space="preserve">  Clasificar el cambio: refinamiento normal del Product Backlog o cambio mayor de línea base.</w:t>
      </w:r>
    </w:p>
    <w:p>
      <w:pPr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3.</w:t>
      </w:r>
      <w:r>
        <w:rPr>
          <w:rFonts w:ascii="Arial" w:hAnsi="Arial" w:eastAsia="Arial" w:cs="Arial"/>
          <w:sz w:val="22"/>
          <w:szCs w:val="22"/>
          <w:color w:val="222222"/>
        </w:rPr>
        <w:t xml:space="preserve">  Evaluar impacto en Product Goal, MVP, cronograma académico, arquitectura, modelo de datos, hardware, seguridad, privacidad, pruebas y riesgos.</w:t>
      </w:r>
    </w:p>
    <w:p>
      <w:pPr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4.</w:t>
      </w:r>
      <w:r>
        <w:rPr>
          <w:rFonts w:ascii="Arial" w:hAnsi="Arial" w:eastAsia="Arial" w:cs="Arial"/>
          <w:sz w:val="22"/>
          <w:szCs w:val="22"/>
          <w:color w:val="222222"/>
        </w:rPr>
        <w:t xml:space="preserve">  Para cambios normales, el Product Owner actualiza y ordena el Product Backlog según valor, riesgo y dependencias.</w:t>
      </w:r>
    </w:p>
    <w:p>
      <w:pPr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5.</w:t>
      </w:r>
      <w:r>
        <w:rPr>
          <w:rFonts w:ascii="Arial" w:hAnsi="Arial" w:eastAsia="Arial" w:cs="Arial"/>
          <w:sz w:val="22"/>
          <w:szCs w:val="22"/>
          <w:color w:val="222222"/>
        </w:rPr>
        <w:t xml:space="preserve">  Para cambios mayores, se requiere aprobación formal del Gerente/Responsable del proyecto y de la instancia patrocinadora o académica que corresponda antes de comprometer el nuevo alcance.</w:t>
      </w:r>
    </w:p>
    <w:p>
      <w:pPr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6.</w:t>
      </w:r>
      <w:r>
        <w:rPr>
          <w:rFonts w:ascii="Arial" w:hAnsi="Arial" w:eastAsia="Arial" w:cs="Arial"/>
          <w:sz w:val="22"/>
          <w:szCs w:val="22"/>
          <w:color w:val="222222"/>
        </w:rPr>
        <w:t xml:space="preserve">  Durante un Sprint, un cambio no debe poner en peligro el Sprint Goal. Si no es urgente ni compatible con el objetivo, se incorpora al backlog para planificación posterior.</w:t>
      </w:r>
    </w:p>
    <w:p>
      <w:pPr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7.</w:t>
      </w:r>
      <w:r>
        <w:rPr>
          <w:rFonts w:ascii="Arial" w:hAnsi="Arial" w:eastAsia="Arial" w:cs="Arial"/>
          <w:sz w:val="22"/>
          <w:szCs w:val="22"/>
          <w:color w:val="222222"/>
        </w:rPr>
        <w:t xml:space="preserve">  Actualizar los documentos afectados: Plan de Alcance, Product Backlog, criterios de aceptación, DD-01/DD-02, plan de pruebas, riesgos y manuales.</w:t>
      </w:r>
    </w:p>
    <w:p>
      <w:pPr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8.</w:t>
      </w:r>
      <w:r>
        <w:rPr>
          <w:rFonts w:ascii="Arial" w:hAnsi="Arial" w:eastAsia="Arial" w:cs="Arial"/>
          <w:sz w:val="22"/>
          <w:szCs w:val="22"/>
          <w:color w:val="222222"/>
        </w:rPr>
        <w:t xml:space="preserve">  Comunicar el cambio aprobado al Scrum Team e interesados y conservar evidencia de la decisión y del resultado.</w:t>
      </w:r>
    </w:p>
    <w:p>
      <w:pPr>
        <w:pStyle w:val="Heading2"/>
        <w:keepNext/>
        <w:spacing w:before="200" w:after="80" w:line="240" w:lineRule="auto"/>
        <w:jc w:val="left"/>
        <w:ind w:left="0" w:right="0" w:firstLine="0"/>
      </w:pPr>
      <w:r>
        <w:rPr>
          <w:rFonts w:ascii="Arial" w:hAnsi="Arial" w:eastAsia="Arial" w:cs="Arial"/>
          <w:sz w:val="26"/>
          <w:szCs w:val="26"/>
          <w:b/>
          <w:bCs/>
          <w:color w:val="4E9F96"/>
        </w:rPr>
        <w:t>8.2 Cambios que requieren control reforzado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Agregar GPS al MVP o convertirlo en función obligatoria.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Cambiar el dispositivo wearable o el mecanismo principal de conectividad.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Incorporar datos clínicos, biométricos o nuevas categorías de información sensible.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Modificar la relación de autorización Cuenta-Perfil o reglas de privacidad.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Cambiar la arquitectura de sincronización o persistencia de forma que afecte datos existentes.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Comprometer nuevas fechas, costos, soporte operativo o fabricación de hardware.</w:t>
      </w:r>
    </w:p>
    <w:p>
      <w:pPr>
        <w:pStyle w:val="ListBullet"/>
        <w:spacing w:after="0" w:before="0" w:line="480" w:lineRule="auto"/>
        <w:ind w:left="720" w:hanging="360" w:right="0"/>
        <w:jc w:val="left"/>
      </w:pPr>
      <w:r>
        <w:rPr>
          <w:rFonts w:ascii="Arial" w:hAnsi="Arial" w:eastAsia="Arial" w:cs="Arial"/>
          <w:sz w:val="22"/>
          <w:szCs w:val="22"/>
          <w:color w:val="222222"/>
        </w:rPr>
        <w:t>Reducir criterios de calidad, seguridad o cobertura crítica de pruebas.</w:t>
      </w:r>
    </w:p>
    <w:p>
      <w:pPr>
        <w:pStyle w:val="Heading1"/>
        <w:keepNext/>
        <w:spacing w:before="280" w:after="120" w:line="240" w:lineRule="auto"/>
        <w:jc w:val="left"/>
        <w:ind w:left="0" w:right="0" w:firstLine="0"/>
      </w:pPr>
      <w:r>
        <w:rPr>
          <w:rFonts w:ascii="Arial" w:hAnsi="Arial" w:eastAsia="Arial" w:cs="Arial"/>
          <w:sz w:val="34"/>
          <w:szCs w:val="34"/>
          <w:b/>
          <w:bCs/>
          <w:color w:val="23364D"/>
        </w:rPr>
        <w:t>9. Firmas de aprobación</w:t>
      </w:r>
    </w:p>
    <w:p>
      <w:pPr>
        <w:pStyle w:val="Normal"/>
        <w:spacing w:after="0" w:line="480" w:lineRule="auto" w:before="0"/>
        <w:jc w:val="left"/>
        <w:ind w:left="0" w:right="0" w:firstLine="720"/>
      </w:pPr>
      <w:r>
        <w:rPr>
          <w:rFonts w:ascii="Arial" w:hAnsi="Arial" w:eastAsia="Arial" w:cs="Arial"/>
          <w:sz w:val="22"/>
          <w:szCs w:val="22"/>
          <w:color w:val="222222"/>
        </w:rPr>
        <w:t>Los roles cuyo nombre no aparece en la documentación disponible se dejan expresamente por completar para evitar asignaciones no sustentadas.</w:t>
      </w:r>
    </w:p>
    <w:p>
      <w:pPr>
        <w:jc w:val="left"/>
        <w:ind w:firstLine="0"/>
        <w:spacing w:before="160" w:after="0" w:line="240" w:lineRule="auto"/>
        <w:keepNext/>
      </w:pPr>
      <w:r>
        <w:rPr>
          <w:rFonts w:ascii="Arial" w:hAnsi="Arial" w:eastAsia="Arial" w:cs="Arial"/>
          <w:sz w:val="21"/>
          <w:szCs w:val="21"/>
          <w:b/>
          <w:bCs/>
          <w:color w:val="222222"/>
        </w:rPr>
        <w:t>Tabla 10</w:t>
      </w:r>
    </w:p>
    <w:p>
      <w:pPr>
        <w:jc w:val="left"/>
        <w:ind w:firstLine="0"/>
        <w:spacing w:before="0" w:after="100" w:line="240" w:lineRule="auto"/>
        <w:keepNext/>
      </w:pPr>
      <w:r>
        <w:rPr>
          <w:rFonts w:ascii="Arial" w:hAnsi="Arial" w:eastAsia="Arial" w:cs="Arial"/>
          <w:sz w:val="21"/>
          <w:szCs w:val="21"/>
          <w:i/>
          <w:iCs/>
          <w:color w:val="222222"/>
        </w:rPr>
        <w:t>Firmas de aprobación</w:t>
      </w:r>
    </w:p>
    <w:tbl>
      <w:tblPr>
        <w:tblW w:type="dxa" w:w="90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FD6"/>
          <w:left w:val="single" w:sz="4" w:space="0" w:color="C7CFD6"/>
          <w:bottom w:val="single" w:sz="4" w:space="0" w:color="C7CFD6"/>
          <w:right w:val="single" w:sz="4" w:space="0" w:color="C7CFD6"/>
          <w:insideH w:val="single" w:sz="4" w:space="0" w:color="C7CFD6"/>
          <w:insideV w:val="single" w:sz="4" w:space="0" w:color="C7CFD6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  <w:cantSplit w:val="1"/>
        </w:trPr>
        <w:tc>
          <w:tcPr>
            <w:tcW w:type="dxa" w:w="2948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</w:rPr>
              <w:t>Rol</w:t>
            </w:r>
          </w:p>
        </w:tc>
        <w:tc>
          <w:tcPr>
            <w:tcW w:type="dxa" w:w="2494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</w:rPr>
              <w:t>Nombre</w:t>
            </w:r>
          </w:p>
        </w:tc>
        <w:tc>
          <w:tcPr>
            <w:tcW w:type="dxa" w:w="1757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</w:rPr>
              <w:t>Firma</w:t>
            </w:r>
          </w:p>
        </w:tc>
        <w:tc>
          <w:tcPr>
            <w:tcW w:type="dxa" w:w="1814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</w:rPr>
              <w:t>Fecha</w:t>
            </w:r>
          </w:p>
        </w:tc>
      </w:tr>
      <w:tr>
        <w:trPr>
          <w:cantSplit w:val="1"/>
        </w:trP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Patrocinador / Sponsor del proyecto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Por completar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</w:p>
        </w:tc>
      </w:tr>
      <w:tr>
        <w:trPr>
          <w:cantSplit w:val="1"/>
        </w:trPr>
        <w:tc>
          <w:tcPr>
            <w:tcW w:type="dxa" w:w="2948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Gerente / Responsable del proyecto</w:t>
            </w:r>
          </w:p>
        </w:tc>
        <w:tc>
          <w:tcPr>
            <w:tcW w:type="dxa" w:w="249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Maritza San Martín</w:t>
            </w:r>
          </w:p>
        </w:tc>
        <w:tc>
          <w:tcPr>
            <w:tcW w:type="dxa" w:w="175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</w:p>
        </w:tc>
        <w:tc>
          <w:tcPr>
            <w:tcW w:type="dxa" w:w="181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</w:p>
        </w:tc>
      </w:tr>
      <w:tr>
        <w:trPr>
          <w:cantSplit w:val="1"/>
        </w:trP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Product Owner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Por completar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</w:p>
        </w:tc>
      </w:tr>
      <w:tr>
        <w:trPr>
          <w:cantSplit w:val="1"/>
        </w:trPr>
        <w:tc>
          <w:tcPr>
            <w:tcW w:type="dxa" w:w="2948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Scrum Master</w:t>
            </w:r>
          </w:p>
        </w:tc>
        <w:tc>
          <w:tcPr>
            <w:tcW w:type="dxa" w:w="249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Por completar</w:t>
            </w:r>
          </w:p>
        </w:tc>
        <w:tc>
          <w:tcPr>
            <w:tcW w:type="dxa" w:w="175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</w:p>
        </w:tc>
        <w:tc>
          <w:tcPr>
            <w:tcW w:type="dxa" w:w="181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</w:p>
        </w:tc>
      </w:tr>
      <w:tr>
        <w:trPr>
          <w:cantSplit w:val="1"/>
        </w:trP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Representante de Developers / equipo técnico</w:t>
            </w:r>
          </w:p>
        </w:tc>
        <w:tc>
          <w:tcPr>
            <w:tcW w:type="dxa" w:w="24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Por completar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</w:p>
        </w:tc>
      </w:tr>
      <w:tr>
        <w:trPr>
          <w:cantSplit w:val="1"/>
        </w:trPr>
        <w:tc>
          <w:tcPr>
            <w:tcW w:type="dxa" w:w="2948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Docente guía / instancia académica de aprobación</w:t>
            </w:r>
          </w:p>
        </w:tc>
        <w:tc>
          <w:tcPr>
            <w:tcW w:type="dxa" w:w="249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  <w:t>Por completar</w:t>
            </w:r>
          </w:p>
        </w:tc>
        <w:tc>
          <w:tcPr>
            <w:tcW w:type="dxa" w:w="1757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</w:p>
        </w:tc>
        <w:tc>
          <w:tcPr>
            <w:tcW w:type="dxa" w:w="181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  <w:r>
              <w:rPr>
                <w:rFonts w:ascii="Arial" w:hAnsi="Arial" w:eastAsia="Arial" w:cs="Arial"/>
                <w:sz w:val="18"/>
                <w:szCs w:val="18"/>
                <w:color w:val="222222"/>
              </w:rPr>
            </w:r>
          </w:p>
        </w:tc>
      </w:tr>
    </w:tbl>
    <w:p>
      <w:pPr>
        <w:pStyle w:val="Heading1"/>
        <w:keepNext/>
        <w:spacing w:before="280" w:after="120" w:line="240" w:lineRule="auto"/>
        <w:jc w:val="left"/>
        <w:ind w:left="0" w:right="0" w:firstLine="0"/>
      </w:pPr>
      <w:r>
        <w:rPr>
          <w:rFonts w:ascii="Arial" w:hAnsi="Arial" w:eastAsia="Arial" w:cs="Arial"/>
          <w:sz w:val="34"/>
          <w:szCs w:val="34"/>
          <w:b/>
          <w:bCs/>
          <w:color w:val="23364D"/>
        </w:rPr>
        <w:t>Anexo A. Matriz de trazabilidad resumida</w:t>
      </w:r>
    </w:p>
    <w:p>
      <w:pPr>
        <w:jc w:val="left"/>
        <w:ind w:firstLine="0"/>
        <w:spacing w:before="160" w:after="0" w:line="240" w:lineRule="auto"/>
        <w:keepNext/>
      </w:pPr>
      <w:r>
        <w:rPr>
          <w:rFonts w:ascii="Arial" w:hAnsi="Arial" w:eastAsia="Arial" w:cs="Arial"/>
          <w:sz w:val="21"/>
          <w:szCs w:val="21"/>
          <w:b/>
          <w:bCs/>
          <w:color w:val="222222"/>
        </w:rPr>
        <w:t>Tabla 11</w:t>
      </w:r>
    </w:p>
    <w:p>
      <w:pPr>
        <w:jc w:val="left"/>
        <w:ind w:firstLine="0"/>
        <w:spacing w:before="0" w:after="100" w:line="240" w:lineRule="auto"/>
        <w:keepNext/>
      </w:pPr>
      <w:r>
        <w:rPr>
          <w:rFonts w:ascii="Arial" w:hAnsi="Arial" w:eastAsia="Arial" w:cs="Arial"/>
          <w:sz w:val="21"/>
          <w:szCs w:val="21"/>
          <w:i/>
          <w:iCs/>
          <w:color w:val="222222"/>
        </w:rPr>
        <w:t>Matriz de trazabilidad resumida</w:t>
      </w:r>
    </w:p>
    <w:tbl>
      <w:tblPr>
        <w:tblW w:type="dxa" w:w="90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FD6"/>
          <w:left w:val="single" w:sz="4" w:space="0" w:color="C7CFD6"/>
          <w:bottom w:val="single" w:sz="4" w:space="0" w:color="C7CFD6"/>
          <w:right w:val="single" w:sz="4" w:space="0" w:color="C7CFD6"/>
          <w:insideH w:val="single" w:sz="4" w:space="0" w:color="C7CFD6"/>
          <w:insideV w:val="single" w:sz="4" w:space="0" w:color="C7CFD6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 w:val="1"/>
        </w:trPr>
        <w:tc>
          <w:tcPr>
            <w:tcW w:type="dxa" w:w="1814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  <w:t>Área</w:t>
            </w:r>
          </w:p>
        </w:tc>
        <w:tc>
          <w:tcPr>
            <w:tcW w:type="dxa" w:w="2324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  <w:t>Historias / enablers</w:t>
            </w:r>
          </w:p>
        </w:tc>
        <w:tc>
          <w:tcPr>
            <w:tcW w:type="dxa" w:w="1530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  <w:t>Requisitos</w:t>
            </w:r>
          </w:p>
        </w:tc>
        <w:tc>
          <w:tcPr>
            <w:tcW w:type="dxa" w:w="2381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  <w:t>Criterios</w:t>
            </w:r>
          </w:p>
        </w:tc>
        <w:tc>
          <w:tcPr>
            <w:tcW w:type="dxa" w:w="963"/>
            <w:shd w:fill="2336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color w:val="FFFFFF"/>
              </w:rPr>
              <w:t>Entregables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Cuenta y acceso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HU-01, HU-02, HU-03, HU-04, HU-06, HU-28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RF-01 a RF-04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CA-F01 a CA-F03; CA-NF01 a 03</w:t>
            </w:r>
          </w:p>
        </w:tc>
        <w:tc>
          <w:tcPr>
            <w:tcW w:type="dxa" w:w="9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E4, E5</w:t>
            </w:r>
          </w:p>
        </w:tc>
      </w:tr>
      <w:tr>
        <w:trPr>
          <w:cantSplit w:val="1"/>
        </w:trPr>
        <w:tc>
          <w:tcPr>
            <w:tcW w:type="dxa" w:w="181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Rutinas y planificación</w:t>
            </w:r>
          </w:p>
        </w:tc>
        <w:tc>
          <w:tcPr>
            <w:tcW w:type="dxa" w:w="232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HU-07 a HU-13</w:t>
            </w:r>
          </w:p>
        </w:tc>
        <w:tc>
          <w:tcPr>
            <w:tcW w:type="dxa" w:w="153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RF-05 a RF-09</w:t>
            </w:r>
          </w:p>
        </w:tc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CA-F05 a CA-F09</w:t>
            </w:r>
          </w:p>
        </w:tc>
        <w:tc>
          <w:tcPr>
            <w:tcW w:type="dxa" w:w="963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E4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Wearable y sincronización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HU-14 a HU-18, HU-27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RF-10 a RF-12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CA-F04, F10, F11, F16, F17; CA-NF06, 08, 09, 12</w:t>
            </w:r>
          </w:p>
        </w:tc>
        <w:tc>
          <w:tcPr>
            <w:tcW w:type="dxa" w:w="9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E5, E6, E7</w:t>
            </w:r>
          </w:p>
        </w:tc>
      </w:tr>
      <w:tr>
        <w:trPr>
          <w:cantSplit w:val="1"/>
        </w:trPr>
        <w:tc>
          <w:tcPr>
            <w:tcW w:type="dxa" w:w="181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Experiencia wearable</w:t>
            </w:r>
          </w:p>
        </w:tc>
        <w:tc>
          <w:tcPr>
            <w:tcW w:type="dxa" w:w="232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HU-19 a HU-23</w:t>
            </w:r>
          </w:p>
        </w:tc>
        <w:tc>
          <w:tcPr>
            <w:tcW w:type="dxa" w:w="153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RF-13 a RF-17</w:t>
            </w:r>
          </w:p>
        </w:tc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CA-F12 a CA-F15; CA-NF07, 13, 14</w:t>
            </w:r>
          </w:p>
        </w:tc>
        <w:tc>
          <w:tcPr>
            <w:tcW w:type="dxa" w:w="963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E6, E7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Seguimiento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HU-24 a HU-26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RF-18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Criterios del backlog; CA-NF15</w:t>
            </w:r>
          </w:p>
        </w:tc>
        <w:tc>
          <w:tcPr>
            <w:tcW w:type="dxa" w:w="9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E4, E6</w:t>
            </w:r>
          </w:p>
        </w:tc>
      </w:tr>
      <w:tr>
        <w:trPr>
          <w:cantSplit w:val="1"/>
        </w:trPr>
        <w:tc>
          <w:tcPr>
            <w:tcW w:type="dxa" w:w="181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Privacidad y control</w:t>
            </w:r>
          </w:p>
        </w:tc>
        <w:tc>
          <w:tcPr>
            <w:tcW w:type="dxa" w:w="232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HU-28, HU-29</w:t>
            </w:r>
          </w:p>
        </w:tc>
        <w:tc>
          <w:tcPr>
            <w:tcW w:type="dxa" w:w="153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RF-20 + RNF-01 a 04</w:t>
            </w:r>
          </w:p>
        </w:tc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CA-NF01 a CA-NF04</w:t>
            </w:r>
          </w:p>
        </w:tc>
        <w:tc>
          <w:tcPr>
            <w:tcW w:type="dxa" w:w="963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E4, E5</w:t>
            </w:r>
          </w:p>
        </w:tc>
      </w:tr>
      <w:tr>
        <w:trPr>
          <w:cantSplit w:val="1"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Ubicación condicionada</w:t>
            </w:r>
          </w:p>
        </w:tc>
        <w:tc>
          <w:tcPr>
            <w:tcW w:type="dxa" w:w="23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HU-OPT-01, HU-OPT-02</w:t>
            </w:r>
          </w:p>
        </w:tc>
        <w:tc>
          <w:tcPr>
            <w:tcW w:type="dxa" w:w="153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RF-19 / RNF-04</w:t>
            </w:r>
          </w:p>
        </w:tc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CA-F18; CA-NF04</w:t>
            </w:r>
          </w:p>
        </w:tc>
        <w:tc>
          <w:tcPr>
            <w:tcW w:type="dxa" w:w="9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Post-MVP</w:t>
            </w:r>
          </w:p>
        </w:tc>
      </w:tr>
      <w:tr>
        <w:trPr>
          <w:cantSplit w:val="1"/>
        </w:trPr>
        <w:tc>
          <w:tcPr>
            <w:tcW w:type="dxa" w:w="181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Calidad e integración</w:t>
            </w:r>
          </w:p>
        </w:tc>
        <w:tc>
          <w:tcPr>
            <w:tcW w:type="dxa" w:w="2324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EN-01 a EN-08</w:t>
            </w:r>
          </w:p>
        </w:tc>
        <w:tc>
          <w:tcPr>
            <w:tcW w:type="dxa" w:w="1530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RNF-05 a RNF-15</w:t>
            </w:r>
          </w:p>
        </w:tc>
        <w:tc>
          <w:tcPr>
            <w:tcW w:type="dxa" w:w="2381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CA-MVP01 a CA-MVP06</w:t>
            </w:r>
          </w:p>
        </w:tc>
        <w:tc>
          <w:tcPr>
            <w:tcW w:type="dxa" w:w="963"/>
            <w:shd w:fill="F8FAF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</w:r>
            <w:r>
              <w:rPr>
                <w:rFonts w:ascii="Arial" w:hAnsi="Arial" w:eastAsia="Arial" w:cs="Arial"/>
                <w:sz w:val="15"/>
                <w:szCs w:val="15"/>
                <w:color w:val="222222"/>
              </w:rPr>
              <w:t>E7, E8, E9</w:t>
            </w:r>
          </w:p>
        </w:tc>
      </w:tr>
    </w:tbl>
    <w:p>
      <w:pPr>
        <w:pStyle w:val="Heading1"/>
        <w:keepNext/>
        <w:spacing w:before="280" w:after="120" w:line="240" w:lineRule="auto"/>
        <w:jc w:val="left"/>
        <w:ind w:left="0" w:right="0" w:firstLine="0"/>
      </w:pPr>
      <w:r>
        <w:rPr>
          <w:rFonts w:ascii="Arial" w:hAnsi="Arial" w:eastAsia="Arial" w:cs="Arial"/>
          <w:sz w:val="34"/>
          <w:szCs w:val="34"/>
          <w:b/>
          <w:bCs/>
          <w:color w:val="23364D"/>
        </w:rPr>
        <w:t>Anexo B. Documentos base consolidados</w:t>
      </w:r>
    </w:p>
    <w:p>
      <w:pPr>
        <w:jc w:val="left"/>
        <w:ind w:firstLine="0"/>
        <w:spacing w:before="160" w:after="0" w:line="240" w:lineRule="auto"/>
        <w:keepNext/>
      </w:pPr>
      <w:r>
        <w:rPr>
          <w:rFonts w:ascii="Arial" w:hAnsi="Arial" w:eastAsia="Arial" w:cs="Arial"/>
          <w:sz w:val="21"/>
          <w:szCs w:val="21"/>
          <w:b/>
          <w:bCs/>
          <w:color w:val="222222"/>
        </w:rPr>
        <w:t>Tabla 12</w:t>
      </w:r>
    </w:p>
    <w:p>
      <w:pPr>
        <w:jc w:val="left"/>
        <w:ind w:firstLine="0"/>
        <w:spacing w:before="0" w:after="100" w:line="240" w:lineRule="auto"/>
        <w:keepNext/>
      </w:pPr>
      <w:r>
        <w:rPr>
          <w:rFonts w:ascii="Arial" w:hAnsi="Arial" w:eastAsia="Arial" w:cs="Arial"/>
          <w:sz w:val="21"/>
          <w:szCs w:val="21"/>
          <w:i/>
          <w:iCs/>
          <w:color w:val="222222"/>
        </w:rPr>
        <w:t>Documentos base consolidados</w:t>
      </w:r>
    </w:p>
    <w:tbl>
      <w:tblPr>
        <w:tblW w:type="dxa" w:w="902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CFD6"/>
          <w:left w:val="single" w:sz="4" w:space="0" w:color="C7CFD6"/>
          <w:bottom w:val="single" w:sz="4" w:space="0" w:color="C7CFD6"/>
          <w:right w:val="single" w:sz="4" w:space="0" w:color="C7CFD6"/>
          <w:insideH w:val="single" w:sz="4" w:space="0" w:color="C7CFD6"/>
          <w:insideV w:val="single" w:sz="4" w:space="0" w:color="C7CFD6"/>
        </w:tblBorders>
      </w:tblPr>
      <w:tblGrid>
        <w:gridCol w:w="4933"/>
        <w:gridCol w:w="4933"/>
      </w:tblGrid>
      <w:tr>
        <w:trPr>
          <w:tblHeader w:val="true"/>
          <w:cantSplit w:val="1"/>
        </w:trPr>
        <w:tc>
          <w:tcPr>
            <w:tcW w:type="dxa" w:w="4025"/>
            <w:shd w:fill="23364D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1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</w: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Documento</w:t>
            </w:r>
          </w:p>
        </w:tc>
        <w:tc>
          <w:tcPr>
            <w:tcW w:type="dxa" w:w="4988"/>
            <w:shd w:fill="23364D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1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</w: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Uso en este plan</w:t>
            </w:r>
          </w:p>
        </w:tc>
      </w:tr>
      <w:tr>
        <w:trPr>
          <w:cantSplit w:val="1"/>
        </w:trPr>
        <w:tc>
          <w:tcPr>
            <w:tcW w:type="dxa" w:w="4025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FFFFF"/>
          </w:tcPr>
          <w:p>
            <w:pPr>
              <w:spacing w:after="0" w:before="0" w:line="21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</w: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  <w:t>Product Vision MOVA - Scrum</w:t>
            </w:r>
          </w:p>
        </w:tc>
        <w:tc>
          <w:tcPr>
            <w:tcW w:type="dxa" w:w="4988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FFFFF"/>
          </w:tcPr>
          <w:p>
            <w:pPr>
              <w:spacing w:after="0" w:before="0" w:line="21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</w: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  <w:t>Visión, Product Goal, alcance, capacidades, riesgos y MVP.</w:t>
            </w:r>
          </w:p>
        </w:tc>
      </w:tr>
      <w:tr>
        <w:trPr>
          <w:cantSplit w:val="1"/>
        </w:trPr>
        <w:tc>
          <w:tcPr>
            <w:tcW w:type="dxa" w:w="4025"/>
            <w:shd w:fill="F8FAFB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1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</w: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  <w:t>MOVA-PB-02 - Product Backlog con Historias de Usuario, versión 2.0 (02/09/2026)</w:t>
            </w:r>
          </w:p>
        </w:tc>
        <w:tc>
          <w:tcPr>
            <w:tcW w:type="dxa" w:w="4988"/>
            <w:shd w:fill="F8FAFB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1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</w: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  <w:t>Prioridades, historias, corte de MVP, enablers, DoR y DoD.</w:t>
            </w:r>
          </w:p>
        </w:tc>
      </w:tr>
      <w:tr>
        <w:trPr>
          <w:cantSplit w:val="1"/>
        </w:trPr>
        <w:tc>
          <w:tcPr>
            <w:tcW w:type="dxa" w:w="4025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FFFFF"/>
          </w:tcPr>
          <w:p>
            <w:pPr>
              <w:spacing w:after="0" w:before="0" w:line="21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</w: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  <w:t>MOVA-MET-01 - Metodología de Trabajo Scrum, versión 1.0 (25/08/2026)</w:t>
            </w:r>
          </w:p>
        </w:tc>
        <w:tc>
          <w:tcPr>
            <w:tcW w:type="dxa" w:w="4988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FFFFF"/>
          </w:tcPr>
          <w:p>
            <w:pPr>
              <w:spacing w:after="0" w:before="0" w:line="21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</w: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  <w:t>Roles, artefactos, eventos, Sprints, calidad y gestión de cambios.</w:t>
            </w:r>
          </w:p>
        </w:tc>
      </w:tr>
      <w:tr>
        <w:trPr>
          <w:cantSplit w:val="1"/>
        </w:trPr>
        <w:tc>
          <w:tcPr>
            <w:tcW w:type="dxa" w:w="4025"/>
            <w:shd w:fill="F8FAFB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1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</w: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  <w:t>Criterios de Aceptación MOVA, versión 1.0 (25/08/2026)</w:t>
            </w:r>
          </w:p>
        </w:tc>
        <w:tc>
          <w:tcPr>
            <w:tcW w:type="dxa" w:w="4988"/>
            <w:shd w:fill="F8FAFB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1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</w: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  <w:t>Criterios funcionales, no funcionales y criterios de salida del MVP.</w:t>
            </w:r>
          </w:p>
        </w:tc>
      </w:tr>
      <w:tr>
        <w:trPr>
          <w:cantSplit w:val="1"/>
        </w:trPr>
        <w:tc>
          <w:tcPr>
            <w:tcW w:type="dxa" w:w="4025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FFFFF"/>
          </w:tcPr>
          <w:p>
            <w:pPr>
              <w:spacing w:after="0" w:before="0" w:line="21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</w: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  <w:t>MOVA-DD-01 - Diseño de Arquitectura de Software</w:t>
            </w:r>
          </w:p>
        </w:tc>
        <w:tc>
          <w:tcPr>
            <w:tcW w:type="dxa" w:w="4988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FFFFFF"/>
          </w:tcPr>
          <w:p>
            <w:pPr>
              <w:spacing w:after="0" w:before="0" w:line="21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</w: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  <w:t>Contexto, contenedores y componentes de arquitectura.</w:t>
            </w:r>
          </w:p>
        </w:tc>
      </w:tr>
      <w:tr>
        <w:trPr>
          <w:cantSplit w:val="1"/>
        </w:trPr>
        <w:tc>
          <w:tcPr>
            <w:tcW w:type="dxa" w:w="4025"/>
            <w:shd w:fill="F8FAFB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1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</w: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  <w:t>MOVA-DD-02 - Modelo de Datos</w:t>
            </w:r>
          </w:p>
        </w:tc>
        <w:tc>
          <w:tcPr>
            <w:tcW w:type="dxa" w:w="4988"/>
            <w:shd w:fill="F8FAFB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10" w:lineRule="auto"/>
              <w:jc w:val="left"/>
              <w:ind w:left="0" w:right="0" w:firstLine="0"/>
            </w:pP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</w:r>
            <w:r>
              <w:rPr>
                <w:rFonts w:ascii="Arial" w:hAnsi="Arial" w:eastAsia="Arial" w:cs="Arial"/>
                <w:color w:val="222222"/>
                <w:sz w:val="17"/>
                <w:szCs w:val="17"/>
              </w:rPr>
              <w:t>Modelo conceptual, lógico y físico; separación Cuenta/Perfil; autorización N:M; persistencia histórica de ubicación si aplica.</w:t>
            </w:r>
          </w:p>
        </w:tc>
      </w:tr>
    </w:tbl>
    <w:p>
      <w:pPr>
        <w:pStyle w:val="Normal"/>
        <w:jc w:val="left"/>
        <w:ind w:firstLine="0"/>
        <w:spacing w:before="40" w:after="0" w:line="200" w:lineRule="auto"/>
      </w:pPr>
      <w:r>
        <w:rPr>
          <w:rFonts w:ascii="Arial" w:hAnsi="Arial" w:eastAsia="Arial" w:cs="Arial"/>
          <w:color w:val="66717A"/>
          <w:sz w:val="17"/>
          <w:szCs w:val="17"/>
        </w:rPr>
        <w:t>Estado del documento: esta versión puede utilizarse como línea base de alcance para revisión académica y del Scrum Team. Debe actualizarse cuando cambien el wearable seleccionado, la arquitectura, el corte del MVP o los criterios de aceptación.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652" w:footer="6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513"/>
      <w:gridCol w:w="4513"/>
    </w:tblGrid>
    <w:tr>
      <w:tc>
        <w:tcPr>
          <w:tcW w:type="dxa" w:w="7143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keepNext w:val="0"/>
            <w:spacing w:before="0" w:after="0" w:line="240" w:lineRule="auto"/>
            <w:ind w:left="0" w:right="0" w:firstLine="0"/>
            <w:jc w:val="left"/>
          </w:pPr>
          <w:r>
            <w:rPr>
              <w:rFonts w:ascii="Arial" w:hAnsi="Arial" w:eastAsia="Arial" w:cs="Arial"/>
              <w:color w:val="66717A"/>
              <w:sz w:val="18"/>
            </w:rPr>
            <w:t>Proyecto de Título - Ingeniería en Informática</w:t>
          </w:r>
        </w:p>
      </w:tc>
      <w:tc>
        <w:tcPr>
          <w:tcW w:type="dxa" w:w="1871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keepNext w:val="0"/>
            <w:spacing w:before="0" w:after="0" w:line="240" w:lineRule="auto"/>
            <w:ind w:left="0" w:right="0" w:firstLine="0"/>
            <w:jc w:val="right"/>
          </w:pPr>
          <w:r>
            <w:rPr>
              <w:rFonts w:ascii="Arial" w:hAnsi="Arial" w:eastAsia="Arial" w:cs="Arial"/>
              <w:color w:val="66717A"/>
              <w:sz w:val="18"/>
            </w:rPr>
            <w:t>MOVA-GA-01 • Versión 1.0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513"/>
      <w:gridCol w:w="4513"/>
    </w:tblGrid>
    <w:tr>
      <w:tc>
        <w:tcPr>
          <w:tcW w:type="dxa" w:w="7143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keepNext w:val="0"/>
            <w:spacing w:before="0" w:after="0" w:line="240" w:lineRule="auto"/>
            <w:ind w:left="0" w:right="0" w:firstLine="0"/>
            <w:jc w:val="left"/>
          </w:pPr>
          <w:r>
            <w:rPr>
              <w:rFonts w:ascii="Arial" w:hAnsi="Arial" w:eastAsia="Arial" w:cs="Arial"/>
              <w:b/>
              <w:color w:val="4E9F96"/>
              <w:sz w:val="18"/>
            </w:rPr>
            <w:t>MOVA  |  Gestión del Alcance</w:t>
          </w:r>
        </w:p>
      </w:tc>
      <w:tc>
        <w:tcPr>
          <w:tcW w:type="dxa" w:w="1871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keepNext w:val="0"/>
            <w:spacing w:before="0" w:after="0" w:line="240" w:lineRule="auto"/>
            <w:ind w:left="0" w:right="0" w:firstLine="0"/>
            <w:jc w:val="right"/>
          </w:pPr>
          <w:r>
            <w:rPr>
              <w:rFonts w:ascii="Arial" w:hAnsi="Arial" w:eastAsia="Arial" w:cs="Arial"/>
              <w:color w:val="66717A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480" w:lineRule="auto"/>
      <w:ind w:firstLine="720"/>
      <w:jc w:val="left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ind w:firstLine="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336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ind w:firstLine="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4E9F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76" w:lineRule="auto"/>
      <w:ind w:firstLine="0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MOVA - Plan de Gestión del Alcance</dc:title>
  <dc:subject>Proyecto MOVA - Gestión del Alcance</dc:subject>
  <dc:creator>Proyecto MOVA</dc:creator>
  <cp:keywords>MOVA, alcance, Scrum, wearable, aplicación móvil, MVP</cp:keywords>
  <dc:description>Documento normalizado según APA 7 y línea visual MOVA.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