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2BC" w:rsidRDefault="00AD52BC" w:rsidP="00AD52BC">
      <w:r>
        <w:t>[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"001",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preparation</w:t>
      </w:r>
      <w:proofErr w:type="spellEnd"/>
      <w:r>
        <w:t>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 – Portance insuffisante (MPa &lt; 1,5)",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"Le sol présente une portance mesurée &lt; 1,5 MPa sur 0–30 cm, limitant le développement racinaire et la pénétration d’eau.",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"Mesure au pénétromètre (plusieurs points par parcelle) confirmant que la portance cible (≥ 1,8 MPa) n’est pas atteinte.",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"Labour profond (25–30 cm)",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"En automne, privilégier un labour dressé, qui retourne et nivelle le sol en un seul passage, favorisant l’infiltration hivernale.",</w:t>
      </w:r>
    </w:p>
    <w:p w:rsidR="00AD52BC" w:rsidRDefault="00AD52BC" w:rsidP="00AD52BC">
      <w:r>
        <w:t xml:space="preserve">          "En fin d’hiver (mars–avril), opter pour un labour jeté, plus agressif, pour désagréger les ruques compactées sous l’effet du gel.",</w:t>
      </w:r>
    </w:p>
    <w:p w:rsidR="00AD52BC" w:rsidRDefault="00AD52BC" w:rsidP="00AD52BC">
      <w:r>
        <w:t xml:space="preserve">          "Utiliser une charrue réversible (ex. Kuhn Vari-Master) : angle de gîte contrôlé, vitesse de 4–6 km/h, pénétration progressive."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"Rotation adaptée",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"Introduire une culture intermédiaire à racines pivotantes (radis fourrager ou moutarde) tous les 3 ans pour créer des fissures verticales, préparant l’horizon profond et limitant la re-compaction.",</w:t>
      </w:r>
    </w:p>
    <w:p w:rsidR="00AD52BC" w:rsidRDefault="00AD52BC" w:rsidP="00AD52BC">
      <w:r>
        <w:t xml:space="preserve">          "Enchaîner sur un déchaumage superficiel puis un travail de préparation du lit de semence, renforçant la structure en profondeur."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"Décompactage ciblé",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"Réglage de la dent à 15 cm de profondeur",</w:t>
      </w:r>
    </w:p>
    <w:p w:rsidR="00AD52BC" w:rsidRDefault="00AD52BC" w:rsidP="00AD52BC">
      <w:r>
        <w:t xml:space="preserve">          "Bande suivante décalée de 30 cm pour préserver la structure intercalaire",</w:t>
      </w:r>
    </w:p>
    <w:p w:rsidR="00AD52BC" w:rsidRDefault="00AD52BC" w:rsidP="00AD52BC">
      <w:r>
        <w:t xml:space="preserve">          "Passage idéal à 8 km/h, en conditions de sol légèrement humide."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"CRA-W (2023). Portance des sols et systèmes de travail.",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"https://www.arvalis-infos.fr/images/portance-sols.jpg"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"002",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preparation</w:t>
      </w:r>
      <w:proofErr w:type="spellEnd"/>
      <w:r>
        <w:t>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2 – Mottes trop grosses (&gt; 5 cm)",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"Après le premier passage d’outil, de larges agrégats de terre supérieurs à 5 cm demeurent en surface, empêchant un bon contact entre graine et sol, créant des poches d’air et nuisant à une levée uniforme.",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"Sur cinq zones représentatives, un tamisage manuel (maille 3 cm) révèle que plus de 20 % des fragments dépassent 5 cm, et visuellement on constate des zones clairsemées à l’émergence.",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"Herse niveleuse en croisement",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"Deux passages croisés à 6 km/h pour fragmenter les mottes, première passe pour briser les gros fragments, seconde pour niveler le sol."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"Rouleau niveleur",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"Dal-Bo </w:t>
      </w:r>
      <w:proofErr w:type="spellStart"/>
      <w:r>
        <w:t>Rollex</w:t>
      </w:r>
      <w:proofErr w:type="spellEnd"/>
      <w:r>
        <w:t>, pression réglée à 10 kg/cm, pour lisser la surface et tasser légèrement les petites particules."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"Herse étrille",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"Dents espacées de 15 cm, profondeur 5 cm, passage à 8 km/h pour éliminer les derniers fragments et répartir uniformément la matière organique."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</w:t>
      </w:r>
      <w:proofErr w:type="spellStart"/>
      <w:r>
        <w:t>htmlContent</w:t>
      </w:r>
      <w:proofErr w:type="spellEnd"/>
      <w:proofErr w:type="gramStart"/>
      <w:r>
        <w:t>":</w:t>
      </w:r>
      <w:proofErr w:type="gramEnd"/>
      <w:r>
        <w:t xml:space="preserve"> "&lt;p&gt;&lt;</w:t>
      </w:r>
      <w:proofErr w:type="spellStart"/>
      <w:r>
        <w:t>strong</w:t>
      </w:r>
      <w:proofErr w:type="spellEnd"/>
      <w:r>
        <w:t>&gt;Notes :&lt;/</w:t>
      </w:r>
      <w:proofErr w:type="spellStart"/>
      <w:r>
        <w:t>strong</w:t>
      </w:r>
      <w:proofErr w:type="spellEnd"/>
      <w:r>
        <w:t>&gt;&lt;/p&gt;&lt;</w:t>
      </w:r>
      <w:proofErr w:type="spellStart"/>
      <w:r>
        <w:t>ul</w:t>
      </w:r>
      <w:proofErr w:type="spellEnd"/>
      <w:r>
        <w:t xml:space="preserve">&gt;&lt;li&gt;Pour un bon lit de semence, viser que 100 % des mottes soient inférieures à 4 cm, idéalement 90 % entre 1 et 3 cm.&lt;/li&gt;&lt;li&gt;Sous 5 cm de profondeur (horizon 0–5 cm), les particules doivent être fragmentées (&lt; 2 cm) pour assurer un tassement </w:t>
      </w:r>
      <w:proofErr w:type="gramStart"/>
      <w:r>
        <w:t>uniforme.&lt;</w:t>
      </w:r>
      <w:proofErr w:type="gramEnd"/>
      <w:r>
        <w:t>/li&gt;&lt;/</w:t>
      </w:r>
      <w:proofErr w:type="spellStart"/>
      <w:r>
        <w:t>ul</w:t>
      </w:r>
      <w:proofErr w:type="spellEnd"/>
      <w:r>
        <w:t>&gt;",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"Arvalis. (2022). Techniques d’émiettement du sol et préparation du lit de semence.",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"003",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preparation</w:t>
      </w:r>
      <w:proofErr w:type="spellEnd"/>
      <w:r>
        <w:t>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3 – pH acide (pH &lt; 6,0)",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"Le pH du sol, mesuré à 5,6 dans l’horizon 0–30 cm, est insuffisant pour la disponibilité en nutriments (N, P, K) et ralentit la germination et la vigueur initiale des plantules.",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"Test in situ avec pH-mètre portable corroboré par une analyse laboratoire confirmant pH &lt; 6,0.",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"Chaux dolomitique",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"1 t/ha de chaux fine (&lt; 0,5 mm) incorporée à 5–10 cm, 6 semaines avant semis pour permettre la neutralisation des acides."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"Écumes de sucrerie",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"2 t/ha appliquées en automne puis enfouies superficiellement au déchaumage."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"Contrôle post-chaulage",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"Vérifier le pH 6 semaines après et apporter 0,5 t/ha supplémentaire si pH &lt; 6,2."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"CRA-W (2024). Amendement calcique des sols pour cultures céréalières.",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"004",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preparation</w:t>
      </w:r>
      <w:proofErr w:type="spellEnd"/>
      <w:r>
        <w:t>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4 – Matière organique insuffisante (MO &lt; 2 %)",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"La teneur en matière organique mesurée à 1,6 % rend le sol peu cohésif, réduit sa capacité de rétention d’eau et affaiblit la structure des agrégats.",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"Analyse laboratoire confirmée par observation de sols émiettés ne formant pas d’agrégats stables au roulage.",</w:t>
      </w:r>
    </w:p>
    <w:p w:rsidR="00AD52BC" w:rsidRPr="00AD52BC" w:rsidRDefault="00AD52BC" w:rsidP="00AD52BC">
      <w:pPr>
        <w:rPr>
          <w:lang w:val="nl-BE"/>
        </w:rPr>
      </w:pPr>
      <w:r>
        <w:t xml:space="preserve">    </w:t>
      </w:r>
      <w:r w:rsidRPr="00AD52BC">
        <w:rPr>
          <w:lang w:val="nl-BE"/>
        </w:rPr>
        <w:t>"verso": [</w:t>
      </w:r>
    </w:p>
    <w:p w:rsidR="00AD52BC" w:rsidRPr="00AD52BC" w:rsidRDefault="00AD52BC" w:rsidP="00AD52BC">
      <w:pPr>
        <w:rPr>
          <w:lang w:val="nl-BE"/>
        </w:rPr>
      </w:pPr>
      <w:r w:rsidRPr="00AD52BC">
        <w:rPr>
          <w:lang w:val="nl-BE"/>
        </w:rPr>
        <w:t xml:space="preserve">      {</w:t>
      </w:r>
    </w:p>
    <w:p w:rsidR="00AD52BC" w:rsidRPr="00AD52BC" w:rsidRDefault="00AD52BC" w:rsidP="00AD52BC">
      <w:pPr>
        <w:rPr>
          <w:lang w:val="nl-BE"/>
        </w:rPr>
      </w:pPr>
      <w:r w:rsidRPr="00AD52BC">
        <w:rPr>
          <w:lang w:val="nl-BE"/>
        </w:rPr>
        <w:t xml:space="preserve">        "title": "Compost mûr",</w:t>
      </w:r>
    </w:p>
    <w:p w:rsidR="00AD52BC" w:rsidRPr="00AD52BC" w:rsidRDefault="00AD52BC" w:rsidP="00AD52BC">
      <w:pPr>
        <w:rPr>
          <w:lang w:val="nl-BE"/>
        </w:rPr>
      </w:pPr>
      <w:r w:rsidRPr="00AD52BC">
        <w:rPr>
          <w:lang w:val="nl-BE"/>
        </w:rPr>
        <w:t xml:space="preserve">        "steps": [</w:t>
      </w:r>
    </w:p>
    <w:p w:rsidR="00AD52BC" w:rsidRDefault="00AD52BC" w:rsidP="00AD52BC">
      <w:r w:rsidRPr="00AD52BC">
        <w:rPr>
          <w:lang w:val="nl-BE"/>
        </w:rPr>
        <w:t xml:space="preserve">          </w:t>
      </w:r>
      <w:r>
        <w:t>"20 t/ha incorporé superficiellement (5–10 cm) au déchaumage d’automne."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"Fumier bovin",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"15 t/ha réparti après moisson, enfoui à la herse étrille."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"Prairie temporaire",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"2 ans de </w:t>
      </w:r>
      <w:proofErr w:type="gramStart"/>
      <w:r>
        <w:t>mélanges légumineuses</w:t>
      </w:r>
      <w:proofErr w:type="gramEnd"/>
      <w:r>
        <w:t xml:space="preserve"> + ray-grass puis faux-semis avant retour en froment pour intégrer 4–6 t/ha de biomasse."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"CRA-W (2023). Gestion de la matière organique et rotation culturale.",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"005",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preparation</w:t>
      </w:r>
      <w:proofErr w:type="spellEnd"/>
      <w:r>
        <w:t>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5 – Résidus mal gérés du précédent",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"Les chaumes et pailles sont entassés (&gt; 4 t/ha) sans broyage ni incorporation, gênant la préparation mécanique du sol et le positionnement des semences.",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"Estimation en volume et collecte manuelle d’un échantillon (1 m²) confirmant &gt; 4 t/ha de résidus en surface.",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"Broyeur-</w:t>
      </w:r>
      <w:proofErr w:type="spellStart"/>
      <w:r>
        <w:t>désileur</w:t>
      </w:r>
      <w:proofErr w:type="spellEnd"/>
      <w:r>
        <w:t>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"Broyage des résidus en particules &lt; 5 cm, passage à 8 km/h."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"Incorporation superficielle",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"Déchaumage à 3–5 cm suivi d’un passage de rouleau léger."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"Faux-semis",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"Destruction des repousses volontaires post-incorporation."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"Livre Blanc CRA-W (2024). Gestion des résidus de récolte.",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"006",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preparation</w:t>
      </w:r>
      <w:proofErr w:type="spellEnd"/>
      <w:r>
        <w:t>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6 – Sol compacté non détecté",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"Des zones tassées non visibles en surface provoquent des irrégularités de semis et de levée sans motif apparent à l’œil nu.",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"Pression du pied sur sol humide créant des empreintes &gt; 4 cm, et mesure à 15 cm avec pénétromètre montrant une hausse brusque de la résistance.",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"Décompactage à dents",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</w:t>
      </w:r>
      <w:proofErr w:type="spellStart"/>
      <w:r>
        <w:t>Claydon</w:t>
      </w:r>
      <w:proofErr w:type="spellEnd"/>
      <w:r>
        <w:t xml:space="preserve"> Terra-Blade, dents à 15 cm, bandes alternées espacées de 30 cm."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"Labour ciblé",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"Labour jeté à 30 cm sur bandes identifiées, puis semis en </w:t>
      </w:r>
      <w:proofErr w:type="spellStart"/>
      <w:r>
        <w:t>sash</w:t>
      </w:r>
      <w:proofErr w:type="spellEnd"/>
      <w:r>
        <w:t xml:space="preserve"> pattern pour préserver les zones saines."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"Limiter le trafic",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"Réserver les passages de machines lourdes aux périodes sèches, et installer des passages dédiés."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"CRA-W (2023). Techniques de décompactage localisé.",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"007",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7 – Absence de faux-semis",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"Aucun faux-semis n’a été réalisé, laissant les germinations adventices proliférer au moment du semis principal.",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"Comptage à J–Semis sur 1 m² : 100 plantules adventices/m² (vulpin, ray-grass) confirmant un fort retraitement.",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"Premier faux-semis",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"Dès que T° sol ≥ 10 °C, herse étrille à 6–8 km/h, incorporer 2–3 cm."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"Second passage",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"5 jours plus tard pour capturer les germinations différées."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"Sécheresse ciblée",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"Laisser sécher 3–5 jours post-étrille, puis semis lorsque la surface ne colle plus."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"Phytoweb (2023). Guide du faux-semis pour céréales.",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"008",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8 – Météo non observée",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"Le planning de préparation et de semis est réalisé sans tenir compte des prévisions pluviométriques et de l’état hygrométrique du sol.",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"Absence de consultation IRM, corrélation entre semis planifiés avant 20 mm de pluie et semoir colmaté.",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"Surveillance météo",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"Consulter IRM 3 jours avant et le matin même via application mobile."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"Fenêtre météo",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"Cibler 2–3 jours sans pluie prévue pour préparer puis semer."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"Dernier contrôle",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"Vérifier l’adhérence du sol sous la semelle à pied 2 h avant semis."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"IRM Belgique (2024). Prévisions pluviométriques pour travaux agricoles.",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"009",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9 – Sol trop humide",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"Le sol adhère aux disques et roues, formant des bourrages et empêchant les graines d’être déposées proprement.",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"Test manuel : poignée de terre à 5 cm formant une boule collante, relevé pluviométrique &gt; 20 mm sur 3 jours.",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"Report de semis",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"Décaler de 2–3 jours en l’absence de pluie."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"Semoir à disques",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</w:t>
      </w:r>
      <w:proofErr w:type="spellStart"/>
      <w:r>
        <w:t>Horsch</w:t>
      </w:r>
      <w:proofErr w:type="spellEnd"/>
      <w:r>
        <w:t xml:space="preserve"> Avatar, disques indépendants + pneus basse pression (0,6–0,8 bar)."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"Fraises de surface",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"Légère herse étrille après 2 jours de séchage pour briser la croûte."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"Arvalis (2022). Techniques de semis en sol humide.",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"010",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10 – Distribution inégale",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"Au contrôle post-semis, des doublettes et des manques réguliers (&gt; 5 doublettes et &gt; 3 manques par mètre).",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"Analyse de la dose : comparaison entre la dose calculée et la quantité réellement épandue sur 10 m² ; observation du semoir en marche.",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"Calibration précise",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"Ajuster le débit selon le PMG (1 000 grains = 40–45 g) et tester sur 10 m² avant chaque parcelle."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"Entretien semoir",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"Nettoyer rouleaux, vérifier orifices, régler la pression de contact."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"Vitesse stable",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"Maintenir 5–7 km/h pour un flux uniforme de grains."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"Arvalis (2022). Réglages et calibration des semoirs céréales.",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"011",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11 – Densité de semis inadaptée",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"La densité mesurée (&lt; 300 pl/m² ou &gt; 400 pl/m²) diffère de la cible optimale (350 pl/m²), entraînant clairsemés ou compétition excessive.",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"Calcul : densité réelle issue d’un comptage sur 1 m² à J+3, comparée à la densité cible.",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[],</w:t>
      </w:r>
    </w:p>
    <w:p w:rsidR="00AD52BC" w:rsidRDefault="00AD52BC" w:rsidP="00AD52BC">
      <w:r>
        <w:t xml:space="preserve">    "</w:t>
      </w:r>
      <w:proofErr w:type="spellStart"/>
      <w:r>
        <w:t>htmlContent</w:t>
      </w:r>
      <w:proofErr w:type="spellEnd"/>
      <w:proofErr w:type="gramStart"/>
      <w:r>
        <w:t>":</w:t>
      </w:r>
      <w:proofErr w:type="gramEnd"/>
      <w:r>
        <w:t xml:space="preserve"> "&lt;p&gt;&lt;</w:t>
      </w:r>
      <w:proofErr w:type="spellStart"/>
      <w:r>
        <w:t>strong</w:t>
      </w:r>
      <w:proofErr w:type="spellEnd"/>
      <w:r>
        <w:t>&gt;Calcul de dose :&lt;/</w:t>
      </w:r>
      <w:proofErr w:type="spellStart"/>
      <w:r>
        <w:t>strong</w:t>
      </w:r>
      <w:proofErr w:type="spellEnd"/>
      <w:r>
        <w:t>&gt;&lt;/p&gt;&lt;p&gt;Exemple :&lt;</w:t>
      </w:r>
      <w:proofErr w:type="spellStart"/>
      <w:r>
        <w:t>br</w:t>
      </w:r>
      <w:proofErr w:type="spellEnd"/>
      <w:r>
        <w:t>&gt;Densité cible = 300 pl/m²&lt;</w:t>
      </w:r>
      <w:proofErr w:type="spellStart"/>
      <w:r>
        <w:t>br</w:t>
      </w:r>
      <w:proofErr w:type="spellEnd"/>
      <w:r>
        <w:t>&gt;PMG = 45 g&lt;</w:t>
      </w:r>
      <w:proofErr w:type="spellStart"/>
      <w:r>
        <w:t>br</w:t>
      </w:r>
      <w:proofErr w:type="spellEnd"/>
      <w:r>
        <w:t>&gt;Dose = (300 × 45 × 10) ÷ 1000 = 135 kg/ha&lt;/p&gt;&lt;</w:t>
      </w:r>
      <w:proofErr w:type="spellStart"/>
      <w:r>
        <w:t>ul</w:t>
      </w:r>
      <w:proofErr w:type="spellEnd"/>
      <w:r>
        <w:t>&gt;&lt;li&gt;Ajustement semoir : reparamétrer le débit via indicateur de dose et contrôler sur 10 m</w:t>
      </w:r>
      <w:proofErr w:type="gramStart"/>
      <w:r>
        <w:t>².&lt;</w:t>
      </w:r>
      <w:proofErr w:type="gramEnd"/>
      <w:r>
        <w:t xml:space="preserve">/li&gt;&lt;li&gt;Vérification : comptage de contrôle à J+3 pour valider et corriger si </w:t>
      </w:r>
      <w:proofErr w:type="gramStart"/>
      <w:r>
        <w:t>nécessaire.&lt;</w:t>
      </w:r>
      <w:proofErr w:type="gramEnd"/>
      <w:r>
        <w:t>/li&gt;&lt;/</w:t>
      </w:r>
      <w:proofErr w:type="spellStart"/>
      <w:r>
        <w:t>ul</w:t>
      </w:r>
      <w:proofErr w:type="spellEnd"/>
      <w:r>
        <w:t>&gt;&lt;p&gt;&lt;</w:t>
      </w:r>
      <w:proofErr w:type="spellStart"/>
      <w:r>
        <w:t>strong</w:t>
      </w:r>
      <w:proofErr w:type="spellEnd"/>
      <w:r>
        <w:t>&gt;Note :&lt;/</w:t>
      </w:r>
      <w:proofErr w:type="spellStart"/>
      <w:r>
        <w:t>strong</w:t>
      </w:r>
      <w:proofErr w:type="spellEnd"/>
      <w:r>
        <w:t>&gt; Livre Blanc Céréales. (</w:t>
      </w:r>
      <w:proofErr w:type="spellStart"/>
      <w:proofErr w:type="gramStart"/>
      <w:r>
        <w:t>n.d</w:t>
      </w:r>
      <w:proofErr w:type="spellEnd"/>
      <w:r>
        <w:t>.</w:t>
      </w:r>
      <w:proofErr w:type="gramEnd"/>
      <w:r>
        <w:t>). Densité de semis. Consulté le 17 mai 2025, https://livre-blanc-cereales.be/thematiques/semis/densite-de-semis/&lt;/p&gt;",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"Tutoriel CRA-W (2024</w:t>
      </w:r>
      <w:proofErr w:type="gramStart"/>
      <w:r>
        <w:t>);</w:t>
      </w:r>
      <w:proofErr w:type="gramEnd"/>
      <w:r>
        <w:t xml:space="preserve"> CRA-W (2023). Livre blanc </w:t>
      </w:r>
      <w:proofErr w:type="gramStart"/>
      <w:r>
        <w:t>Céréales;</w:t>
      </w:r>
      <w:proofErr w:type="gramEnd"/>
      <w:r>
        <w:t xml:space="preserve"> Arvalis (2024). Recommandations semis froment d’hiver.",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"012",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12 – Profondeur de semis inadéquate",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"Le dépôt des graines à plus de 3 cm ou moins de 2 cm perturbe la germination, provoquant levée tardive ou faible ancrage.",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"Mesure immédiate à 2 heures post-semis avec une sonde de profondeur : moyenne des cinq points &gt; 3 cm ou &lt; 2 cm.",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"Réglage patins",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"Ajuster la profondeur à 2–3 cm via patins de semoir, puis valider sur terrain humide et sec."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"Adaptation texture",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"1,5–2 cm sur sol sableux, 3 cm max sur limon-argileux."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},</w:t>
      </w:r>
    </w:p>
    <w:p w:rsidR="00AD52BC" w:rsidRDefault="00AD52BC" w:rsidP="00AD52BC">
      <w:r>
        <w:t xml:space="preserve">      {</w:t>
      </w:r>
    </w:p>
    <w:p w:rsidR="00AD52BC" w:rsidRDefault="00AD52BC" w:rsidP="00AD52BC">
      <w:r>
        <w:t xml:space="preserve">        "</w:t>
      </w:r>
      <w:proofErr w:type="spellStart"/>
      <w:r>
        <w:t>title</w:t>
      </w:r>
      <w:proofErr w:type="spellEnd"/>
      <w:proofErr w:type="gramStart"/>
      <w:r>
        <w:t>":</w:t>
      </w:r>
      <w:proofErr w:type="gramEnd"/>
      <w:r>
        <w:t xml:space="preserve"> "Contrôle continu",</w:t>
      </w:r>
    </w:p>
    <w:p w:rsidR="00AD52BC" w:rsidRDefault="00AD52BC" w:rsidP="00AD52BC">
      <w:r>
        <w:t xml:space="preserve">       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    "Repasser sur 10 m² pour vérifier la consistance du semis."</w:t>
      </w:r>
    </w:p>
    <w:p w:rsidR="00AD52BC" w:rsidRDefault="00AD52BC" w:rsidP="00AD52BC">
      <w:r>
        <w:t xml:space="preserve">        ]</w:t>
      </w:r>
    </w:p>
    <w:p w:rsidR="00AD52BC" w:rsidRDefault="00AD52BC" w:rsidP="00AD52BC">
      <w:r>
        <w:t xml:space="preserve">      }</w:t>
      </w:r>
      <w:r w:rsidR="005F02BB">
        <w:t>,</w:t>
      </w:r>
    </w:p>
    <w:p w:rsidR="00AD52BC" w:rsidRDefault="00AD52BC" w:rsidP="00AD52BC">
      <w:r>
        <w:t xml:space="preserve">   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"013",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13 – Semoir mal réglé",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"Mauvais calage entraînant distribution irrégulière (sauts de débit, doublettes) malgré la bonne dose.",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"Inspection avant chantier : test de distribution sur planchette, observation de grains sautant ou en continu.",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"Nettoyage et graissage",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["Retirer poussières et résidus de </w:t>
      </w:r>
      <w:proofErr w:type="spellStart"/>
      <w:r>
        <w:t>méthyluracile</w:t>
      </w:r>
      <w:proofErr w:type="spellEnd"/>
      <w:r>
        <w:t>, lubrifier les rouleaux et engrenages."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"Réglage pression",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["Vérifier la pression de contact des rouleaux doseurs (300–400 g par grain)."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"Vitesse constante",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["Maintenir 5–7 km/h, surveiller la régularité du tapis."</w:t>
      </w:r>
      <w:proofErr w:type="gramStart"/>
      <w:r>
        <w:t>] }</w:t>
      </w:r>
      <w:proofErr w:type="gramEnd"/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</w:t>
      </w:r>
      <w:proofErr w:type="spellStart"/>
      <w:r>
        <w:t>htmlContent</w:t>
      </w:r>
      <w:proofErr w:type="spellEnd"/>
      <w:proofErr w:type="gramStart"/>
      <w:r>
        <w:t>":</w:t>
      </w:r>
      <w:proofErr w:type="gramEnd"/>
      <w:r>
        <w:t xml:space="preserve"> "&lt;</w:t>
      </w:r>
      <w:proofErr w:type="spellStart"/>
      <w:r>
        <w:t>ul</w:t>
      </w:r>
      <w:proofErr w:type="spellEnd"/>
      <w:r>
        <w:t xml:space="preserve">&gt;&lt;li&gt;Le </w:t>
      </w:r>
      <w:proofErr w:type="spellStart"/>
      <w:r>
        <w:t>méthyluracile</w:t>
      </w:r>
      <w:proofErr w:type="spellEnd"/>
      <w:r>
        <w:t xml:space="preserve"> inhibe la synthèse des parois fongiques lors de la germination, protégeant le semis contre la </w:t>
      </w:r>
      <w:proofErr w:type="gramStart"/>
      <w:r>
        <w:t>fonte.&lt;</w:t>
      </w:r>
      <w:proofErr w:type="gramEnd"/>
      <w:r>
        <w:t xml:space="preserve">/li&gt;&lt;li&gt;Surveiller la régularité du tapis pour garantir un lit de semence </w:t>
      </w:r>
      <w:proofErr w:type="gramStart"/>
      <w:r>
        <w:t>homogène.&lt;</w:t>
      </w:r>
      <w:proofErr w:type="gramEnd"/>
      <w:r>
        <w:t>/li&gt;&lt;/</w:t>
      </w:r>
      <w:proofErr w:type="spellStart"/>
      <w:r>
        <w:t>ul</w:t>
      </w:r>
      <w:proofErr w:type="spellEnd"/>
      <w:r>
        <w:t>&gt;",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"Manuel </w:t>
      </w:r>
      <w:proofErr w:type="spellStart"/>
      <w:r>
        <w:t>Horsch</w:t>
      </w:r>
      <w:proofErr w:type="spellEnd"/>
      <w:r>
        <w:t>. (2023). Entretien et réglages du semoir.",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"014",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14 – Semence non certifiée",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"Utilisation de semences dont le taux de germination est &lt; 90 % ou non traitées, risquant des échecs de levée.",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"Vérification du lot de semence : certificat de germination et étiquette graphique du fournisseur.",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"Semence certifiée",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["Taux de germination ≥ 95 %, traitement au </w:t>
      </w:r>
      <w:proofErr w:type="spellStart"/>
      <w:r>
        <w:t>sedaxane</w:t>
      </w:r>
      <w:proofErr w:type="spellEnd"/>
      <w:r>
        <w:t xml:space="preserve"> pour protection fongique."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"Stockage adéquat",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["Entreposer à 10–15 °C, humidité &lt; 12 % pour préserver la viabilité."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"Test germination",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["Épreuve de </w:t>
      </w:r>
      <w:proofErr w:type="spellStart"/>
      <w:r>
        <w:t>paper-towel</w:t>
      </w:r>
      <w:proofErr w:type="spellEnd"/>
      <w:r>
        <w:t xml:space="preserve"> à 20 °C sur 100 grains 7 jours avant semis."</w:t>
      </w:r>
      <w:proofErr w:type="gramStart"/>
      <w:r>
        <w:t>] }</w:t>
      </w:r>
      <w:proofErr w:type="gramEnd"/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"FMB. (2024). Standards de qualité des semences.",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"015",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15 – Pas de vérification post-semis",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"Aucune évaluation formelle du semis dans la semaine qui suit, empêchant la correction rapide des erreurs.",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"Absence de relevé dans le carnet de bord agricole à J+3 – J+5 ; aucun comptage effectué.",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"Comptage à J+3",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["Relever la densité sur 0,5 m² à cinq emplacements, noter variations."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"Journal de bord",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["Consigner dose, PMG, conditions météo, profondeur et régulateur."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"Ajustement rapide",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["Si densité &lt; 300 pl/m², prévoir un semis complémentaire sur les zones déficitaires."</w:t>
      </w:r>
      <w:proofErr w:type="gramStart"/>
      <w:r>
        <w:t>] }</w:t>
      </w:r>
      <w:proofErr w:type="gramEnd"/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"CRA-W. (2023). Procédures de suivi post-semis.",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},</w:t>
      </w:r>
    </w:p>
    <w:p w:rsidR="00AD52BC" w:rsidRDefault="00AD52BC" w:rsidP="00AD52BC">
      <w:r>
        <w:t xml:space="preserve">  {</w:t>
      </w:r>
    </w:p>
    <w:p w:rsidR="00AD52BC" w:rsidRDefault="00AD52BC" w:rsidP="00AD52BC">
      <w:r>
        <w:t xml:space="preserve">    "id</w:t>
      </w:r>
      <w:proofErr w:type="gramStart"/>
      <w:r>
        <w:t>":</w:t>
      </w:r>
      <w:proofErr w:type="gramEnd"/>
      <w:r>
        <w:t xml:space="preserve"> "016",</w:t>
      </w:r>
    </w:p>
    <w:p w:rsidR="00AD52BC" w:rsidRDefault="00AD52BC" w:rsidP="00AD52BC">
      <w:r>
        <w:t xml:space="preserve">    "</w:t>
      </w:r>
      <w:proofErr w:type="spellStart"/>
      <w:r>
        <w:t>theme</w:t>
      </w:r>
      <w:proofErr w:type="spellEnd"/>
      <w:proofErr w:type="gramStart"/>
      <w:r>
        <w:t>":</w:t>
      </w:r>
      <w:proofErr w:type="gramEnd"/>
      <w:r>
        <w:t xml:space="preserve"> "semis",</w:t>
      </w:r>
    </w:p>
    <w:p w:rsidR="00AD52BC" w:rsidRDefault="00AD52BC" w:rsidP="00AD52BC">
      <w:r>
        <w:t xml:space="preserve">    "titre</w:t>
      </w:r>
      <w:proofErr w:type="gramStart"/>
      <w:r>
        <w:t>":</w:t>
      </w:r>
      <w:proofErr w:type="gramEnd"/>
      <w:r>
        <w:t xml:space="preserve"> "Fiche 16 – Semis sur sol hétérogène",</w:t>
      </w:r>
    </w:p>
    <w:p w:rsidR="00AD52BC" w:rsidRDefault="00AD52BC" w:rsidP="00AD52BC">
      <w:r>
        <w:t xml:space="preserve">    "recto</w:t>
      </w:r>
      <w:proofErr w:type="gramStart"/>
      <w:r>
        <w:t>":</w:t>
      </w:r>
      <w:proofErr w:type="gramEnd"/>
      <w:r>
        <w:t xml:space="preserve"> "Infiltration et texture variables provoquent levées irrégulières, malgré réglages constants du semoir.",</w:t>
      </w:r>
    </w:p>
    <w:p w:rsidR="00AD52BC" w:rsidRDefault="00AD52BC" w:rsidP="00AD52BC">
      <w:r>
        <w:t xml:space="preserve">    "diagnostic</w:t>
      </w:r>
      <w:proofErr w:type="gramStart"/>
      <w:r>
        <w:t>":</w:t>
      </w:r>
      <w:proofErr w:type="gramEnd"/>
      <w:r>
        <w:t xml:space="preserve"> "Carottages rapides (sonde manuelle) montrent des alternances de sable limoneux et d’argile.",</w:t>
      </w:r>
    </w:p>
    <w:p w:rsidR="00AD52BC" w:rsidRDefault="00AD52BC" w:rsidP="00AD52BC">
      <w:r>
        <w:t xml:space="preserve">    "verso</w:t>
      </w:r>
      <w:proofErr w:type="gramStart"/>
      <w:r>
        <w:t>":</w:t>
      </w:r>
      <w:proofErr w:type="gramEnd"/>
      <w:r>
        <w:t xml:space="preserve"> [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"Semis variable",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["Utiliser la fonction GPS et débit variable sur semoir à commande hydraulique."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"Niveau uniforme",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["Recourir à un niveleur laser ou à rouleau type Cambridge pour homogénéiser la surface."</w:t>
      </w:r>
      <w:proofErr w:type="gramStart"/>
      <w:r>
        <w:t>] }</w:t>
      </w:r>
      <w:proofErr w:type="gramEnd"/>
      <w:r>
        <w:t>,</w:t>
      </w:r>
    </w:p>
    <w:p w:rsidR="00AD52BC" w:rsidRDefault="00AD52BC" w:rsidP="00AD52BC">
      <w:r>
        <w:t xml:space="preserve">      </w:t>
      </w:r>
      <w:proofErr w:type="gramStart"/>
      <w:r>
        <w:t>{ "</w:t>
      </w:r>
      <w:proofErr w:type="spellStart"/>
      <w:proofErr w:type="gramEnd"/>
      <w:r>
        <w:t>title</w:t>
      </w:r>
      <w:proofErr w:type="spellEnd"/>
      <w:proofErr w:type="gramStart"/>
      <w:r>
        <w:t>":</w:t>
      </w:r>
      <w:proofErr w:type="gramEnd"/>
      <w:r>
        <w:t xml:space="preserve"> "Gestion des différences", "</w:t>
      </w:r>
      <w:proofErr w:type="spellStart"/>
      <w:r>
        <w:t>steps</w:t>
      </w:r>
      <w:proofErr w:type="spellEnd"/>
      <w:proofErr w:type="gramStart"/>
      <w:r>
        <w:t>":</w:t>
      </w:r>
      <w:proofErr w:type="gramEnd"/>
      <w:r>
        <w:t xml:space="preserve"> ["Ajuster localement profondeur et dose en fonction des tests de texture."</w:t>
      </w:r>
      <w:proofErr w:type="gramStart"/>
      <w:r>
        <w:t>] }</w:t>
      </w:r>
      <w:proofErr w:type="gramEnd"/>
    </w:p>
    <w:p w:rsidR="00AD52BC" w:rsidRDefault="00AD52BC" w:rsidP="00AD52BC">
      <w:r>
        <w:t xml:space="preserve">    ],</w:t>
      </w:r>
    </w:p>
    <w:p w:rsidR="00AD52BC" w:rsidRDefault="00AD52BC" w:rsidP="00AD52BC">
      <w:r>
        <w:t xml:space="preserve">    "source</w:t>
      </w:r>
      <w:proofErr w:type="gramStart"/>
      <w:r>
        <w:t>":</w:t>
      </w:r>
      <w:proofErr w:type="gramEnd"/>
      <w:r>
        <w:t xml:space="preserve"> "Arvalis. (2023). Variabilité intra-parcellaire et semis à modulation.",</w:t>
      </w:r>
    </w:p>
    <w:p w:rsidR="00AD52BC" w:rsidRDefault="00AD52BC" w:rsidP="00AD52BC">
      <w:r>
        <w:t xml:space="preserve">    "image</w:t>
      </w:r>
      <w:proofErr w:type="gramStart"/>
      <w:r>
        <w:t>":</w:t>
      </w:r>
      <w:proofErr w:type="gramEnd"/>
      <w:r>
        <w:t xml:space="preserve"> ""</w:t>
      </w:r>
    </w:p>
    <w:p w:rsidR="00AD52BC" w:rsidRDefault="00AD52BC" w:rsidP="00AD52BC">
      <w:r>
        <w:t xml:space="preserve">  }</w:t>
      </w:r>
    </w:p>
    <w:p w:rsidR="0068316D" w:rsidRDefault="00AD52BC" w:rsidP="00AD52BC">
      <w:r>
        <w:t>],</w:t>
      </w:r>
    </w:p>
    <w:sectPr w:rsidR="00683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46CE0"/>
    <w:multiLevelType w:val="multilevel"/>
    <w:tmpl w:val="19F2AB8C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64A04B0"/>
    <w:multiLevelType w:val="multilevel"/>
    <w:tmpl w:val="E78A37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1797437"/>
    <w:multiLevelType w:val="multilevel"/>
    <w:tmpl w:val="DBA4C8F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54943222">
    <w:abstractNumId w:val="2"/>
  </w:num>
  <w:num w:numId="2" w16cid:durableId="164639368">
    <w:abstractNumId w:val="2"/>
  </w:num>
  <w:num w:numId="3" w16cid:durableId="598753750">
    <w:abstractNumId w:val="1"/>
  </w:num>
  <w:num w:numId="4" w16cid:durableId="127166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6D"/>
    <w:rsid w:val="00264ABA"/>
    <w:rsid w:val="002F7F2B"/>
    <w:rsid w:val="003B5E14"/>
    <w:rsid w:val="00402BF5"/>
    <w:rsid w:val="004B3F88"/>
    <w:rsid w:val="004B4D2C"/>
    <w:rsid w:val="004D24C9"/>
    <w:rsid w:val="004F061C"/>
    <w:rsid w:val="0054025D"/>
    <w:rsid w:val="005F02BB"/>
    <w:rsid w:val="0068316D"/>
    <w:rsid w:val="006A44EB"/>
    <w:rsid w:val="008C7CEA"/>
    <w:rsid w:val="009A3600"/>
    <w:rsid w:val="00A85DB4"/>
    <w:rsid w:val="00AD52BC"/>
    <w:rsid w:val="00C36EF8"/>
    <w:rsid w:val="00C57350"/>
    <w:rsid w:val="00CC4540"/>
    <w:rsid w:val="00CF02BC"/>
    <w:rsid w:val="00D553E8"/>
    <w:rsid w:val="00F7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5C6B8D"/>
  <w15:chartTrackingRefBased/>
  <w15:docId w15:val="{06F03107-D09D-C840-ACBD-30E5434A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DB4"/>
    <w:pPr>
      <w:spacing w:line="360" w:lineRule="auto"/>
    </w:pPr>
    <w:rPr>
      <w:rFonts w:ascii="Arial" w:hAnsi="Arial"/>
      <w:sz w:val="22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64ABA"/>
    <w:pPr>
      <w:keepNext/>
      <w:keepLines/>
      <w:numPr>
        <w:numId w:val="4"/>
      </w:numPr>
      <w:spacing w:before="360" w:after="80"/>
      <w:ind w:left="432" w:hanging="432"/>
      <w:outlineLvl w:val="0"/>
    </w:pPr>
    <w:rPr>
      <w:rFonts w:eastAsiaTheme="majorEastAsia" w:cstheme="majorBidi"/>
      <w:b/>
      <w:color w:val="2F5496" w:themeColor="accent1" w:themeShade="BF"/>
      <w:sz w:val="36"/>
      <w:szCs w:val="40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semiHidden/>
    <w:unhideWhenUsed/>
    <w:qFormat/>
    <w:rsid w:val="00264ABA"/>
    <w:pPr>
      <w:keepNext/>
      <w:keepLines/>
      <w:numPr>
        <w:ilvl w:val="1"/>
        <w:numId w:val="3"/>
      </w:numPr>
      <w:spacing w:before="160" w:after="80" w:line="240" w:lineRule="auto"/>
      <w:outlineLvl w:val="1"/>
    </w:pPr>
    <w:rPr>
      <w:rFonts w:eastAsiaTheme="majorEastAsia" w:cstheme="majorBidi"/>
      <w:b/>
      <w:color w:val="2F5496" w:themeColor="accent1" w:themeShade="BF"/>
      <w:kern w:val="0"/>
      <w:sz w:val="32"/>
      <w:szCs w:val="32"/>
      <w:u w:val="single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264ABA"/>
    <w:pPr>
      <w:keepNext/>
      <w:keepLines/>
      <w:numPr>
        <w:ilvl w:val="2"/>
        <w:numId w:val="3"/>
      </w:numPr>
      <w:spacing w:before="40" w:line="480" w:lineRule="auto"/>
      <w:jc w:val="both"/>
      <w:outlineLvl w:val="2"/>
    </w:pPr>
    <w:rPr>
      <w:rFonts w:eastAsiaTheme="majorEastAsia" w:cstheme="majorBidi"/>
      <w:b/>
      <w:color w:val="8EAADB" w:themeColor="accent1" w:themeTint="99"/>
      <w:kern w:val="0"/>
      <w:sz w:val="28"/>
      <w:szCs w:val="20"/>
      <w:u w:val="single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264ABA"/>
    <w:pPr>
      <w:keepNext/>
      <w:keepLines/>
      <w:numPr>
        <w:ilvl w:val="3"/>
        <w:numId w:val="3"/>
      </w:numPr>
      <w:spacing w:before="80" w:after="40" w:line="240" w:lineRule="auto"/>
      <w:outlineLvl w:val="3"/>
    </w:pPr>
    <w:rPr>
      <w:rFonts w:eastAsiaTheme="majorEastAsia" w:cstheme="majorBidi"/>
      <w:b/>
      <w:iCs/>
      <w:color w:val="B4C6E7" w:themeColor="accent1" w:themeTint="66"/>
      <w:kern w:val="0"/>
      <w:szCs w:val="20"/>
      <w:u w:val="single"/>
      <w:lang w:eastAsia="fr-FR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31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31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31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31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31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64ABA"/>
    <w:rPr>
      <w:rFonts w:ascii="Arial" w:eastAsiaTheme="majorEastAsia" w:hAnsi="Arial" w:cstheme="majorBidi"/>
      <w:b/>
      <w:color w:val="8EAADB" w:themeColor="accent1" w:themeTint="99"/>
      <w:kern w:val="0"/>
      <w:sz w:val="28"/>
      <w:szCs w:val="20"/>
      <w:u w:val="single"/>
      <w:lang w:val="fr-FR"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264ABA"/>
    <w:rPr>
      <w:rFonts w:ascii="Arial" w:eastAsiaTheme="majorEastAsia" w:hAnsi="Arial" w:cstheme="majorBidi"/>
      <w:b/>
      <w:color w:val="2F5496" w:themeColor="accent1" w:themeShade="BF"/>
      <w:sz w:val="36"/>
      <w:szCs w:val="40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4ABA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:u w:val="single"/>
      <w:lang w:val="fr-FR"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264ABA"/>
    <w:rPr>
      <w:rFonts w:ascii="Arial" w:eastAsiaTheme="majorEastAsia" w:hAnsi="Arial" w:cstheme="majorBidi"/>
      <w:b/>
      <w:iCs/>
      <w:color w:val="B4C6E7" w:themeColor="accent1" w:themeTint="66"/>
      <w:kern w:val="0"/>
      <w:szCs w:val="20"/>
      <w:u w:val="single"/>
      <w:lang w:val="fr-FR"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68316D"/>
    <w:rPr>
      <w:rFonts w:eastAsiaTheme="majorEastAsia" w:cstheme="majorBidi"/>
      <w:color w:val="2F5496" w:themeColor="accent1" w:themeShade="BF"/>
      <w:sz w:val="22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68316D"/>
    <w:rPr>
      <w:rFonts w:eastAsiaTheme="majorEastAsia" w:cstheme="majorBidi"/>
      <w:i/>
      <w:iCs/>
      <w:color w:val="595959" w:themeColor="text1" w:themeTint="A6"/>
      <w:sz w:val="22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68316D"/>
    <w:rPr>
      <w:rFonts w:eastAsiaTheme="majorEastAsia" w:cstheme="majorBidi"/>
      <w:color w:val="595959" w:themeColor="text1" w:themeTint="A6"/>
      <w:sz w:val="22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68316D"/>
    <w:rPr>
      <w:rFonts w:eastAsiaTheme="majorEastAsia" w:cstheme="majorBidi"/>
      <w:i/>
      <w:iCs/>
      <w:color w:val="272727" w:themeColor="text1" w:themeTint="D8"/>
      <w:sz w:val="22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68316D"/>
    <w:rPr>
      <w:rFonts w:eastAsiaTheme="majorEastAsia" w:cstheme="majorBidi"/>
      <w:color w:val="272727" w:themeColor="text1" w:themeTint="D8"/>
      <w:sz w:val="2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68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316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31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316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6831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316D"/>
    <w:rPr>
      <w:rFonts w:ascii="Arial" w:hAnsi="Arial"/>
      <w:i/>
      <w:iCs/>
      <w:color w:val="404040" w:themeColor="text1" w:themeTint="BF"/>
      <w:sz w:val="22"/>
      <w:lang w:val="fr-FR"/>
    </w:rPr>
  </w:style>
  <w:style w:type="paragraph" w:styleId="Paragraphedeliste">
    <w:name w:val="List Paragraph"/>
    <w:basedOn w:val="Normal"/>
    <w:uiPriority w:val="34"/>
    <w:qFormat/>
    <w:rsid w:val="006831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31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3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316D"/>
    <w:rPr>
      <w:rFonts w:ascii="Arial" w:hAnsi="Arial"/>
      <w:i/>
      <w:iCs/>
      <w:color w:val="2F5496" w:themeColor="accent1" w:themeShade="BF"/>
      <w:sz w:val="22"/>
      <w:lang w:val="fr-FR"/>
    </w:rPr>
  </w:style>
  <w:style w:type="character" w:styleId="Rfrenceintense">
    <w:name w:val="Intense Reference"/>
    <w:basedOn w:val="Policepardfaut"/>
    <w:uiPriority w:val="32"/>
    <w:qFormat/>
    <w:rsid w:val="00683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2628</Words>
  <Characters>14460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MARZOLLA</dc:creator>
  <cp:keywords/>
  <dc:description/>
  <cp:lastModifiedBy>Benoît MARZOLLA</cp:lastModifiedBy>
  <cp:revision>1</cp:revision>
  <dcterms:created xsi:type="dcterms:W3CDTF">2025-05-22T20:28:00Z</dcterms:created>
  <dcterms:modified xsi:type="dcterms:W3CDTF">2025-05-22T21:16:00Z</dcterms:modified>
</cp:coreProperties>
</file>