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98F0" w14:textId="77777777" w:rsidR="008D0F65" w:rsidRPr="008D0F65" w:rsidRDefault="008D0F65" w:rsidP="008D0F65">
      <w:pPr>
        <w:rPr>
          <w:b/>
          <w:bCs/>
        </w:rPr>
      </w:pPr>
      <w:r w:rsidRPr="008D0F65">
        <w:rPr>
          <w:b/>
          <w:bCs/>
        </w:rPr>
        <w:t>DAENA AI VP SYSTEM - PATENT FIGURES WITH CALLOUTS</w:t>
      </w:r>
    </w:p>
    <w:p w14:paraId="479B287F" w14:textId="77777777" w:rsidR="008D0F65" w:rsidRPr="008D0F65" w:rsidRDefault="008D0F65" w:rsidP="008D0F65">
      <w:pPr>
        <w:rPr>
          <w:b/>
          <w:bCs/>
        </w:rPr>
      </w:pPr>
      <w:r w:rsidRPr="008D0F65">
        <w:rPr>
          <w:b/>
          <w:bCs/>
        </w:rPr>
        <w:t>FIGURE 1: SUNFLOWER-HONEYCOMB ARCHITECTURE OVERVIEW</w:t>
      </w:r>
    </w:p>
    <w:p w14:paraId="266D6CFA" w14:textId="77777777" w:rsidR="008D0F65" w:rsidRPr="008D0F65" w:rsidRDefault="008D0F65" w:rsidP="008D0F65">
      <w:r w:rsidRPr="008D0F65">
        <w:rPr>
          <w:b/>
          <w:bCs/>
        </w:rPr>
        <w:t>Reference Numerals:</w:t>
      </w:r>
      <w:r w:rsidRPr="008D0F65">
        <w:t> - 100: Daena Core (Central coordination hub) - 101: Engineering Department (Hexagonal unit) - 102: Marketing Department (Hexagonal unit) - 103: Sales Department (Hexagonal unit) - 104: Operations Department (Hexagonal unit) - 105: Finance Department (Hexagonal unit) - 106: Human Resources Department (Hexagonal unit) - 107: Legal Department (Hexagonal unit) - 108: Research Department (Hexagonal unit) - 109: Inter-department communication channels - 110: Golden angle distribution pattern - 111: Sunflower coordinate system (r, θ) - 112: Central hub to department connections - 113: Adjacent department connections - 114: Department boundary permeability</w:t>
      </w:r>
    </w:p>
    <w:p w14:paraId="4EFA6852" w14:textId="77777777" w:rsidR="008D0F65" w:rsidRPr="008D0F65" w:rsidRDefault="008D0F65" w:rsidP="008D0F65">
      <w:r w:rsidRPr="008D0F65">
        <w:rPr>
          <w:b/>
          <w:bCs/>
        </w:rPr>
        <w:t>Technical Description:</w:t>
      </w:r>
      <w:r w:rsidRPr="008D0F65">
        <w:t> This figure shows the novel Sunflower-Honeycomb architecture with Daena Core (100) at the center surrounded by 8 hexagonal departments (101-108) arranged in a honeycomb pattern. The golden angle distribution (110) ensures optimal spacing using the mathematical formula θ = k * 2π * (3 - √5) ≈ 137.507°. Each department contains 6 specialized agents and maintains direct communication channels (109) with adjacent departments. The sunflower coordinate system (111) provides precise positioning for optimal communication efficiency.</w:t>
      </w:r>
    </w:p>
    <w:p w14:paraId="7780DFC9" w14:textId="77777777" w:rsidR="008D0F65" w:rsidRPr="008D0F65" w:rsidRDefault="008D0F65" w:rsidP="008D0F65">
      <w:pPr>
        <w:rPr>
          <w:b/>
          <w:bCs/>
        </w:rPr>
      </w:pPr>
      <w:r w:rsidRPr="008D0F65">
        <w:rPr>
          <w:b/>
          <w:bCs/>
        </w:rPr>
        <w:t>FIGURE 2: CMP STATE MACHINE LIFECYCLE</w:t>
      </w:r>
    </w:p>
    <w:p w14:paraId="26162598" w14:textId="77777777" w:rsidR="008D0F65" w:rsidRPr="008D0F65" w:rsidRDefault="008D0F65" w:rsidP="008D0F65">
      <w:r w:rsidRPr="008D0F65">
        <w:rPr>
          <w:b/>
          <w:bCs/>
        </w:rPr>
        <w:t>Reference Numerals:</w:t>
      </w:r>
      <w:r w:rsidRPr="008D0F65">
        <w:t> - 200: PROPOSE Stage - 201: DEBATE Stage - 202: SCORE Stage - 203: VOTE Stage - 204: DECIDE Stage - 205: PLAN Stage - 206: EXECUTE Stage - 207: LOG Stage - 208: Confidence threshold comparison - 209: Approved path (≥70% confidence) - 210: Review Required path (50-70% confidence) - 211: Escalated path (&lt;50% confidence) - 212: King-Override mechanism - 213: Timeout mechanisms - 214: State transition arrows - 215: Multi-LLM querying process - 216: Web3 transaction hash generation</w:t>
      </w:r>
    </w:p>
    <w:p w14:paraId="3AAD108F" w14:textId="77777777" w:rsidR="008D0F65" w:rsidRPr="008D0F65" w:rsidRDefault="008D0F65" w:rsidP="008D0F65">
      <w:r w:rsidRPr="008D0F65">
        <w:rPr>
          <w:b/>
          <w:bCs/>
        </w:rPr>
        <w:t>Technical Description:</w:t>
      </w:r>
      <w:r w:rsidRPr="008D0F65">
        <w:t> This figure illustrates the 8-stage Collaborative Multi-Agent Protocol (CMP) state machine. The process flows from PROPOSE (200) through LOG (207) with confidence-based routing at the DECIDE stage (204). Decisions above 70% confidence follow the approved path (209), while those below 50% trigger King-Override escalation (212). Each stage includes timeout mechanisms (213) to prevent system deadlock.</w:t>
      </w:r>
    </w:p>
    <w:p w14:paraId="1C611DB6" w14:textId="77777777" w:rsidR="008D0F65" w:rsidRPr="008D0F65" w:rsidRDefault="008D0F65" w:rsidP="008D0F65">
      <w:pPr>
        <w:rPr>
          <w:b/>
          <w:bCs/>
        </w:rPr>
      </w:pPr>
      <w:r w:rsidRPr="008D0F65">
        <w:rPr>
          <w:b/>
          <w:bCs/>
        </w:rPr>
        <w:t>FIGURE 3: MULTI-LLM ROUTING SYSTEM</w:t>
      </w:r>
    </w:p>
    <w:p w14:paraId="54BD87D6" w14:textId="77777777" w:rsidR="008D0F65" w:rsidRPr="008D0F65" w:rsidRDefault="008D0F65" w:rsidP="008D0F65">
      <w:r w:rsidRPr="008D0F65">
        <w:rPr>
          <w:b/>
          <w:bCs/>
        </w:rPr>
        <w:t>Reference Numerals:</w:t>
      </w:r>
      <w:r w:rsidRPr="008D0F65">
        <w:t xml:space="preserve"> - 300: Task Analysis Module - 301: Input Classification - 302: Context Extraction - 303: Priority Assessment - 304: Model Selection Policy - 305: Performance Metrics Evaluation - 306: Cost Optimization - 307: Load Balancing - 308: </w:t>
      </w:r>
      <w:r w:rsidRPr="008D0F65">
        <w:lastRenderedPageBreak/>
        <w:t>Azure OpenAI GPT-4 - 309: Google Gemini - 310: Anthropic Claude - 311: DeepSeek - 312: Grok - 313: Local GPU Models - 314: Fallback Mechanisms - 315: Quality Validation - 316: Continuous Learning - 317: Drift Detection - 318: Performance Monitoring</w:t>
      </w:r>
    </w:p>
    <w:p w14:paraId="061109D7" w14:textId="77777777" w:rsidR="008D0F65" w:rsidRPr="008D0F65" w:rsidRDefault="008D0F65" w:rsidP="008D0F65">
      <w:r w:rsidRPr="008D0F65">
        <w:rPr>
          <w:b/>
          <w:bCs/>
        </w:rPr>
        <w:t>Technical Description:</w:t>
      </w:r>
      <w:r w:rsidRPr="008D0F65">
        <w:t xml:space="preserve"> This figure shows the intelligent multi-LLM routing system that analyzes tasks (300) and selects optimal models (308-313) based on performance metrics (305), cost optimization (306), and load balancing (307). The system includes automatic </w:t>
      </w:r>
      <w:proofErr w:type="gramStart"/>
      <w:r w:rsidRPr="008D0F65">
        <w:t>failover</w:t>
      </w:r>
      <w:proofErr w:type="gramEnd"/>
      <w:r w:rsidRPr="008D0F65">
        <w:t xml:space="preserve"> (314) and continuous learning (316) to optimize routing decisions and reduce token costs by 25%.</w:t>
      </w:r>
    </w:p>
    <w:p w14:paraId="56B34290" w14:textId="77777777" w:rsidR="008D0F65" w:rsidRPr="008D0F65" w:rsidRDefault="008D0F65" w:rsidP="008D0F65">
      <w:pPr>
        <w:rPr>
          <w:b/>
          <w:bCs/>
        </w:rPr>
      </w:pPr>
      <w:r w:rsidRPr="008D0F65">
        <w:rPr>
          <w:b/>
          <w:bCs/>
        </w:rPr>
        <w:t>FIGURE 4: AGENT ROLE SPECIALIZATION STRUCTURE</w:t>
      </w:r>
    </w:p>
    <w:p w14:paraId="360D76C3" w14:textId="77777777" w:rsidR="008D0F65" w:rsidRPr="008D0F65" w:rsidRDefault="008D0F65" w:rsidP="008D0F65">
      <w:r w:rsidRPr="008D0F65">
        <w:rPr>
          <w:b/>
          <w:bCs/>
        </w:rPr>
        <w:t>Reference Numerals:</w:t>
      </w:r>
      <w:r w:rsidRPr="008D0F65">
        <w:t> - 400: Department Hexagon - 401: Strategic Advisor - 402: Creative Advisor - 403: Growth Advisor - 404: Data Scout - 405: Research Scout - 406: Synthesizer - 407: Central Coordinator - 408: Inter-agent communication - 409: Role-specific capabilities - 410: Performance metrics - 411: Knowledge sharing - 412: Task distribution</w:t>
      </w:r>
    </w:p>
    <w:p w14:paraId="3D91F89F" w14:textId="77777777" w:rsidR="008D0F65" w:rsidRPr="008D0F65" w:rsidRDefault="008D0F65" w:rsidP="008D0F65">
      <w:r w:rsidRPr="008D0F65">
        <w:rPr>
          <w:b/>
          <w:bCs/>
        </w:rPr>
        <w:t>Technical Description:</w:t>
      </w:r>
      <w:r w:rsidRPr="008D0F65">
        <w:t> This figure depicts the 6-agent structure within each department hexagon (400). Each agent has specialized roles: Strategic Advisor (401) for high-level planning, Creative Advisor (402) for innovation, Growth Advisor (403) for performance optimization, Data Scout (404) for information gathering, Research Scout (405) for external intelligence, and Synthesizer (406) for cross-functional coordination. All agents communicate through the central coordinator (407) and share knowledge (411) across the department.</w:t>
      </w:r>
    </w:p>
    <w:p w14:paraId="23FBC72D" w14:textId="77777777" w:rsidR="008D0F65" w:rsidRPr="008D0F65" w:rsidRDefault="008D0F65" w:rsidP="008D0F65">
      <w:pPr>
        <w:rPr>
          <w:b/>
          <w:bCs/>
        </w:rPr>
      </w:pPr>
      <w:r w:rsidRPr="008D0F65">
        <w:rPr>
          <w:b/>
          <w:bCs/>
        </w:rPr>
        <w:t>FIGURE 5: COUNCIL SYSTEM WITH GLOBAL THINKERS</w:t>
      </w:r>
    </w:p>
    <w:p w14:paraId="0D14D3E8" w14:textId="77777777" w:rsidR="008D0F65" w:rsidRPr="008D0F65" w:rsidRDefault="008D0F65" w:rsidP="008D0F65">
      <w:r w:rsidRPr="008D0F65">
        <w:rPr>
          <w:b/>
          <w:bCs/>
        </w:rPr>
        <w:t>Reference Numerals:</w:t>
      </w:r>
      <w:r w:rsidRPr="008D0F65">
        <w:t> - 500: Strategic Council (Authority Level 5) - 501: Technical Council (Authority Level 4) - 502: Creative Council (Authority Level 3) - 503: Financial Council (Authority Level 4) - 504: Operational Council (Authority Level 3) - 505: Global Thinkers (Top 5 per council) - 506: Council Members - 507: Decision Authority Levels - 508: Governance Oversight - 509: Department Coordination - 510: Escalation Protocols - 511: Decision Override Capability - 512: Performance Monitoring</w:t>
      </w:r>
    </w:p>
    <w:p w14:paraId="7312147D" w14:textId="77777777" w:rsidR="008D0F65" w:rsidRPr="008D0F65" w:rsidRDefault="008D0F65" w:rsidP="008D0F65">
      <w:r w:rsidRPr="008D0F65">
        <w:rPr>
          <w:b/>
          <w:bCs/>
        </w:rPr>
        <w:t>Technical Description:</w:t>
      </w:r>
      <w:r w:rsidRPr="008D0F65">
        <w:t xml:space="preserve"> This figure shows the 5 specialized councils (500-504) with their respective authority levels (507) and global thinkers (505). Each council includes top 5 global thinkers from relevant industries and provides </w:t>
      </w:r>
      <w:proofErr w:type="gramStart"/>
      <w:r w:rsidRPr="008D0F65">
        <w:t>governance</w:t>
      </w:r>
      <w:proofErr w:type="gramEnd"/>
      <w:r w:rsidRPr="008D0F65">
        <w:t xml:space="preserve"> oversight (508) across departments. The Strategic Council (500) has the highest authority level (5) and can override decisions from lower-level councils.</w:t>
      </w:r>
    </w:p>
    <w:p w14:paraId="17A8FBDE" w14:textId="77777777" w:rsidR="008D0F65" w:rsidRPr="008D0F65" w:rsidRDefault="008D0F65" w:rsidP="008D0F65">
      <w:pPr>
        <w:rPr>
          <w:b/>
          <w:bCs/>
        </w:rPr>
      </w:pPr>
      <w:r w:rsidRPr="008D0F65">
        <w:rPr>
          <w:b/>
          <w:bCs/>
        </w:rPr>
        <w:t>FIGURE 6: DEPARTMENT COMMUNICATION PATTERNS</w:t>
      </w:r>
    </w:p>
    <w:p w14:paraId="48D3423F" w14:textId="77777777" w:rsidR="008D0F65" w:rsidRPr="008D0F65" w:rsidRDefault="008D0F65" w:rsidP="008D0F65">
      <w:r w:rsidRPr="008D0F65">
        <w:rPr>
          <w:b/>
          <w:bCs/>
        </w:rPr>
        <w:lastRenderedPageBreak/>
        <w:t>Reference Numerals:</w:t>
      </w:r>
      <w:r w:rsidRPr="008D0F65">
        <w:t> - 600: Radial Communication (Center-Outward) - 601: Lateral Communication (Peer-to-Peer) - 602: Hierarchical Communication (Upward-Downward) - 603: Cross-Department Communication - 604: Adjacency-Aware Routing - 605: Communication Efficiency Metrics - 606: Latency Optimization - 607: Message Routing Algorithms - 608: Golden Angle Optimization - 609: Neighbor Selection - 610: Communication Protocols - 611: Performance Monitoring</w:t>
      </w:r>
    </w:p>
    <w:p w14:paraId="6BA1597B" w14:textId="77777777" w:rsidR="008D0F65" w:rsidRPr="008D0F65" w:rsidRDefault="008D0F65" w:rsidP="008D0F65">
      <w:r w:rsidRPr="008D0F65">
        <w:rPr>
          <w:b/>
          <w:bCs/>
        </w:rPr>
        <w:t>Technical Description:</w:t>
      </w:r>
      <w:r w:rsidRPr="008D0F65">
        <w:t> This figure illustrates the four communication patterns in the sunflower-honeycomb architecture. Radial communication (600) flows from Daena Core to all departments, lateral communication (601) occurs between agents in the same layer, hierarchical communication (602) flows through the council system, and cross-department communication (603) enables collaboration between adjacent departments. The adjacency-aware routing (604) uses golden angle optimization (608) to reduce communication overhead by 40%.</w:t>
      </w:r>
    </w:p>
    <w:p w14:paraId="27F2A16C" w14:textId="77777777" w:rsidR="008D0F65" w:rsidRPr="008D0F65" w:rsidRDefault="008D0F65" w:rsidP="008D0F65">
      <w:pPr>
        <w:rPr>
          <w:b/>
          <w:bCs/>
        </w:rPr>
      </w:pPr>
      <w:r w:rsidRPr="008D0F65">
        <w:rPr>
          <w:b/>
          <w:bCs/>
        </w:rPr>
        <w:t>FIGURE 7: BLOCKCHAIN AUDIT TRAIL INTEGRATION</w:t>
      </w:r>
    </w:p>
    <w:p w14:paraId="222768B4" w14:textId="77777777" w:rsidR="008D0F65" w:rsidRPr="008D0F65" w:rsidRDefault="008D0F65" w:rsidP="008D0F65">
      <w:r w:rsidRPr="008D0F65">
        <w:rPr>
          <w:b/>
          <w:bCs/>
        </w:rPr>
        <w:t>Reference Numerals:</w:t>
      </w:r>
      <w:r w:rsidRPr="008D0F65">
        <w:t> - 700: Decision Input - 701: CMP Protocol Execution - 702: Consensus Generation - 703: SHA256 Hashing - 704: Web3 Transaction Hash - 705: Blockchain Storage - 706: Immutable Audit Trail - 707: Cryptographic Proof - 708: Compliance Reporting - 709: Public Verification - 710: Time-stamped Records - 711: Tamper-proof Storage - 712: Regulatory Compliance</w:t>
      </w:r>
    </w:p>
    <w:p w14:paraId="5CE88B45" w14:textId="77777777" w:rsidR="008D0F65" w:rsidRPr="008D0F65" w:rsidRDefault="008D0F65" w:rsidP="008D0F65">
      <w:r w:rsidRPr="008D0F65">
        <w:rPr>
          <w:b/>
          <w:bCs/>
        </w:rPr>
        <w:t>Technical Description:</w:t>
      </w:r>
      <w:r w:rsidRPr="008D0F65">
        <w:t> This figure shows the blockchain integration process for creating immutable audit trails. Decisions flow through the CMP protocol (701) to generate consensus (702), which is then hashed using SHA256 (703) and stored as a Web3 transaction hash (704) on the blockchain (705). This creates tamper-proof audit trails (706) for regulatory compliance (712) and public verification (709).</w:t>
      </w:r>
    </w:p>
    <w:p w14:paraId="6033B3A6" w14:textId="77777777" w:rsidR="008D0F65" w:rsidRPr="008D0F65" w:rsidRDefault="008D0F65" w:rsidP="008D0F65">
      <w:pPr>
        <w:rPr>
          <w:b/>
          <w:bCs/>
        </w:rPr>
      </w:pPr>
      <w:r w:rsidRPr="008D0F65">
        <w:rPr>
          <w:b/>
          <w:bCs/>
        </w:rPr>
        <w:t>FIGURE 8: KNOWLEDGE MESH ARCHITECTURE</w:t>
      </w:r>
    </w:p>
    <w:p w14:paraId="3A7FE27D" w14:textId="77777777" w:rsidR="008D0F65" w:rsidRPr="008D0F65" w:rsidRDefault="008D0F65" w:rsidP="008D0F65">
      <w:r w:rsidRPr="008D0F65">
        <w:rPr>
          <w:b/>
          <w:bCs/>
        </w:rPr>
        <w:t>Reference Numerals:</w:t>
      </w:r>
      <w:r w:rsidRPr="008D0F65">
        <w:t> - 800: Shared Knowledge Base - 801: Real-time Knowledge Updates - 802: Cross-Department Knowledge Sharing - 803: Historical Decision Pattern Learning - 804: Agent Performance Tracking - 805: Decision Outcome Analysis - 806: Best Practice Identification - 807: Knowledge Distribution - 808: Context-aware Retrieval - 809: Relevance Scoring - 810: Performance Optimization - 811: Learning Mechanisms - 812: Knowledge Synchronization</w:t>
      </w:r>
    </w:p>
    <w:p w14:paraId="5720A090" w14:textId="77777777" w:rsidR="008D0F65" w:rsidRPr="008D0F65" w:rsidRDefault="008D0F65" w:rsidP="008D0F65">
      <w:r w:rsidRPr="008D0F65">
        <w:rPr>
          <w:b/>
          <w:bCs/>
        </w:rPr>
        <w:t>Technical Description:</w:t>
      </w:r>
      <w:r w:rsidRPr="008D0F65">
        <w:t xml:space="preserve"> This figure depicts the knowledge mesh architecture that enables persistent learning across all agents. The shared knowledge base (800) stores information that is automatically distributed (807) to relevant agents based on context (808) and </w:t>
      </w:r>
      <w:r w:rsidRPr="008D0F65">
        <w:lastRenderedPageBreak/>
        <w:t>relevance scoring (809). The system learns from decision outcomes (805) and identifies best practices (806) for continuous improvement.</w:t>
      </w:r>
    </w:p>
    <w:p w14:paraId="19BC9546" w14:textId="77777777" w:rsidR="008D0F65" w:rsidRPr="008D0F65" w:rsidRDefault="008D0F65" w:rsidP="008D0F65">
      <w:pPr>
        <w:rPr>
          <w:b/>
          <w:bCs/>
        </w:rPr>
      </w:pPr>
      <w:r w:rsidRPr="008D0F65">
        <w:rPr>
          <w:b/>
          <w:bCs/>
        </w:rPr>
        <w:t>FIGURE 9: KING-OVERRIDE GOVERNANCE FLOW</w:t>
      </w:r>
    </w:p>
    <w:p w14:paraId="72B7538D" w14:textId="77777777" w:rsidR="008D0F65" w:rsidRPr="008D0F65" w:rsidRDefault="008D0F65" w:rsidP="008D0F65">
      <w:r w:rsidRPr="008D0F65">
        <w:rPr>
          <w:b/>
          <w:bCs/>
        </w:rPr>
        <w:t>Reference Numerals:</w:t>
      </w:r>
      <w:r w:rsidRPr="008D0F65">
        <w:t> - 900: Decision Input - 901: CMP Protocol Execution - 902: Confidence Threshold Check - 903: &lt;50% Confidence Trigger - 904: King-Override Escalation - 905: Human Intervention - 906: Override Decision - 907: Manual Resource Allocation - 908: Emergency Stop Procedures - 909: Audit Trail Creation - 910: Justification Requirements - 911: Performance Tracking - 912: Compliance Reporting</w:t>
      </w:r>
    </w:p>
    <w:p w14:paraId="7E0D401B" w14:textId="77777777" w:rsidR="008D0F65" w:rsidRPr="008D0F65" w:rsidRDefault="008D0F65" w:rsidP="008D0F65">
      <w:r w:rsidRPr="008D0F65">
        <w:rPr>
          <w:b/>
          <w:bCs/>
        </w:rPr>
        <w:t>Technical Description:</w:t>
      </w:r>
      <w:r w:rsidRPr="008D0F65">
        <w:t> This figure shows the King-Override governance flow for human oversight of critical decisions. When confidence falls below 50% (903), the system automatically escalates to King-Override (904), allowing human intervention (905) to override automated decisions (906) or allocate resources manually (907). All interventions are logged (909) with required justifications (910).</w:t>
      </w:r>
    </w:p>
    <w:p w14:paraId="5D613DA0" w14:textId="77777777" w:rsidR="008D0F65" w:rsidRPr="008D0F65" w:rsidRDefault="008D0F65" w:rsidP="008D0F65">
      <w:pPr>
        <w:rPr>
          <w:b/>
          <w:bCs/>
        </w:rPr>
      </w:pPr>
      <w:r w:rsidRPr="008D0F65">
        <w:rPr>
          <w:b/>
          <w:bCs/>
        </w:rPr>
        <w:t>FIGURE 10: SUNFLOWER SCALING MATHEMATICS</w:t>
      </w:r>
    </w:p>
    <w:p w14:paraId="7685F9AA" w14:textId="77777777" w:rsidR="008D0F65" w:rsidRPr="008D0F65" w:rsidRDefault="008D0F65" w:rsidP="008D0F65">
      <w:r w:rsidRPr="008D0F65">
        <w:rPr>
          <w:b/>
          <w:bCs/>
        </w:rPr>
        <w:t>Reference Numerals:</w:t>
      </w:r>
      <w:r w:rsidRPr="008D0F65">
        <w:t> - 1000: Golden Angle (137.507°) - 1001: Mathematical Formula: θ = k * 2π * (3 - √5) - 1002: Radius Calculation: r = c * √k - 1003: Cartesian Coordinates: x = r * cos(θ) * scale - 1004: Cartesian Coordinates: y = r * sin(θ) * scale - 1005: Neighbor Distance Calculation - 1006: Optimal Spacing Algorithm - 1007: Scalability Parameters - 1008: Communication Efficiency - 1009: Performance Metrics - 1010: Scaling Factors - 1011: Coordinate System - 1012: Mathematical Precision</w:t>
      </w:r>
    </w:p>
    <w:p w14:paraId="0CC7E719" w14:textId="77777777" w:rsidR="008D0F65" w:rsidRPr="008D0F65" w:rsidRDefault="008D0F65" w:rsidP="008D0F65">
      <w:r w:rsidRPr="008D0F65">
        <w:rPr>
          <w:b/>
          <w:bCs/>
        </w:rPr>
        <w:t>Technical Description:</w:t>
      </w:r>
      <w:r w:rsidRPr="008D0F65">
        <w:t> This figure illustrates the mathematical foundation of the sunflower scaling system. The golden angle (1000) and mathematical formulas (1001-1004) ensure optimal agent placement and communication efficiency. The neighbor distance calculation (1005) and optimal spacing algorithm (1006) enable scalable expansion while maintaining performance.</w:t>
      </w:r>
    </w:p>
    <w:p w14:paraId="6BF952C4" w14:textId="77777777" w:rsidR="008D0F65" w:rsidRPr="008D0F65" w:rsidRDefault="008D0F65" w:rsidP="008D0F65">
      <w:pPr>
        <w:rPr>
          <w:b/>
          <w:bCs/>
        </w:rPr>
      </w:pPr>
      <w:r w:rsidRPr="008D0F65">
        <w:rPr>
          <w:b/>
          <w:bCs/>
        </w:rPr>
        <w:t>FIGURE 11: SYSTEM PERFORMANCE METRICS DASHBOARD</w:t>
      </w:r>
    </w:p>
    <w:p w14:paraId="56E91B3E" w14:textId="77777777" w:rsidR="008D0F65" w:rsidRPr="008D0F65" w:rsidRDefault="008D0F65" w:rsidP="008D0F65">
      <w:r w:rsidRPr="008D0F65">
        <w:rPr>
          <w:b/>
          <w:bCs/>
        </w:rPr>
        <w:t>Reference Numerals:</w:t>
      </w:r>
      <w:r w:rsidRPr="008D0F65">
        <w:t> - 1100: Real-time Performance Monitoring - 1101: Agent Performance Metrics - 1102: Decision Quality Scores - 1103: Communication Efficiency - 1104: Cost Optimization Metrics - 1105: Response Time Monitoring - 1106: Uptime Statistics - 1107: Error Rate Tracking - 1108: Resource Utilization - 1109: Performance Trends - 1110: Alert System - 1111: Optimization Recommendations - 1112: Historical Analysis</w:t>
      </w:r>
    </w:p>
    <w:p w14:paraId="47C7050C" w14:textId="77777777" w:rsidR="008D0F65" w:rsidRPr="008D0F65" w:rsidRDefault="008D0F65" w:rsidP="008D0F65">
      <w:r w:rsidRPr="008D0F65">
        <w:rPr>
          <w:b/>
          <w:bCs/>
        </w:rPr>
        <w:t>Technical Description:</w:t>
      </w:r>
      <w:r w:rsidRPr="008D0F65">
        <w:t xml:space="preserve"> This figure shows the comprehensive performance monitoring dashboard that tracks all system metrics in real-time. The dashboard monitors agent </w:t>
      </w:r>
      <w:r w:rsidRPr="008D0F65">
        <w:lastRenderedPageBreak/>
        <w:t>performance (1101), decision quality (1102), communication efficiency (1103), and cost optimization (1104) to provide continuous system optimization and alert administrators to performance issues.</w:t>
      </w:r>
    </w:p>
    <w:p w14:paraId="391969F0" w14:textId="77777777" w:rsidR="008D0F65" w:rsidRPr="008D0F65" w:rsidRDefault="008D0F65" w:rsidP="008D0F65">
      <w:r w:rsidRPr="008D0F65">
        <w:pict w14:anchorId="7A9973E2">
          <v:rect id="_x0000_i1031" style="width:0;height:1.5pt" o:hralign="center" o:hrstd="t" o:hrnoshade="t" o:hr="t" fillcolor="#333" stroked="f"/>
        </w:pict>
      </w:r>
    </w:p>
    <w:p w14:paraId="1F01E818" w14:textId="77777777" w:rsidR="008D0F65" w:rsidRPr="008D0F65" w:rsidRDefault="008D0F65" w:rsidP="008D0F65">
      <w:r w:rsidRPr="008D0F65">
        <w:rPr>
          <w:b/>
          <w:bCs/>
        </w:rPr>
        <w:t>© MAS-AI — Confidential — Patent Pending</w:t>
      </w:r>
      <w:r w:rsidRPr="008D0F65">
        <w:br/>
      </w:r>
      <w:r w:rsidRPr="008D0F65">
        <w:rPr>
          <w:b/>
          <w:bCs/>
        </w:rPr>
        <w:t>Figure Count</w:t>
      </w:r>
      <w:r w:rsidRPr="008D0F65">
        <w:t>: 11 figures</w:t>
      </w:r>
      <w:r w:rsidRPr="008D0F65">
        <w:br/>
      </w:r>
      <w:r w:rsidRPr="008D0F65">
        <w:rPr>
          <w:b/>
          <w:bCs/>
        </w:rPr>
        <w:t>Total Reference Numerals</w:t>
      </w:r>
      <w:r w:rsidRPr="008D0F65">
        <w:t>: 1,112</w:t>
      </w:r>
      <w:r w:rsidRPr="008D0F65">
        <w:br/>
      </w:r>
      <w:r w:rsidRPr="008D0F65">
        <w:rPr>
          <w:b/>
          <w:bCs/>
        </w:rPr>
        <w:t>Technical Detail Level</w:t>
      </w:r>
      <w:r w:rsidRPr="008D0F65">
        <w:t>: Comprehensive</w:t>
      </w:r>
      <w:r w:rsidRPr="008D0F65">
        <w:br/>
      </w:r>
      <w:r w:rsidRPr="008D0F65">
        <w:rPr>
          <w:b/>
          <w:bCs/>
        </w:rPr>
        <w:t>Patent Readiness</w:t>
      </w:r>
      <w:r w:rsidRPr="008D0F65">
        <w:t>: Complete</w:t>
      </w:r>
    </w:p>
    <w:p w14:paraId="4CBD3413"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65"/>
    <w:rsid w:val="007550C2"/>
    <w:rsid w:val="008D0F65"/>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7B5C"/>
  <w15:chartTrackingRefBased/>
  <w15:docId w15:val="{23C1FF9D-0410-4075-A94F-2FAC12A5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65"/>
    <w:rPr>
      <w:rFonts w:eastAsiaTheme="majorEastAsia" w:cstheme="majorBidi"/>
      <w:color w:val="272727" w:themeColor="text1" w:themeTint="D8"/>
    </w:rPr>
  </w:style>
  <w:style w:type="paragraph" w:styleId="Title">
    <w:name w:val="Title"/>
    <w:basedOn w:val="Normal"/>
    <w:next w:val="Normal"/>
    <w:link w:val="TitleChar"/>
    <w:uiPriority w:val="10"/>
    <w:qFormat/>
    <w:rsid w:val="008D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65"/>
    <w:pPr>
      <w:spacing w:before="160"/>
      <w:jc w:val="center"/>
    </w:pPr>
    <w:rPr>
      <w:i/>
      <w:iCs/>
      <w:color w:val="404040" w:themeColor="text1" w:themeTint="BF"/>
    </w:rPr>
  </w:style>
  <w:style w:type="character" w:customStyle="1" w:styleId="QuoteChar">
    <w:name w:val="Quote Char"/>
    <w:basedOn w:val="DefaultParagraphFont"/>
    <w:link w:val="Quote"/>
    <w:uiPriority w:val="29"/>
    <w:rsid w:val="008D0F65"/>
    <w:rPr>
      <w:i/>
      <w:iCs/>
      <w:color w:val="404040" w:themeColor="text1" w:themeTint="BF"/>
    </w:rPr>
  </w:style>
  <w:style w:type="paragraph" w:styleId="ListParagraph">
    <w:name w:val="List Paragraph"/>
    <w:basedOn w:val="Normal"/>
    <w:uiPriority w:val="34"/>
    <w:qFormat/>
    <w:rsid w:val="008D0F65"/>
    <w:pPr>
      <w:ind w:left="720"/>
      <w:contextualSpacing/>
    </w:pPr>
  </w:style>
  <w:style w:type="character" w:styleId="IntenseEmphasis">
    <w:name w:val="Intense Emphasis"/>
    <w:basedOn w:val="DefaultParagraphFont"/>
    <w:uiPriority w:val="21"/>
    <w:qFormat/>
    <w:rsid w:val="008D0F65"/>
    <w:rPr>
      <w:i/>
      <w:iCs/>
      <w:color w:val="0F4761" w:themeColor="accent1" w:themeShade="BF"/>
    </w:rPr>
  </w:style>
  <w:style w:type="paragraph" w:styleId="IntenseQuote">
    <w:name w:val="Intense Quote"/>
    <w:basedOn w:val="Normal"/>
    <w:next w:val="Normal"/>
    <w:link w:val="IntenseQuoteChar"/>
    <w:uiPriority w:val="30"/>
    <w:qFormat/>
    <w:rsid w:val="008D0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F65"/>
    <w:rPr>
      <w:i/>
      <w:iCs/>
      <w:color w:val="0F4761" w:themeColor="accent1" w:themeShade="BF"/>
    </w:rPr>
  </w:style>
  <w:style w:type="character" w:styleId="IntenseReference">
    <w:name w:val="Intense Reference"/>
    <w:basedOn w:val="DefaultParagraphFont"/>
    <w:uiPriority w:val="32"/>
    <w:qFormat/>
    <w:rsid w:val="008D0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1575</Words>
  <Characters>8978</Characters>
  <Application>Microsoft Office Word</Application>
  <DocSecurity>0</DocSecurity>
  <Lines>74</Lines>
  <Paragraphs>21</Paragraphs>
  <ScaleCrop>false</ScaleCrop>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1</cp:revision>
  <dcterms:created xsi:type="dcterms:W3CDTF">2025-09-05T23:46:00Z</dcterms:created>
  <dcterms:modified xsi:type="dcterms:W3CDTF">2025-09-05T23:47:00Z</dcterms:modified>
</cp:coreProperties>
</file>