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00082" w14:textId="05B9B5C1" w:rsidR="00F426C6" w:rsidRPr="00C77C71" w:rsidRDefault="00F426C6" w:rsidP="00C77C71">
      <w:pPr>
        <w:spacing w:after="0" w:line="240" w:lineRule="auto"/>
        <w:jc w:val="center"/>
        <w:rPr>
          <w:rFonts w:ascii="Times New Roman" w:hAnsi="Times New Roman" w:cs="Times New Roman"/>
          <w:sz w:val="20"/>
          <w:szCs w:val="20"/>
        </w:rPr>
      </w:pPr>
      <w:r w:rsidRPr="00C77C71">
        <w:rPr>
          <w:rFonts w:ascii="Times New Roman" w:hAnsi="Times New Roman" w:cs="Times New Roman"/>
          <w:color w:val="1F497D"/>
          <w:sz w:val="20"/>
          <w:szCs w:val="20"/>
          <w:u w:val="single"/>
        </w:rPr>
        <w:t xml:space="preserve">IANS Scientific Meeting </w:t>
      </w:r>
      <w:r w:rsidR="00C44DCC">
        <w:rPr>
          <w:rFonts w:ascii="Times New Roman" w:hAnsi="Times New Roman" w:cs="Times New Roman"/>
          <w:color w:val="1F497D"/>
          <w:sz w:val="20"/>
          <w:szCs w:val="20"/>
          <w:u w:val="single"/>
        </w:rPr>
        <w:t>202</w:t>
      </w:r>
      <w:r w:rsidR="006C2BE2">
        <w:rPr>
          <w:rFonts w:ascii="Times New Roman" w:hAnsi="Times New Roman" w:cs="Times New Roman"/>
          <w:color w:val="1F497D"/>
          <w:sz w:val="20"/>
          <w:szCs w:val="20"/>
          <w:u w:val="single"/>
        </w:rPr>
        <w:t>5</w:t>
      </w:r>
      <w:r w:rsidRPr="00C77C71">
        <w:rPr>
          <w:rFonts w:ascii="Times New Roman" w:hAnsi="Times New Roman" w:cs="Times New Roman"/>
          <w:color w:val="1F497D"/>
          <w:sz w:val="20"/>
          <w:szCs w:val="20"/>
          <w:u w:val="single"/>
        </w:rPr>
        <w:t xml:space="preserve"> Abstract Submission</w:t>
      </w:r>
    </w:p>
    <w:p w14:paraId="5138F202" w14:textId="09CF5F31" w:rsidR="000A7D4D" w:rsidRPr="000A7D4D" w:rsidRDefault="00F426C6" w:rsidP="000A7D4D">
      <w:pPr>
        <w:spacing w:after="0" w:line="240" w:lineRule="auto"/>
        <w:jc w:val="center"/>
        <w:rPr>
          <w:rFonts w:ascii="Times New Roman" w:hAnsi="Times New Roman" w:cs="Times New Roman"/>
          <w:color w:val="002060"/>
          <w:sz w:val="20"/>
          <w:szCs w:val="20"/>
        </w:rPr>
      </w:pPr>
      <w:r w:rsidRPr="00C77C71">
        <w:rPr>
          <w:rFonts w:ascii="Times New Roman" w:hAnsi="Times New Roman" w:cs="Times New Roman"/>
          <w:color w:val="002060"/>
          <w:sz w:val="20"/>
          <w:szCs w:val="20"/>
        </w:rPr>
        <w:t xml:space="preserve">All abstract submissions are due by </w:t>
      </w:r>
      <w:r w:rsidR="006C2BE2">
        <w:rPr>
          <w:rFonts w:ascii="Times New Roman" w:hAnsi="Times New Roman" w:cs="Times New Roman"/>
          <w:color w:val="002060"/>
          <w:sz w:val="20"/>
          <w:szCs w:val="20"/>
        </w:rPr>
        <w:t xml:space="preserve">January </w:t>
      </w:r>
      <w:r w:rsidR="002C1030">
        <w:rPr>
          <w:rFonts w:ascii="Times New Roman" w:hAnsi="Times New Roman" w:cs="Times New Roman"/>
          <w:color w:val="002060"/>
          <w:sz w:val="20"/>
          <w:szCs w:val="20"/>
        </w:rPr>
        <w:t>31</w:t>
      </w:r>
      <w:r w:rsidR="006C2BE2">
        <w:rPr>
          <w:rFonts w:ascii="Times New Roman" w:hAnsi="Times New Roman" w:cs="Times New Roman"/>
          <w:color w:val="002060"/>
          <w:sz w:val="20"/>
          <w:szCs w:val="20"/>
        </w:rPr>
        <w:t>, 2025</w:t>
      </w:r>
    </w:p>
    <w:p w14:paraId="3CEED400" w14:textId="6D19D377" w:rsidR="00F426C6" w:rsidRDefault="000A7D4D" w:rsidP="00C77C71">
      <w:pPr>
        <w:spacing w:after="0" w:line="240" w:lineRule="auto"/>
        <w:jc w:val="center"/>
        <w:rPr>
          <w:rFonts w:ascii="Times New Roman" w:hAnsi="Times New Roman" w:cs="Times New Roman"/>
          <w:bCs/>
          <w:color w:val="002060"/>
          <w:sz w:val="20"/>
          <w:szCs w:val="20"/>
        </w:rPr>
      </w:pPr>
      <w:r>
        <w:rPr>
          <w:rFonts w:ascii="Times New Roman" w:hAnsi="Times New Roman" w:cs="Times New Roman"/>
          <w:bCs/>
          <w:color w:val="002060"/>
          <w:sz w:val="20"/>
          <w:szCs w:val="20"/>
        </w:rPr>
        <w:t>All abstract information including graphs and pictures must fit on a single page</w:t>
      </w:r>
    </w:p>
    <w:p w14:paraId="33667FBB" w14:textId="7119664A" w:rsidR="000A7D4D" w:rsidRDefault="000A7D4D" w:rsidP="00C77C71">
      <w:pPr>
        <w:spacing w:after="0" w:line="240" w:lineRule="auto"/>
        <w:jc w:val="center"/>
        <w:rPr>
          <w:rFonts w:ascii="Times New Roman" w:hAnsi="Times New Roman" w:cs="Times New Roman"/>
          <w:bCs/>
          <w:color w:val="002060"/>
          <w:sz w:val="20"/>
          <w:szCs w:val="20"/>
        </w:rPr>
      </w:pPr>
      <w:r>
        <w:rPr>
          <w:rFonts w:ascii="Times New Roman" w:hAnsi="Times New Roman" w:cs="Times New Roman"/>
          <w:bCs/>
          <w:color w:val="002060"/>
          <w:sz w:val="20"/>
          <w:szCs w:val="20"/>
        </w:rPr>
        <w:t>Use all existing formatting</w:t>
      </w:r>
    </w:p>
    <w:p w14:paraId="76760DB4" w14:textId="0FF7FF0B" w:rsidR="003C64EF" w:rsidRPr="000A7D4D" w:rsidRDefault="003C64EF" w:rsidP="00C77C71">
      <w:pPr>
        <w:spacing w:after="0" w:line="240" w:lineRule="auto"/>
        <w:jc w:val="center"/>
        <w:rPr>
          <w:rFonts w:ascii="Times New Roman" w:hAnsi="Times New Roman" w:cs="Times New Roman"/>
          <w:bCs/>
          <w:sz w:val="20"/>
          <w:szCs w:val="20"/>
        </w:rPr>
      </w:pPr>
      <w:r>
        <w:rPr>
          <w:rFonts w:ascii="Times New Roman" w:hAnsi="Times New Roman" w:cs="Times New Roman"/>
          <w:bCs/>
          <w:color w:val="002060"/>
          <w:sz w:val="20"/>
          <w:szCs w:val="20"/>
        </w:rPr>
        <w:t>Submit as Word file</w:t>
      </w:r>
      <w:r w:rsidR="00D87E7B">
        <w:rPr>
          <w:rFonts w:ascii="Times New Roman" w:hAnsi="Times New Roman" w:cs="Times New Roman"/>
          <w:bCs/>
          <w:color w:val="002060"/>
          <w:sz w:val="20"/>
          <w:szCs w:val="20"/>
        </w:rPr>
        <w:t xml:space="preserve"> format</w:t>
      </w:r>
    </w:p>
    <w:p w14:paraId="2DE26999" w14:textId="77777777" w:rsidR="00F426C6" w:rsidRPr="00C77C71" w:rsidRDefault="00F426C6" w:rsidP="00F426C6">
      <w:pPr>
        <w:jc w:val="center"/>
        <w:rPr>
          <w:rFonts w:ascii="Times New Roman" w:hAnsi="Times New Roman" w:cs="Times New Roman"/>
          <w:sz w:val="20"/>
          <w:szCs w:val="20"/>
        </w:rPr>
      </w:pPr>
    </w:p>
    <w:p w14:paraId="4AA21831" w14:textId="77777777" w:rsidR="00496A16" w:rsidRDefault="00496A16" w:rsidP="00F426C6">
      <w:pPr>
        <w:jc w:val="center"/>
        <w:rPr>
          <w:rFonts w:ascii="Times New Roman" w:hAnsi="Times New Roman" w:cs="Times New Roman"/>
          <w:i/>
          <w:iCs/>
          <w:caps/>
          <w:sz w:val="24"/>
          <w:szCs w:val="24"/>
        </w:rPr>
      </w:pPr>
      <w:r w:rsidRPr="00496A16">
        <w:rPr>
          <w:rFonts w:ascii="Times New Roman" w:hAnsi="Times New Roman" w:cs="Times New Roman"/>
          <w:caps/>
          <w:sz w:val="24"/>
          <w:szCs w:val="24"/>
        </w:rPr>
        <w:t>High-Resolution Anoscopy (HRA) in Anal HPV-Related Changes: Optimizing Training and Care</w:t>
      </w:r>
      <w:r w:rsidRPr="00496A16">
        <w:rPr>
          <w:rFonts w:ascii="Times New Roman" w:hAnsi="Times New Roman" w:cs="Times New Roman"/>
          <w:i/>
          <w:iCs/>
          <w:caps/>
          <w:sz w:val="24"/>
          <w:szCs w:val="24"/>
        </w:rPr>
        <w:t xml:space="preserve"> </w:t>
      </w:r>
    </w:p>
    <w:p w14:paraId="2ED9AA15" w14:textId="1D9079EC" w:rsidR="00F426C6" w:rsidRPr="00C77C71" w:rsidRDefault="00F426C6" w:rsidP="00F426C6">
      <w:pPr>
        <w:jc w:val="center"/>
        <w:rPr>
          <w:rFonts w:ascii="Times New Roman" w:hAnsi="Times New Roman" w:cs="Times New Roman"/>
          <w:i/>
          <w:iCs/>
        </w:rPr>
      </w:pPr>
      <w:r w:rsidRPr="00C77C71">
        <w:rPr>
          <w:rFonts w:ascii="Times New Roman" w:hAnsi="Times New Roman" w:cs="Times New Roman"/>
          <w:i/>
          <w:iCs/>
        </w:rPr>
        <w:t>First M. Last</w:t>
      </w:r>
      <w:r w:rsidR="00C44DCC">
        <w:rPr>
          <w:rFonts w:ascii="Times New Roman" w:hAnsi="Times New Roman" w:cs="Times New Roman"/>
          <w:i/>
          <w:iCs/>
          <w:vertAlign w:val="superscript"/>
        </w:rPr>
        <w:t>A</w:t>
      </w:r>
      <w:r w:rsidRPr="00C77C71">
        <w:rPr>
          <w:rFonts w:ascii="Times New Roman" w:hAnsi="Times New Roman" w:cs="Times New Roman"/>
          <w:i/>
          <w:iCs/>
        </w:rPr>
        <w:t xml:space="preserve"> of primary author, First M. Last</w:t>
      </w:r>
      <w:r w:rsidR="00C44DCC">
        <w:rPr>
          <w:rFonts w:ascii="Times New Roman" w:hAnsi="Times New Roman" w:cs="Times New Roman"/>
          <w:i/>
          <w:iCs/>
          <w:vertAlign w:val="superscript"/>
        </w:rPr>
        <w:t>B</w:t>
      </w:r>
      <w:r w:rsidRPr="00C77C71">
        <w:rPr>
          <w:rFonts w:ascii="Times New Roman" w:hAnsi="Times New Roman" w:cs="Times New Roman"/>
          <w:i/>
          <w:iCs/>
        </w:rPr>
        <w:t xml:space="preserve"> of secondary authors, </w:t>
      </w:r>
      <w:r w:rsidR="00C77C71" w:rsidRPr="00C77C71">
        <w:rPr>
          <w:rFonts w:ascii="Times New Roman" w:hAnsi="Times New Roman" w:cs="Times New Roman"/>
          <w:i/>
          <w:iCs/>
        </w:rPr>
        <w:t>etc</w:t>
      </w:r>
      <w:r w:rsidR="000A7D4D" w:rsidRPr="00C77C71">
        <w:rPr>
          <w:rFonts w:ascii="Times New Roman" w:hAnsi="Times New Roman" w:cs="Times New Roman"/>
          <w:i/>
          <w:iCs/>
        </w:rPr>
        <w:t>...</w:t>
      </w:r>
    </w:p>
    <w:p w14:paraId="46E79761" w14:textId="32ED3A6C" w:rsidR="00F426C6" w:rsidRPr="00C44DCC" w:rsidRDefault="00C44DCC" w:rsidP="00F426C6">
      <w:pPr>
        <w:spacing w:after="0" w:line="240" w:lineRule="auto"/>
        <w:jc w:val="center"/>
        <w:rPr>
          <w:rFonts w:ascii="Times New Roman" w:hAnsi="Times New Roman" w:cs="Times New Roman"/>
          <w:sz w:val="20"/>
          <w:szCs w:val="20"/>
        </w:rPr>
      </w:pPr>
      <w:proofErr w:type="spellStart"/>
      <w:r w:rsidRPr="00C44DCC">
        <w:rPr>
          <w:rFonts w:ascii="Times New Roman" w:hAnsi="Times New Roman" w:cs="Times New Roman"/>
          <w:sz w:val="20"/>
          <w:szCs w:val="20"/>
          <w:vertAlign w:val="superscript"/>
        </w:rPr>
        <w:t>A</w:t>
      </w:r>
      <w:r w:rsidR="00F426C6" w:rsidRPr="00C44DCC">
        <w:rPr>
          <w:rFonts w:ascii="Times New Roman" w:hAnsi="Times New Roman" w:cs="Times New Roman"/>
          <w:sz w:val="20"/>
          <w:szCs w:val="20"/>
        </w:rPr>
        <w:t>Institute</w:t>
      </w:r>
      <w:proofErr w:type="spellEnd"/>
      <w:r w:rsidRPr="00C44DCC">
        <w:rPr>
          <w:rFonts w:ascii="Times New Roman" w:hAnsi="Times New Roman" w:cs="Times New Roman"/>
          <w:sz w:val="20"/>
          <w:szCs w:val="20"/>
        </w:rPr>
        <w:t>, City, State/Province, Country</w:t>
      </w:r>
    </w:p>
    <w:p w14:paraId="21CF0328" w14:textId="6D9AD8D8" w:rsidR="00F426C6" w:rsidRPr="00C44DCC" w:rsidRDefault="00C44DCC" w:rsidP="00F426C6">
      <w:pPr>
        <w:spacing w:after="0" w:line="240" w:lineRule="auto"/>
        <w:jc w:val="center"/>
        <w:rPr>
          <w:rFonts w:ascii="Times New Roman" w:hAnsi="Times New Roman" w:cs="Times New Roman"/>
          <w:sz w:val="20"/>
          <w:szCs w:val="20"/>
        </w:rPr>
      </w:pPr>
      <w:proofErr w:type="spellStart"/>
      <w:r w:rsidRPr="00C44DCC">
        <w:rPr>
          <w:rFonts w:ascii="Times New Roman" w:hAnsi="Times New Roman" w:cs="Times New Roman"/>
          <w:sz w:val="20"/>
          <w:szCs w:val="20"/>
          <w:vertAlign w:val="superscript"/>
        </w:rPr>
        <w:t>B</w:t>
      </w:r>
      <w:r w:rsidR="00F426C6" w:rsidRPr="00C44DCC">
        <w:rPr>
          <w:rFonts w:ascii="Times New Roman" w:hAnsi="Times New Roman" w:cs="Times New Roman"/>
          <w:sz w:val="20"/>
          <w:szCs w:val="20"/>
        </w:rPr>
        <w:t>Institute</w:t>
      </w:r>
      <w:proofErr w:type="spellEnd"/>
      <w:r w:rsidRPr="00C44DCC">
        <w:rPr>
          <w:rFonts w:ascii="Times New Roman" w:hAnsi="Times New Roman" w:cs="Times New Roman"/>
          <w:sz w:val="20"/>
          <w:szCs w:val="20"/>
        </w:rPr>
        <w:t>, City, State/Province, Country</w:t>
      </w:r>
    </w:p>
    <w:p w14:paraId="7EAB52B8" w14:textId="0CDFE13F" w:rsidR="00F426C6" w:rsidRPr="00C44DCC" w:rsidRDefault="00C44DCC" w:rsidP="00F426C6">
      <w:pPr>
        <w:spacing w:after="100" w:afterAutospacing="1" w:line="240" w:lineRule="auto"/>
        <w:jc w:val="center"/>
        <w:rPr>
          <w:rFonts w:ascii="Times New Roman" w:hAnsi="Times New Roman" w:cs="Times New Roman"/>
          <w:sz w:val="20"/>
          <w:szCs w:val="20"/>
        </w:rPr>
      </w:pPr>
      <w:proofErr w:type="spellStart"/>
      <w:r w:rsidRPr="00C44DCC">
        <w:rPr>
          <w:rFonts w:ascii="Times New Roman" w:hAnsi="Times New Roman" w:cs="Times New Roman"/>
          <w:sz w:val="20"/>
          <w:szCs w:val="20"/>
          <w:vertAlign w:val="superscript"/>
        </w:rPr>
        <w:t>C</w:t>
      </w:r>
      <w:r w:rsidR="00C77C71" w:rsidRPr="00C44DCC">
        <w:rPr>
          <w:rFonts w:ascii="Times New Roman" w:hAnsi="Times New Roman" w:cs="Times New Roman"/>
          <w:sz w:val="20"/>
          <w:szCs w:val="20"/>
        </w:rPr>
        <w:t>Etc</w:t>
      </w:r>
      <w:proofErr w:type="spellEnd"/>
      <w:r w:rsidR="00C77C71" w:rsidRPr="00C44DCC">
        <w:rPr>
          <w:rFonts w:ascii="Times New Roman" w:hAnsi="Times New Roman" w:cs="Times New Roman"/>
          <w:sz w:val="20"/>
          <w:szCs w:val="20"/>
        </w:rPr>
        <w:t>.</w:t>
      </w:r>
      <w:r w:rsidR="00F426C6" w:rsidRPr="00C44DCC">
        <w:rPr>
          <w:rFonts w:ascii="Times New Roman" w:hAnsi="Times New Roman" w:cs="Times New Roman"/>
          <w:sz w:val="20"/>
          <w:szCs w:val="20"/>
        </w:rPr>
        <w:t>…</w:t>
      </w:r>
    </w:p>
    <w:p w14:paraId="78E58CAF" w14:textId="7EEB61F1" w:rsidR="00C44DCC" w:rsidRPr="00C44DCC" w:rsidRDefault="00C44DCC" w:rsidP="00F426C6">
      <w:pPr>
        <w:spacing w:line="240" w:lineRule="auto"/>
        <w:jc w:val="both"/>
        <w:rPr>
          <w:rFonts w:ascii="Times New Roman" w:hAnsi="Times New Roman" w:cs="Times New Roman"/>
          <w:bCs/>
          <w:sz w:val="20"/>
          <w:szCs w:val="20"/>
        </w:rPr>
      </w:pPr>
      <w:r>
        <w:rPr>
          <w:rFonts w:ascii="Times New Roman" w:hAnsi="Times New Roman" w:cs="Times New Roman"/>
          <w:bCs/>
          <w:sz w:val="20"/>
          <w:szCs w:val="20"/>
        </w:rPr>
        <w:t xml:space="preserve">(Format for below: </w:t>
      </w:r>
      <w:r w:rsidR="000A7D4D">
        <w:rPr>
          <w:rFonts w:ascii="Times New Roman" w:hAnsi="Times New Roman" w:cs="Times New Roman"/>
          <w:bCs/>
          <w:sz w:val="20"/>
          <w:szCs w:val="20"/>
        </w:rPr>
        <w:t xml:space="preserve">250-word maximum, </w:t>
      </w:r>
      <w:r>
        <w:rPr>
          <w:rFonts w:ascii="Times New Roman" w:hAnsi="Times New Roman" w:cs="Times New Roman"/>
          <w:sz w:val="20"/>
          <w:szCs w:val="20"/>
        </w:rPr>
        <w:t>Times New Roman, size 10, use sentence structure.</w:t>
      </w:r>
      <w:r w:rsidRPr="00C77C71">
        <w:rPr>
          <w:rFonts w:ascii="Times New Roman" w:hAnsi="Times New Roman" w:cs="Times New Roman"/>
          <w:b/>
          <w:color w:val="002060"/>
          <w:sz w:val="20"/>
          <w:szCs w:val="20"/>
        </w:rPr>
        <w:t>)</w:t>
      </w:r>
    </w:p>
    <w:p w14:paraId="1A193B4D" w14:textId="74171F8A" w:rsidR="00496A16" w:rsidRPr="00496A16" w:rsidRDefault="00F426C6" w:rsidP="00496A16">
      <w:pPr>
        <w:spacing w:line="240" w:lineRule="auto"/>
        <w:jc w:val="both"/>
        <w:rPr>
          <w:rFonts w:ascii="Times New Roman" w:hAnsi="Times New Roman" w:cs="Times New Roman"/>
          <w:sz w:val="20"/>
          <w:szCs w:val="20"/>
        </w:rPr>
      </w:pPr>
      <w:r w:rsidRPr="00C77C71">
        <w:rPr>
          <w:rFonts w:ascii="Times New Roman" w:hAnsi="Times New Roman" w:cs="Times New Roman"/>
          <w:b/>
          <w:i/>
          <w:iCs/>
          <w:sz w:val="20"/>
          <w:szCs w:val="20"/>
        </w:rPr>
        <w:t>Background:</w:t>
      </w:r>
      <w:r w:rsidRPr="00C77C71">
        <w:rPr>
          <w:rFonts w:ascii="Times New Roman" w:hAnsi="Times New Roman" w:cs="Times New Roman"/>
          <w:b/>
          <w:sz w:val="20"/>
          <w:szCs w:val="20"/>
        </w:rPr>
        <w:t xml:space="preserve"> </w:t>
      </w:r>
      <w:r w:rsidR="00496A16" w:rsidRPr="00496A16">
        <w:rPr>
          <w:rFonts w:ascii="Times New Roman" w:hAnsi="Times New Roman" w:cs="Times New Roman"/>
          <w:sz w:val="20"/>
          <w:szCs w:val="20"/>
        </w:rPr>
        <w:t xml:space="preserve">Anal HPV-related changes may progress to malignancy, particularly in identified high-risk groups. HRA allows for the detection of HSIL (high-grade squamous intraepithelial lesions), guiding treatment and follow-up. Targeted guidelines have been developed to ensure these groups receive appropriate care through HRA. A significant challenge remains the insufficient number of trained HRA providers in many regions. To address this, it is crucial to estimate the number of specialists required per capita in different settings. </w:t>
      </w:r>
      <w:r w:rsidR="00F46048">
        <w:rPr>
          <w:rFonts w:ascii="Times New Roman" w:hAnsi="Times New Roman" w:cs="Times New Roman"/>
          <w:sz w:val="20"/>
          <w:szCs w:val="20"/>
        </w:rPr>
        <w:t>This estimate may be highly heterogenous among areas, depending on characteristics of a given patient population, provider population and healthcare system.</w:t>
      </w:r>
    </w:p>
    <w:p w14:paraId="172E7DEE" w14:textId="2163F51E" w:rsidR="00F426C6" w:rsidRPr="00C77C71" w:rsidRDefault="00F426C6" w:rsidP="00F426C6">
      <w:pPr>
        <w:spacing w:line="240" w:lineRule="auto"/>
        <w:jc w:val="both"/>
        <w:rPr>
          <w:rFonts w:ascii="Times New Roman" w:hAnsi="Times New Roman" w:cs="Times New Roman"/>
          <w:sz w:val="20"/>
          <w:szCs w:val="20"/>
        </w:rPr>
      </w:pPr>
      <w:r w:rsidRPr="00C77C71">
        <w:rPr>
          <w:rFonts w:ascii="Times New Roman" w:hAnsi="Times New Roman" w:cs="Times New Roman"/>
          <w:b/>
          <w:i/>
          <w:iCs/>
          <w:sz w:val="20"/>
          <w:szCs w:val="20"/>
        </w:rPr>
        <w:t>Methods:</w:t>
      </w:r>
      <w:r w:rsidRPr="00C77C71">
        <w:rPr>
          <w:rFonts w:ascii="Times New Roman" w:hAnsi="Times New Roman" w:cs="Times New Roman"/>
          <w:b/>
          <w:sz w:val="20"/>
          <w:szCs w:val="20"/>
        </w:rPr>
        <w:t xml:space="preserve"> </w:t>
      </w:r>
      <w:r w:rsidR="00F46048">
        <w:rPr>
          <w:rFonts w:ascii="Times New Roman" w:hAnsi="Times New Roman" w:cs="Times New Roman"/>
          <w:sz w:val="20"/>
          <w:szCs w:val="20"/>
        </w:rPr>
        <w:t>A Monte Carlo simulation will be used to generate patient populations with various characteristics and simulate their screening and disease follow-up. This will allow us to estimate the number of patients and patient encounters through time, as well as its potential variability</w:t>
      </w:r>
      <w:r w:rsidR="00E426CC">
        <w:rPr>
          <w:rFonts w:ascii="Times New Roman" w:hAnsi="Times New Roman" w:cs="Times New Roman"/>
          <w:sz w:val="20"/>
          <w:szCs w:val="20"/>
        </w:rPr>
        <w:t>,</w:t>
      </w:r>
      <w:r w:rsidR="00F46048">
        <w:rPr>
          <w:rFonts w:ascii="Times New Roman" w:hAnsi="Times New Roman" w:cs="Times New Roman"/>
          <w:sz w:val="20"/>
          <w:szCs w:val="20"/>
        </w:rPr>
        <w:t xml:space="preserve"> under various assumptions about the patient population, the natural history of disease and test characteristics. This will allow us to anticipate the possible burden on the various healthcare systems, depending on system specifics and details about the patient population </w:t>
      </w:r>
      <w:proofErr w:type="gramStart"/>
      <w:r w:rsidR="00F46048">
        <w:rPr>
          <w:rFonts w:ascii="Times New Roman" w:hAnsi="Times New Roman" w:cs="Times New Roman"/>
          <w:sz w:val="20"/>
          <w:szCs w:val="20"/>
        </w:rPr>
        <w:t>in a given</w:t>
      </w:r>
      <w:proofErr w:type="gramEnd"/>
      <w:r w:rsidR="00F46048">
        <w:rPr>
          <w:rFonts w:ascii="Times New Roman" w:hAnsi="Times New Roman" w:cs="Times New Roman"/>
          <w:sz w:val="20"/>
          <w:szCs w:val="20"/>
        </w:rPr>
        <w:t xml:space="preserve"> area</w:t>
      </w:r>
      <w:r w:rsidR="00E426CC">
        <w:rPr>
          <w:rFonts w:ascii="Times New Roman" w:hAnsi="Times New Roman" w:cs="Times New Roman"/>
          <w:sz w:val="20"/>
          <w:szCs w:val="20"/>
        </w:rPr>
        <w:t>, and estimate how different approaches to screening may influence the healthcare system burden</w:t>
      </w:r>
      <w:r w:rsidR="00F46048">
        <w:rPr>
          <w:rFonts w:ascii="Times New Roman" w:hAnsi="Times New Roman" w:cs="Times New Roman"/>
          <w:sz w:val="20"/>
          <w:szCs w:val="20"/>
        </w:rPr>
        <w:t>.</w:t>
      </w:r>
    </w:p>
    <w:p w14:paraId="6DA1CFED" w14:textId="19F11030" w:rsidR="00F426C6" w:rsidRPr="00F46048" w:rsidRDefault="00F426C6" w:rsidP="00F426C6">
      <w:pPr>
        <w:spacing w:line="240" w:lineRule="auto"/>
        <w:jc w:val="both"/>
        <w:rPr>
          <w:rFonts w:ascii="Times New Roman" w:hAnsi="Times New Roman" w:cs="Times New Roman"/>
          <w:bCs/>
          <w:sz w:val="20"/>
          <w:szCs w:val="20"/>
        </w:rPr>
      </w:pPr>
      <w:r w:rsidRPr="00C77C71">
        <w:rPr>
          <w:rFonts w:ascii="Times New Roman" w:hAnsi="Times New Roman" w:cs="Times New Roman"/>
          <w:b/>
          <w:i/>
          <w:iCs/>
          <w:sz w:val="20"/>
          <w:szCs w:val="20"/>
        </w:rPr>
        <w:t>Results:</w:t>
      </w:r>
      <w:r w:rsidR="00F46048">
        <w:rPr>
          <w:rFonts w:ascii="Times New Roman" w:hAnsi="Times New Roman" w:cs="Times New Roman"/>
          <w:b/>
          <w:i/>
          <w:iCs/>
          <w:sz w:val="20"/>
          <w:szCs w:val="20"/>
        </w:rPr>
        <w:t xml:space="preserve"> </w:t>
      </w:r>
      <w:r w:rsidR="00F46048" w:rsidRPr="00F46048">
        <w:rPr>
          <w:rFonts w:ascii="Times New Roman" w:hAnsi="Times New Roman" w:cs="Times New Roman"/>
          <w:bCs/>
          <w:sz w:val="20"/>
          <w:szCs w:val="20"/>
        </w:rPr>
        <w:t>TBD</w:t>
      </w:r>
    </w:p>
    <w:p w14:paraId="62A3DC4A" w14:textId="440E9D86" w:rsidR="00F426C6" w:rsidRPr="00C77C71" w:rsidRDefault="00F426C6" w:rsidP="00C77C71">
      <w:pPr>
        <w:jc w:val="both"/>
        <w:rPr>
          <w:rFonts w:ascii="Times New Roman" w:hAnsi="Times New Roman" w:cs="Times New Roman"/>
          <w:sz w:val="20"/>
          <w:szCs w:val="20"/>
        </w:rPr>
      </w:pPr>
      <w:r w:rsidRPr="00C77C71">
        <w:rPr>
          <w:rFonts w:ascii="Times New Roman" w:hAnsi="Times New Roman" w:cs="Times New Roman"/>
          <w:b/>
          <w:i/>
          <w:iCs/>
          <w:sz w:val="20"/>
          <w:szCs w:val="20"/>
        </w:rPr>
        <w:t>Conclusions:</w:t>
      </w:r>
      <w:r w:rsidRPr="00C77C71">
        <w:rPr>
          <w:rFonts w:ascii="Times New Roman" w:hAnsi="Times New Roman" w:cs="Times New Roman"/>
          <w:b/>
          <w:sz w:val="20"/>
          <w:szCs w:val="20"/>
        </w:rPr>
        <w:t xml:space="preserve"> </w:t>
      </w:r>
      <w:r w:rsidR="00496A16" w:rsidRPr="00496A16">
        <w:rPr>
          <w:rFonts w:ascii="Times New Roman" w:hAnsi="Times New Roman" w:cs="Times New Roman"/>
          <w:sz w:val="20"/>
          <w:szCs w:val="20"/>
        </w:rPr>
        <w:t xml:space="preserve">This </w:t>
      </w:r>
      <w:r w:rsidR="00496A16" w:rsidRPr="00496A16">
        <w:rPr>
          <w:rFonts w:ascii="Times New Roman" w:hAnsi="Times New Roman" w:cs="Times New Roman"/>
          <w:i/>
          <w:iCs/>
          <w:sz w:val="20"/>
          <w:szCs w:val="20"/>
          <w:u w:val="single"/>
        </w:rPr>
        <w:t>knowledge</w:t>
      </w:r>
      <w:r w:rsidR="00496A16" w:rsidRPr="00496A16">
        <w:rPr>
          <w:rFonts w:ascii="Times New Roman" w:hAnsi="Times New Roman" w:cs="Times New Roman"/>
          <w:sz w:val="20"/>
          <w:szCs w:val="20"/>
        </w:rPr>
        <w:t xml:space="preserve"> will help plan training programs and ensure sufficient expertise tailored to the needs of specific populations and healthcare systems.</w:t>
      </w:r>
      <w:r w:rsidRPr="00C77C71">
        <w:rPr>
          <w:rFonts w:ascii="Times New Roman" w:hAnsi="Times New Roman" w:cs="Times New Roman"/>
          <w:sz w:val="20"/>
          <w:szCs w:val="20"/>
        </w:rPr>
        <w:t xml:space="preserve"> </w:t>
      </w:r>
    </w:p>
    <w:p w14:paraId="7DFD4E69" w14:textId="77777777" w:rsidR="00C77C71" w:rsidRPr="00C77C71" w:rsidRDefault="00C77C71" w:rsidP="00C77C71">
      <w:pPr>
        <w:jc w:val="both"/>
        <w:rPr>
          <w:rFonts w:ascii="Times New Roman" w:hAnsi="Times New Roman" w:cs="Times New Roman"/>
          <w:sz w:val="20"/>
          <w:szCs w:val="20"/>
        </w:rPr>
      </w:pPr>
    </w:p>
    <w:p w14:paraId="61CB3E43" w14:textId="090BEB62" w:rsidR="00540E39" w:rsidRPr="00C77C71" w:rsidRDefault="00F426C6">
      <w:pPr>
        <w:rPr>
          <w:rFonts w:ascii="Times New Roman" w:hAnsi="Times New Roman" w:cs="Times New Roman"/>
          <w:sz w:val="20"/>
          <w:szCs w:val="20"/>
        </w:rPr>
      </w:pPr>
      <w:r w:rsidRPr="00C77C71">
        <w:rPr>
          <w:rFonts w:ascii="Times New Roman" w:hAnsi="Times New Roman" w:cs="Times New Roman"/>
          <w:b/>
          <w:sz w:val="20"/>
          <w:szCs w:val="20"/>
        </w:rPr>
        <w:t xml:space="preserve"> </w:t>
      </w:r>
    </w:p>
    <w:sectPr w:rsidR="00540E39" w:rsidRPr="00C7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29ED"/>
    <w:multiLevelType w:val="hybridMultilevel"/>
    <w:tmpl w:val="C30C4F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862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C6"/>
    <w:rsid w:val="000A7D4D"/>
    <w:rsid w:val="002009A5"/>
    <w:rsid w:val="002C1030"/>
    <w:rsid w:val="003C64EF"/>
    <w:rsid w:val="00400D5D"/>
    <w:rsid w:val="00431B97"/>
    <w:rsid w:val="00496A16"/>
    <w:rsid w:val="00540E39"/>
    <w:rsid w:val="00610649"/>
    <w:rsid w:val="00617DEF"/>
    <w:rsid w:val="006851A5"/>
    <w:rsid w:val="006C2BE2"/>
    <w:rsid w:val="0081750C"/>
    <w:rsid w:val="008F0097"/>
    <w:rsid w:val="00C44DCC"/>
    <w:rsid w:val="00C77C71"/>
    <w:rsid w:val="00CC0F43"/>
    <w:rsid w:val="00CC3BD3"/>
    <w:rsid w:val="00D87E7B"/>
    <w:rsid w:val="00E2733C"/>
    <w:rsid w:val="00E426CC"/>
    <w:rsid w:val="00F426C6"/>
    <w:rsid w:val="00F4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EAAC"/>
  <w15:chartTrackingRefBased/>
  <w15:docId w15:val="{2F89221F-025D-40FE-972F-BC5CEBC5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F426C6"/>
    <w:pPr>
      <w:spacing w:before="100" w:beforeAutospacing="1" w:after="100" w:afterAutospacing="1" w:line="240" w:lineRule="auto"/>
    </w:pPr>
    <w:rPr>
      <w:rFonts w:ascii="Times New Roman" w:hAnsi="Times New Roman" w:cs="Times New Roman"/>
      <w:sz w:val="24"/>
      <w:szCs w:val="24"/>
    </w:rPr>
  </w:style>
  <w:style w:type="paragraph" w:styleId="Odstavekseznama">
    <w:name w:val="List Paragraph"/>
    <w:basedOn w:val="Navaden"/>
    <w:uiPriority w:val="34"/>
    <w:qFormat/>
    <w:rsid w:val="00F426C6"/>
    <w:pPr>
      <w:spacing w:line="254" w:lineRule="auto"/>
      <w:ind w:left="720"/>
      <w:contextualSpacing/>
    </w:pPr>
    <w:rPr>
      <w:lang w:val="en-GB"/>
    </w:rPr>
  </w:style>
  <w:style w:type="character" w:customStyle="1" w:styleId="apple-converted-space">
    <w:name w:val="apple-converted-space"/>
    <w:basedOn w:val="Privzetapisavaodstavka"/>
    <w:rsid w:val="00F4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65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White</dc:creator>
  <cp:keywords/>
  <dc:description/>
  <cp:lastModifiedBy>Kušar, Maša</cp:lastModifiedBy>
  <cp:revision>2</cp:revision>
  <dcterms:created xsi:type="dcterms:W3CDTF">2025-01-31T08:45:00Z</dcterms:created>
  <dcterms:modified xsi:type="dcterms:W3CDTF">2025-01-31T08:45:00Z</dcterms:modified>
</cp:coreProperties>
</file>