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1C07F" w14:textId="194DF1AA" w:rsidR="00252791" w:rsidRPr="0061461E" w:rsidRDefault="0061461E" w:rsidP="0061461E">
      <w:pPr>
        <w:jc w:val="center"/>
        <w:rPr>
          <w:rFonts w:hint="eastAsia"/>
          <w:b/>
          <w:bCs/>
          <w:sz w:val="28"/>
          <w:szCs w:val="32"/>
        </w:rPr>
      </w:pPr>
      <w:r w:rsidRPr="0061461E">
        <w:rPr>
          <w:rFonts w:hint="eastAsia"/>
          <w:b/>
          <w:bCs/>
          <w:sz w:val="28"/>
          <w:szCs w:val="32"/>
        </w:rPr>
        <w:t>LIBOR</w:t>
      </w:r>
      <w:r w:rsidRPr="0061461E">
        <w:rPr>
          <w:rFonts w:hint="eastAsia"/>
          <w:b/>
          <w:bCs/>
          <w:sz w:val="28"/>
          <w:szCs w:val="32"/>
        </w:rPr>
        <w:t>公表停止による影響整理</w:t>
      </w:r>
    </w:p>
    <w:p w14:paraId="4A18A4CB" w14:textId="2E76E054" w:rsidR="009B5315" w:rsidRDefault="009B5315"/>
    <w:p w14:paraId="2188D587" w14:textId="7C4D737C" w:rsidR="009B5315" w:rsidRDefault="009B5315" w:rsidP="009B5315">
      <w:pPr>
        <w:pStyle w:val="1"/>
      </w:pPr>
      <w:r>
        <w:rPr>
          <w:rFonts w:hint="eastAsia"/>
        </w:rPr>
        <w:t>代替金利</w:t>
      </w:r>
      <w:r w:rsidR="000F2307">
        <w:rPr>
          <w:rFonts w:hint="eastAsia"/>
        </w:rPr>
        <w:t>指標</w:t>
      </w:r>
    </w:p>
    <w:p w14:paraId="1CC9DFEF" w14:textId="77777777" w:rsidR="00713865" w:rsidRDefault="000F2307" w:rsidP="009B5315">
      <w:r>
        <w:rPr>
          <w:rFonts w:hint="eastAsia"/>
        </w:rPr>
        <w:t xml:space="preserve">　</w:t>
      </w:r>
      <w:r w:rsidR="00713865">
        <w:rPr>
          <w:rFonts w:hint="eastAsia"/>
        </w:rPr>
        <w:t>LIBOR</w:t>
      </w:r>
      <w:r w:rsidR="00713865">
        <w:rPr>
          <w:rFonts w:hint="eastAsia"/>
        </w:rPr>
        <w:t>は金融機関が資金を調達する際のコストであり，クレジット・リスクプレミアムを持ち，金利期間構造を持つ金利指標である．そこで，代替金利指標として，オーバーナイト物などのリスクフリーレートを考える場合には，同指標は金利期間構造を持たないため，複利計算やデリバティブをもとにターム物金利を導出する必要がある．</w:t>
      </w:r>
    </w:p>
    <w:p w14:paraId="26A2ED31" w14:textId="0AF6EA99" w:rsidR="000F2307" w:rsidRDefault="00A57325" w:rsidP="00713865">
      <w:pPr>
        <w:ind w:firstLineChars="100" w:firstLine="210"/>
        <w:rPr>
          <w:rFonts w:cs="ＭＳ 明朝"/>
        </w:rPr>
      </w:pPr>
      <w:r>
        <w:rPr>
          <w:rFonts w:hint="eastAsia"/>
        </w:rPr>
        <w:t>そこで，</w:t>
      </w:r>
      <w:r w:rsidR="00713865">
        <w:rPr>
          <w:rFonts w:hint="eastAsia"/>
        </w:rPr>
        <w:t>「日本円金利指標に関する検討委員会」にて，</w:t>
      </w:r>
      <w:r w:rsidR="000F2307">
        <w:rPr>
          <w:rFonts w:hint="eastAsia"/>
        </w:rPr>
        <w:t>日本における代替金利指標として</w:t>
      </w:r>
      <w:r w:rsidR="000F2307">
        <w:rPr>
          <w:rFonts w:cs="ＭＳ 明朝" w:hint="eastAsia"/>
        </w:rPr>
        <w:t>①オーバーナイトリスクフリーレート</w:t>
      </w:r>
      <w:r>
        <w:rPr>
          <w:rFonts w:cs="ＭＳ 明朝" w:hint="eastAsia"/>
        </w:rPr>
        <w:t>（複利）</w:t>
      </w:r>
      <w:r w:rsidR="000F2307">
        <w:rPr>
          <w:rFonts w:cs="ＭＳ 明朝" w:hint="eastAsia"/>
        </w:rPr>
        <w:t>，②ターム物リスクフリーレート</w:t>
      </w:r>
      <w:r w:rsidR="00713865">
        <w:rPr>
          <w:rFonts w:cs="ＭＳ 明朝" w:hint="eastAsia"/>
        </w:rPr>
        <w:t>，③</w:t>
      </w:r>
      <w:r w:rsidR="00713865">
        <w:rPr>
          <w:rFonts w:cs="ＭＳ 明朝" w:hint="eastAsia"/>
        </w:rPr>
        <w:t>TIBOR</w:t>
      </w:r>
      <w:r w:rsidR="00713865">
        <w:rPr>
          <w:rFonts w:cs="ＭＳ 明朝" w:hint="eastAsia"/>
        </w:rPr>
        <w:t>を候補として検討を進めている．</w:t>
      </w:r>
    </w:p>
    <w:p w14:paraId="03C28F77" w14:textId="7E86B10D" w:rsidR="00713865" w:rsidRPr="00713865" w:rsidRDefault="00713865" w:rsidP="009B5315">
      <w:pPr>
        <w:rPr>
          <w:rFonts w:cs="ＭＳ 明朝" w:hint="eastAsia"/>
        </w:rPr>
      </w:pPr>
      <w:r>
        <w:rPr>
          <w:rFonts w:cs="ＭＳ 明朝" w:hint="eastAsia"/>
        </w:rPr>
        <w:t xml:space="preserve">　従来の</w:t>
      </w:r>
      <w:r>
        <w:rPr>
          <w:rFonts w:cs="ＭＳ 明朝" w:hint="eastAsia"/>
        </w:rPr>
        <w:t>LIBOR</w:t>
      </w:r>
      <w:r>
        <w:rPr>
          <w:rFonts w:cs="ＭＳ 明朝" w:hint="eastAsia"/>
        </w:rPr>
        <w:t>は前決め金利であるのに対し，①は後決めの金利であることから，同指標は採用した場合には事務システム等，インフラの整備にコストがかかる点が課題である．</w:t>
      </w:r>
    </w:p>
    <w:p w14:paraId="66F1C43A" w14:textId="77777777" w:rsidR="000F2307" w:rsidRPr="00713865" w:rsidRDefault="000F2307" w:rsidP="009B5315">
      <w:pPr>
        <w:rPr>
          <w:rFonts w:hint="eastAsia"/>
        </w:rPr>
      </w:pPr>
    </w:p>
    <w:p w14:paraId="69ECE743" w14:textId="48C728C7" w:rsidR="009B5315" w:rsidRDefault="009B5315" w:rsidP="009B5315">
      <w:r>
        <w:rPr>
          <w:noProof/>
        </w:rPr>
        <w:drawing>
          <wp:inline distT="0" distB="0" distL="0" distR="0" wp14:anchorId="71E088F7" wp14:editId="6C1A51F6">
            <wp:extent cx="6645910" cy="2126615"/>
            <wp:effectExtent l="0" t="0" r="254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126615"/>
                    </a:xfrm>
                    <a:prstGeom prst="rect">
                      <a:avLst/>
                    </a:prstGeom>
                  </pic:spPr>
                </pic:pic>
              </a:graphicData>
            </a:graphic>
          </wp:inline>
        </w:drawing>
      </w:r>
    </w:p>
    <w:p w14:paraId="1B742F0A" w14:textId="02F1BD0A" w:rsidR="009B5315" w:rsidRDefault="009B5315" w:rsidP="009B5315">
      <w:pPr>
        <w:pStyle w:val="a4"/>
        <w:jc w:val="center"/>
      </w:pPr>
      <w:r>
        <w:rPr>
          <w:rFonts w:hint="eastAsia"/>
        </w:rPr>
        <w:t>図表</w:t>
      </w:r>
      <w:r>
        <w:rPr>
          <w:rFonts w:hint="eastAsia"/>
        </w:rPr>
        <w:t xml:space="preserve"> </w:t>
      </w:r>
      <w:r w:rsidR="00665CE8">
        <w:fldChar w:fldCharType="begin"/>
      </w:r>
      <w:r w:rsidR="00665CE8">
        <w:instrText xml:space="preserve"> </w:instrText>
      </w:r>
      <w:r w:rsidR="00665CE8">
        <w:rPr>
          <w:rFonts w:hint="eastAsia"/>
        </w:rPr>
        <w:instrText>STYLEREF 1 \s</w:instrText>
      </w:r>
      <w:r w:rsidR="00665CE8">
        <w:instrText xml:space="preserve"> </w:instrText>
      </w:r>
      <w:r w:rsidR="00665CE8">
        <w:fldChar w:fldCharType="separate"/>
      </w:r>
      <w:r w:rsidR="00665CE8">
        <w:rPr>
          <w:noProof/>
        </w:rPr>
        <w:t>1</w:t>
      </w:r>
      <w:r w:rsidR="00665CE8">
        <w:fldChar w:fldCharType="end"/>
      </w:r>
      <w:r w:rsidR="00665CE8">
        <w:noBreakHyphen/>
      </w:r>
      <w:r w:rsidR="00665CE8">
        <w:fldChar w:fldCharType="begin"/>
      </w:r>
      <w:r w:rsidR="00665CE8">
        <w:instrText xml:space="preserve"> </w:instrText>
      </w:r>
      <w:r w:rsidR="00665CE8">
        <w:rPr>
          <w:rFonts w:hint="eastAsia"/>
        </w:rPr>
        <w:instrText xml:space="preserve">SEQ </w:instrText>
      </w:r>
      <w:r w:rsidR="00665CE8">
        <w:rPr>
          <w:rFonts w:hint="eastAsia"/>
        </w:rPr>
        <w:instrText>図表</w:instrText>
      </w:r>
      <w:r w:rsidR="00665CE8">
        <w:rPr>
          <w:rFonts w:hint="eastAsia"/>
        </w:rPr>
        <w:instrText xml:space="preserve"> \* ARABIC \s 1</w:instrText>
      </w:r>
      <w:r w:rsidR="00665CE8">
        <w:instrText xml:space="preserve"> </w:instrText>
      </w:r>
      <w:r w:rsidR="00665CE8">
        <w:fldChar w:fldCharType="separate"/>
      </w:r>
      <w:r w:rsidR="00665CE8">
        <w:rPr>
          <w:noProof/>
        </w:rPr>
        <w:t>1</w:t>
      </w:r>
      <w:r w:rsidR="00665CE8">
        <w:fldChar w:fldCharType="end"/>
      </w:r>
      <w:r>
        <w:t xml:space="preserve"> </w:t>
      </w:r>
      <w:r>
        <w:rPr>
          <w:rFonts w:hint="eastAsia"/>
        </w:rPr>
        <w:t>代替金利指標まとめ（出所：一般社団法人全国銀行協会）</w:t>
      </w:r>
    </w:p>
    <w:p w14:paraId="0ED520C9" w14:textId="3F88E4C4" w:rsidR="000F2307" w:rsidRDefault="000F2307" w:rsidP="000F2307"/>
    <w:p w14:paraId="54F32009" w14:textId="77777777" w:rsidR="00DC374E" w:rsidRDefault="00A57325" w:rsidP="005C1FBC">
      <w:pPr>
        <w:pStyle w:val="a0"/>
        <w:numPr>
          <w:ilvl w:val="0"/>
          <w:numId w:val="2"/>
        </w:numPr>
        <w:ind w:leftChars="0"/>
      </w:pPr>
      <w:r>
        <w:rPr>
          <w:rFonts w:hint="eastAsia"/>
        </w:rPr>
        <w:t>オーバーナイトリスクフリーレート</w:t>
      </w:r>
      <w:r>
        <w:rPr>
          <w:rFonts w:hint="eastAsia"/>
        </w:rPr>
        <w:t>（複利）</w:t>
      </w:r>
    </w:p>
    <w:p w14:paraId="24A219F3" w14:textId="3A61CC9B" w:rsidR="00FC437E" w:rsidRDefault="00DC374E" w:rsidP="00DC374E">
      <w:pPr>
        <w:pStyle w:val="a0"/>
        <w:ind w:leftChars="0" w:left="420"/>
        <w:rPr>
          <w:rFonts w:hint="eastAsia"/>
        </w:rPr>
      </w:pPr>
      <w:r>
        <w:rPr>
          <w:rFonts w:hint="eastAsia"/>
        </w:rPr>
        <w:t>無担保コール翌日物レートを単に複利で計算した指標．</w:t>
      </w:r>
      <w:r>
        <w:rPr>
          <w:rFonts w:hint="eastAsia"/>
        </w:rPr>
        <w:t>Quick</w:t>
      </w:r>
      <w:r>
        <w:rPr>
          <w:rFonts w:hint="eastAsia"/>
        </w:rPr>
        <w:t>社より，「</w:t>
      </w:r>
      <w:r>
        <w:rPr>
          <w:rFonts w:hint="eastAsia"/>
        </w:rPr>
        <w:t>TONA</w:t>
      </w:r>
      <w:r>
        <w:t xml:space="preserve"> Averages</w:t>
      </w:r>
      <w:r>
        <w:rPr>
          <w:rFonts w:hint="eastAsia"/>
        </w:rPr>
        <w:t>」や「</w:t>
      </w:r>
      <w:r>
        <w:rPr>
          <w:rFonts w:hint="eastAsia"/>
        </w:rPr>
        <w:t>TONA</w:t>
      </w:r>
      <w:r>
        <w:t xml:space="preserve"> </w:t>
      </w:r>
      <w:r>
        <w:rPr>
          <w:rFonts w:hint="eastAsia"/>
        </w:rPr>
        <w:t>I</w:t>
      </w:r>
      <w:r>
        <w:t>ndex</w:t>
      </w:r>
      <w:r>
        <w:rPr>
          <w:rFonts w:hint="eastAsia"/>
        </w:rPr>
        <w:t>」が公表されている．</w:t>
      </w:r>
    </w:p>
    <w:p w14:paraId="5DD03EDC" w14:textId="77777777" w:rsidR="00FC437E" w:rsidRDefault="00FC437E" w:rsidP="005C1FBC">
      <w:pPr>
        <w:rPr>
          <w:rFonts w:hint="eastAsia"/>
        </w:rPr>
      </w:pPr>
    </w:p>
    <w:p w14:paraId="5BF7D131" w14:textId="43153A62" w:rsidR="005C1FBC" w:rsidRDefault="005C1FBC" w:rsidP="00DC374E">
      <w:pPr>
        <w:pStyle w:val="a0"/>
        <w:numPr>
          <w:ilvl w:val="0"/>
          <w:numId w:val="2"/>
        </w:numPr>
        <w:ind w:leftChars="0"/>
      </w:pPr>
      <w:r>
        <w:rPr>
          <w:rFonts w:hint="eastAsia"/>
        </w:rPr>
        <w:t>ターム物リスクフリーレート</w:t>
      </w:r>
    </w:p>
    <w:p w14:paraId="3A614723" w14:textId="3D611660" w:rsidR="005C1FBC" w:rsidRDefault="005C1FBC" w:rsidP="005C1FBC"/>
    <w:p w14:paraId="3D507B74" w14:textId="38A20DBD" w:rsidR="005C1FBC" w:rsidRPr="005C1FBC" w:rsidRDefault="005C1FBC" w:rsidP="00DC374E">
      <w:pPr>
        <w:pStyle w:val="a0"/>
        <w:numPr>
          <w:ilvl w:val="0"/>
          <w:numId w:val="2"/>
        </w:numPr>
        <w:ind w:leftChars="0"/>
        <w:rPr>
          <w:rFonts w:hint="eastAsia"/>
        </w:rPr>
      </w:pPr>
      <w:r>
        <w:rPr>
          <w:rFonts w:hint="eastAsia"/>
        </w:rPr>
        <w:t>TIBOR</w:t>
      </w:r>
    </w:p>
    <w:p w14:paraId="32D8E36C" w14:textId="3BF5E041" w:rsidR="000F2307" w:rsidRDefault="000F2307" w:rsidP="000F2307"/>
    <w:p w14:paraId="62A8FA39" w14:textId="721C9977" w:rsidR="005C1FBC" w:rsidRDefault="005C1FBC" w:rsidP="005C1FBC">
      <w:pPr>
        <w:pStyle w:val="1"/>
      </w:pPr>
      <w:r>
        <w:rPr>
          <w:rFonts w:hint="eastAsia"/>
        </w:rPr>
        <w:t>LIBOR</w:t>
      </w:r>
      <w:r>
        <w:rPr>
          <w:rFonts w:hint="eastAsia"/>
        </w:rPr>
        <w:t>公表停止による影響</w:t>
      </w:r>
    </w:p>
    <w:p w14:paraId="4E386FC1" w14:textId="2725B691" w:rsidR="00FC437E" w:rsidRDefault="00FC437E" w:rsidP="00FC437E"/>
    <w:p w14:paraId="6CD9A8EC" w14:textId="4F1CB030" w:rsidR="00DD0FF6" w:rsidRDefault="00DD0FF6" w:rsidP="00DD0FF6">
      <w:pPr>
        <w:pStyle w:val="2"/>
      </w:pPr>
      <w:r>
        <w:rPr>
          <w:rFonts w:hint="eastAsia"/>
        </w:rPr>
        <w:t>対応方法の整理</w:t>
      </w:r>
    </w:p>
    <w:p w14:paraId="1AA0132E" w14:textId="11C52633" w:rsidR="00DD0FF6" w:rsidRDefault="00DD0FF6" w:rsidP="00DD0FF6">
      <w:r>
        <w:rPr>
          <w:rFonts w:hint="eastAsia"/>
        </w:rPr>
        <w:t xml:space="preserve">　</w:t>
      </w:r>
      <w:r w:rsidRPr="00DD0FF6">
        <w:rPr>
          <w:rFonts w:hint="eastAsia"/>
        </w:rPr>
        <w:t>LIBOR</w:t>
      </w:r>
      <w:r w:rsidRPr="00DD0FF6">
        <w:rPr>
          <w:rFonts w:hint="eastAsia"/>
        </w:rPr>
        <w:t>公表停止による</w:t>
      </w:r>
      <w:r>
        <w:rPr>
          <w:rFonts w:hint="eastAsia"/>
        </w:rPr>
        <w:t>影響として，①移行と②フォールバックの</w:t>
      </w:r>
      <w:r>
        <w:rPr>
          <w:rFonts w:hint="eastAsia"/>
        </w:rPr>
        <w:t>2</w:t>
      </w:r>
      <w:r>
        <w:rPr>
          <w:rFonts w:hint="eastAsia"/>
        </w:rPr>
        <w:t>つがある．なお，</w:t>
      </w:r>
      <w:r>
        <w:rPr>
          <w:rFonts w:hint="eastAsia"/>
        </w:rPr>
        <w:t xml:space="preserve">LIBOR </w:t>
      </w:r>
      <w:r>
        <w:rPr>
          <w:rFonts w:hint="eastAsia"/>
        </w:rPr>
        <w:t>の公表の恒久的停止の時期（</w:t>
      </w:r>
      <w:r>
        <w:rPr>
          <w:rFonts w:hint="eastAsia"/>
        </w:rPr>
        <w:t xml:space="preserve">2021 </w:t>
      </w:r>
      <w:r>
        <w:rPr>
          <w:rFonts w:hint="eastAsia"/>
        </w:rPr>
        <w:t>年末の可能性）の前に期間満了を迎える場合</w:t>
      </w:r>
      <w:r>
        <w:rPr>
          <w:rFonts w:hint="eastAsia"/>
        </w:rPr>
        <w:t>，</w:t>
      </w:r>
      <w:r>
        <w:rPr>
          <w:rFonts w:hint="eastAsia"/>
        </w:rPr>
        <w:t>その取引に対して</w:t>
      </w:r>
      <w:r>
        <w:rPr>
          <w:rFonts w:hint="eastAsia"/>
        </w:rPr>
        <w:t xml:space="preserve">LIBOR </w:t>
      </w:r>
      <w:r>
        <w:rPr>
          <w:rFonts w:hint="eastAsia"/>
        </w:rPr>
        <w:t>の公表停止は直接的に影響を与えない</w:t>
      </w:r>
      <w:r>
        <w:rPr>
          <w:rFonts w:hint="eastAsia"/>
        </w:rPr>
        <w:t>．</w:t>
      </w:r>
    </w:p>
    <w:p w14:paraId="1D0E9BA5" w14:textId="5475C4E2" w:rsidR="00DD0FF6" w:rsidRDefault="00DD0FF6" w:rsidP="00DD0FF6"/>
    <w:p w14:paraId="230F541C" w14:textId="77777777" w:rsidR="00DD0FF6" w:rsidRDefault="00DD0FF6" w:rsidP="00DD0FF6">
      <w:pPr>
        <w:pStyle w:val="a0"/>
        <w:numPr>
          <w:ilvl w:val="0"/>
          <w:numId w:val="3"/>
        </w:numPr>
        <w:ind w:leftChars="0"/>
      </w:pPr>
      <w:r>
        <w:rPr>
          <w:rFonts w:hint="eastAsia"/>
        </w:rPr>
        <w:t>移行</w:t>
      </w:r>
    </w:p>
    <w:p w14:paraId="461FC46A" w14:textId="57D290BF" w:rsidR="00CD1FB3" w:rsidRDefault="00DD0FF6" w:rsidP="00CD1FB3">
      <w:pPr>
        <w:pStyle w:val="a0"/>
        <w:ind w:leftChars="0" w:left="420"/>
      </w:pPr>
      <w:r>
        <w:rPr>
          <w:rFonts w:hint="eastAsia"/>
        </w:rPr>
        <w:t>借り換えを行うなど</w:t>
      </w:r>
      <w:r>
        <w:rPr>
          <w:rFonts w:hint="eastAsia"/>
        </w:rPr>
        <w:t>，</w:t>
      </w:r>
      <w:r>
        <w:rPr>
          <w:rFonts w:hint="eastAsia"/>
        </w:rPr>
        <w:t>旧契約の期間満了時に同様の条件で新規に契約を行う場合</w:t>
      </w:r>
      <w:r>
        <w:rPr>
          <w:rFonts w:hint="eastAsia"/>
        </w:rPr>
        <w:t>，</w:t>
      </w:r>
      <w:r>
        <w:rPr>
          <w:rFonts w:hint="eastAsia"/>
        </w:rPr>
        <w:t>新規契約が</w:t>
      </w:r>
      <w:r>
        <w:rPr>
          <w:rFonts w:hint="eastAsia"/>
        </w:rPr>
        <w:t xml:space="preserve">LIBOR </w:t>
      </w:r>
      <w:r>
        <w:rPr>
          <w:rFonts w:hint="eastAsia"/>
        </w:rPr>
        <w:t>の公</w:t>
      </w:r>
      <w:r>
        <w:rPr>
          <w:rFonts w:hint="eastAsia"/>
        </w:rPr>
        <w:lastRenderedPageBreak/>
        <w:t>表の恒久的停止の時期をまたぐ</w:t>
      </w:r>
      <w:r>
        <w:rPr>
          <w:rFonts w:hint="eastAsia"/>
        </w:rPr>
        <w:t>のであれば，他の金利指標を参照金利とする必要があること</w:t>
      </w:r>
      <w:r w:rsidR="00CD1FB3">
        <w:rPr>
          <w:rFonts w:hint="eastAsia"/>
        </w:rPr>
        <w:t>を移行という．</w:t>
      </w:r>
    </w:p>
    <w:p w14:paraId="40F0C3EA" w14:textId="4D474BA6" w:rsidR="00CD1FB3" w:rsidRDefault="00CD1FB3" w:rsidP="00CD1FB3">
      <w:pPr>
        <w:pStyle w:val="a0"/>
        <w:ind w:leftChars="0" w:left="420"/>
        <w:rPr>
          <w:rFonts w:hint="eastAsia"/>
        </w:rPr>
      </w:pPr>
      <w:r>
        <w:rPr>
          <w:rFonts w:hint="eastAsia"/>
        </w:rPr>
        <w:t>また，</w:t>
      </w:r>
      <w:r>
        <w:rPr>
          <w:rFonts w:hint="eastAsia"/>
        </w:rPr>
        <w:t>円</w:t>
      </w:r>
      <w:r>
        <w:rPr>
          <w:rFonts w:hint="eastAsia"/>
        </w:rPr>
        <w:t xml:space="preserve"> LIBOR </w:t>
      </w:r>
      <w:r>
        <w:rPr>
          <w:rFonts w:hint="eastAsia"/>
        </w:rPr>
        <w:t>の公表の恒久的停止の時期をまたぐ契約において</w:t>
      </w:r>
      <w:r>
        <w:rPr>
          <w:rFonts w:hint="eastAsia"/>
        </w:rPr>
        <w:t>，</w:t>
      </w:r>
      <w:r>
        <w:rPr>
          <w:rFonts w:hint="eastAsia"/>
        </w:rPr>
        <w:t>契約を一旦解約し</w:t>
      </w:r>
      <w:r>
        <w:rPr>
          <w:rFonts w:hint="eastAsia"/>
        </w:rPr>
        <w:t>，</w:t>
      </w:r>
      <w:r>
        <w:rPr>
          <w:rFonts w:hint="eastAsia"/>
        </w:rPr>
        <w:t>参照金利を</w:t>
      </w:r>
      <w:r>
        <w:rPr>
          <w:rFonts w:hint="eastAsia"/>
        </w:rPr>
        <w:t>他の</w:t>
      </w:r>
      <w:r>
        <w:rPr>
          <w:rFonts w:hint="eastAsia"/>
        </w:rPr>
        <w:t>金利指標とする新規契約を締結すること</w:t>
      </w:r>
      <w:r>
        <w:rPr>
          <w:rFonts w:hint="eastAsia"/>
        </w:rPr>
        <w:t>も移行という．</w:t>
      </w:r>
    </w:p>
    <w:p w14:paraId="5048D260" w14:textId="32711DB6" w:rsidR="00DD0FF6" w:rsidRDefault="00CD1FB3" w:rsidP="00CD1FB3">
      <w:pPr>
        <w:pStyle w:val="a0"/>
        <w:numPr>
          <w:ilvl w:val="0"/>
          <w:numId w:val="3"/>
        </w:numPr>
        <w:ind w:leftChars="0"/>
      </w:pPr>
      <w:r>
        <w:rPr>
          <w:rFonts w:hint="eastAsia"/>
        </w:rPr>
        <w:t>フォールバック</w:t>
      </w:r>
    </w:p>
    <w:p w14:paraId="16B60415" w14:textId="216254E0" w:rsidR="00CD1FB3" w:rsidRDefault="00CD1FB3" w:rsidP="00CD1FB3">
      <w:pPr>
        <w:pStyle w:val="a0"/>
        <w:ind w:leftChars="0" w:left="420"/>
      </w:pPr>
      <w:r>
        <w:t xml:space="preserve">LIBOR </w:t>
      </w:r>
      <w:r>
        <w:t>を参照する取引の契約期間が</w:t>
      </w:r>
      <w:r>
        <w:rPr>
          <w:rFonts w:hint="eastAsia"/>
        </w:rPr>
        <w:t>，</w:t>
      </w:r>
      <w:r>
        <w:t xml:space="preserve">LIBOR </w:t>
      </w:r>
      <w:r>
        <w:t>の公表の恒久的停止の時期をまたぐ場合において</w:t>
      </w:r>
      <w:r>
        <w:rPr>
          <w:rFonts w:hint="eastAsia"/>
        </w:rPr>
        <w:t>，</w:t>
      </w:r>
      <w:r>
        <w:t>契約を維持するのであれば</w:t>
      </w:r>
      <w:r>
        <w:rPr>
          <w:rFonts w:hint="eastAsia"/>
        </w:rPr>
        <w:t>，</w:t>
      </w:r>
      <w:r>
        <w:rPr>
          <w:rFonts w:hint="eastAsia"/>
        </w:rPr>
        <w:t>LIBOR</w:t>
      </w:r>
      <w:r>
        <w:rPr>
          <w:rFonts w:hint="eastAsia"/>
        </w:rPr>
        <w:t>に</w:t>
      </w:r>
      <w:r>
        <w:t>代えて参照する金利について予め合意した上で</w:t>
      </w:r>
      <w:r>
        <w:rPr>
          <w:rFonts w:hint="eastAsia"/>
        </w:rPr>
        <w:t>，</w:t>
      </w:r>
      <w:r>
        <w:t>LIBOR</w:t>
      </w:r>
      <w:r>
        <w:t>の公表の恒久的停止の時期に参照金利を変更する</w:t>
      </w:r>
      <w:r>
        <w:rPr>
          <w:rFonts w:hint="eastAsia"/>
        </w:rPr>
        <w:t>ことをフォールバックという．</w:t>
      </w:r>
    </w:p>
    <w:p w14:paraId="68CFA53E" w14:textId="77777777" w:rsidR="00CD1FB3" w:rsidRDefault="00CD1FB3" w:rsidP="00CD1FB3">
      <w:pPr>
        <w:pStyle w:val="a0"/>
        <w:numPr>
          <w:ilvl w:val="0"/>
          <w:numId w:val="4"/>
        </w:numPr>
        <w:ind w:leftChars="0"/>
      </w:pPr>
      <w:r>
        <w:rPr>
          <w:rFonts w:hint="eastAsia"/>
        </w:rPr>
        <w:t>フォールバック条項</w:t>
      </w:r>
    </w:p>
    <w:p w14:paraId="68E619D3" w14:textId="54D4DDF1" w:rsidR="00CD1FB3" w:rsidRDefault="00CD1FB3" w:rsidP="00CD1FB3">
      <w:pPr>
        <w:pStyle w:val="a0"/>
        <w:ind w:leftChars="0"/>
      </w:pPr>
      <w:r>
        <w:rPr>
          <w:rFonts w:hint="eastAsia"/>
        </w:rPr>
        <w:t xml:space="preserve">LIBOR </w:t>
      </w:r>
      <w:r>
        <w:rPr>
          <w:rFonts w:hint="eastAsia"/>
        </w:rPr>
        <w:t>の公表が恒久的に停止された場合に参照する金利を</w:t>
      </w:r>
      <w:r>
        <w:rPr>
          <w:rFonts w:hint="eastAsia"/>
        </w:rPr>
        <w:t xml:space="preserve">LIBOR </w:t>
      </w:r>
      <w:r>
        <w:rPr>
          <w:rFonts w:hint="eastAsia"/>
        </w:rPr>
        <w:t>から別途定める後継金利に変更するという条項（フォールバック条項）を</w:t>
      </w:r>
      <w:r>
        <w:rPr>
          <w:rFonts w:hint="eastAsia"/>
        </w:rPr>
        <w:t>，</w:t>
      </w:r>
      <w:r>
        <w:rPr>
          <w:rFonts w:hint="eastAsia"/>
        </w:rPr>
        <w:t>円</w:t>
      </w:r>
      <w:r>
        <w:rPr>
          <w:rFonts w:hint="eastAsia"/>
        </w:rPr>
        <w:t xml:space="preserve"> IBOR</w:t>
      </w:r>
      <w:r>
        <w:rPr>
          <w:rFonts w:hint="eastAsia"/>
        </w:rPr>
        <w:t>参照契約に導入する必要がある</w:t>
      </w:r>
      <w:r>
        <w:rPr>
          <w:rFonts w:hint="eastAsia"/>
        </w:rPr>
        <w:t>．</w:t>
      </w:r>
    </w:p>
    <w:p w14:paraId="05535AC5" w14:textId="1382129A" w:rsidR="00CD1FB3" w:rsidRDefault="00CD1FB3" w:rsidP="00CD1FB3">
      <w:pPr>
        <w:pStyle w:val="a0"/>
      </w:pPr>
      <w:r>
        <w:rPr>
          <w:rFonts w:hint="eastAsia"/>
        </w:rPr>
        <w:t>トリガー：</w:t>
      </w:r>
      <w:r>
        <w:rPr>
          <w:rFonts w:hint="eastAsia"/>
        </w:rPr>
        <w:t>どのような場合に参照金利を変更するか</w:t>
      </w:r>
    </w:p>
    <w:p w14:paraId="0010546C" w14:textId="5B14AB5A" w:rsidR="00CD1FB3" w:rsidRDefault="00CD1FB3" w:rsidP="00CD1FB3">
      <w:pPr>
        <w:pStyle w:val="a0"/>
      </w:pPr>
      <w:r>
        <w:rPr>
          <w:rFonts w:hint="eastAsia"/>
        </w:rPr>
        <w:t>フォールバックレート：</w:t>
      </w:r>
      <w:r w:rsidRPr="00CD1FB3">
        <w:rPr>
          <w:rFonts w:hint="eastAsia"/>
        </w:rPr>
        <w:t>RFR</w:t>
      </w:r>
      <w:r w:rsidRPr="00CD1FB3">
        <w:rPr>
          <w:rFonts w:hint="eastAsia"/>
        </w:rPr>
        <w:t>に基づく金利等の選択肢から当事者が選択する</w:t>
      </w:r>
    </w:p>
    <w:p w14:paraId="42FE789B" w14:textId="1DE0B1BF" w:rsidR="00CD1FB3" w:rsidRDefault="00CD1FB3" w:rsidP="00CD1FB3">
      <w:pPr>
        <w:pStyle w:val="a0"/>
      </w:pPr>
      <w:r>
        <w:rPr>
          <w:rFonts w:hint="eastAsia"/>
        </w:rPr>
        <w:t>スプレッド：</w:t>
      </w:r>
      <w:r>
        <w:rPr>
          <w:rFonts w:hint="eastAsia"/>
        </w:rPr>
        <w:t xml:space="preserve">LIBOR </w:t>
      </w:r>
      <w:r>
        <w:rPr>
          <w:rFonts w:hint="eastAsia"/>
        </w:rPr>
        <w:t>と後継金利が等しくなるように</w:t>
      </w:r>
      <w:r>
        <w:rPr>
          <w:rFonts w:hint="eastAsia"/>
        </w:rPr>
        <w:t>，</w:t>
      </w:r>
      <w:r>
        <w:rPr>
          <w:rFonts w:hint="eastAsia"/>
        </w:rPr>
        <w:t>差異の調整（スプレッド調整）を行う</w:t>
      </w:r>
    </w:p>
    <w:p w14:paraId="500FA482" w14:textId="5BDDCFFA" w:rsidR="00CD1FB3" w:rsidRPr="00CD1FB3" w:rsidRDefault="00CD1FB3" w:rsidP="00CD1FB3">
      <w:pPr>
        <w:pStyle w:val="a0"/>
        <w:rPr>
          <w:rFonts w:hint="eastAsia"/>
        </w:rPr>
      </w:pPr>
      <w:r>
        <w:tab/>
      </w:r>
      <w:r>
        <w:rPr>
          <w:rFonts w:hint="eastAsia"/>
        </w:rPr>
        <w:t xml:space="preserve">　　</w:t>
      </w:r>
      <w:r>
        <w:t>「後継金利＝フォールバック･レート＋スプレッド」</w:t>
      </w:r>
    </w:p>
    <w:p w14:paraId="7776FFCF" w14:textId="77777777" w:rsidR="00DD0FF6" w:rsidRDefault="00DD0FF6" w:rsidP="00DD0FF6">
      <w:pPr>
        <w:rPr>
          <w:rFonts w:hint="eastAsia"/>
        </w:rPr>
      </w:pPr>
    </w:p>
    <w:p w14:paraId="20AB35BE" w14:textId="693181E2" w:rsidR="00DD0FF6" w:rsidRPr="00DD0FF6" w:rsidRDefault="00DD0FF6" w:rsidP="00DD0FF6">
      <w:pPr>
        <w:pStyle w:val="2"/>
        <w:rPr>
          <w:rFonts w:hint="eastAsia"/>
        </w:rPr>
      </w:pPr>
      <w:r>
        <w:rPr>
          <w:rFonts w:hint="eastAsia"/>
        </w:rPr>
        <w:t>商品ごとの影響</w:t>
      </w:r>
    </w:p>
    <w:p w14:paraId="019187C0" w14:textId="3BB16136" w:rsidR="005C1FBC" w:rsidRDefault="00DD0FF6" w:rsidP="00DD0FF6">
      <w:r>
        <w:rPr>
          <w:rFonts w:hint="eastAsia"/>
        </w:rPr>
        <w:t>円</w:t>
      </w:r>
      <w:r>
        <w:rPr>
          <w:rFonts w:hint="eastAsia"/>
        </w:rPr>
        <w:t xml:space="preserve"> LIBOR </w:t>
      </w:r>
      <w:r>
        <w:rPr>
          <w:rFonts w:hint="eastAsia"/>
        </w:rPr>
        <w:t>を参照する取引には</w:t>
      </w:r>
      <w:r>
        <w:rPr>
          <w:rFonts w:hint="eastAsia"/>
        </w:rPr>
        <w:t>，</w:t>
      </w:r>
      <w:r w:rsidR="00785CD0">
        <w:rPr>
          <w:rFonts w:hint="eastAsia"/>
        </w:rPr>
        <w:t>①</w:t>
      </w:r>
      <w:r>
        <w:rPr>
          <w:rFonts w:hint="eastAsia"/>
        </w:rPr>
        <w:t>金利スワップ等のデリバティブ取引</w:t>
      </w:r>
      <w:r w:rsidR="00785CD0">
        <w:rPr>
          <w:rFonts w:hint="eastAsia"/>
        </w:rPr>
        <w:t>，②</w:t>
      </w:r>
      <w:r w:rsidR="00785CD0">
        <w:rPr>
          <w:rFonts w:hint="eastAsia"/>
        </w:rPr>
        <w:t>変動金利の貸出</w:t>
      </w:r>
      <w:r w:rsidR="00785CD0">
        <w:rPr>
          <w:rFonts w:hint="eastAsia"/>
        </w:rPr>
        <w:t>・</w:t>
      </w:r>
      <w:r w:rsidR="00785CD0">
        <w:rPr>
          <w:rFonts w:hint="eastAsia"/>
        </w:rPr>
        <w:t>債券</w:t>
      </w:r>
      <w:r>
        <w:rPr>
          <w:rFonts w:hint="eastAsia"/>
        </w:rPr>
        <w:t>がある</w:t>
      </w:r>
      <w:r w:rsidR="006C679B">
        <w:rPr>
          <w:rFonts w:hint="eastAsia"/>
        </w:rPr>
        <w:t>．①については，</w:t>
      </w:r>
      <w:r w:rsidR="006C679B" w:rsidRPr="006C679B">
        <w:rPr>
          <w:rFonts w:hint="eastAsia"/>
        </w:rPr>
        <w:t>は国際スワップ・デリバティブズ協会（</w:t>
      </w:r>
      <w:r w:rsidR="006C679B" w:rsidRPr="006C679B">
        <w:rPr>
          <w:rFonts w:hint="eastAsia"/>
        </w:rPr>
        <w:t>ISDA</w:t>
      </w:r>
      <w:r w:rsidR="006C679B" w:rsidRPr="006C679B">
        <w:rPr>
          <w:rFonts w:hint="eastAsia"/>
        </w:rPr>
        <w:t>）</w:t>
      </w:r>
      <w:r w:rsidR="00785CD0">
        <w:rPr>
          <w:rFonts w:hint="eastAsia"/>
        </w:rPr>
        <w:t>，</w:t>
      </w:r>
      <w:r w:rsidR="00785CD0">
        <w:rPr>
          <w:rFonts w:hint="eastAsia"/>
        </w:rPr>
        <w:t>②については，</w:t>
      </w:r>
      <w:r w:rsidR="00785CD0" w:rsidRPr="006C679B">
        <w:rPr>
          <w:rFonts w:hint="eastAsia"/>
        </w:rPr>
        <w:t>「日本円金利指標に関する検討委員会」</w:t>
      </w:r>
      <w:r w:rsidR="006C679B">
        <w:rPr>
          <w:rFonts w:hint="eastAsia"/>
        </w:rPr>
        <w:t>が検討している．</w:t>
      </w:r>
      <w:commentRangeStart w:id="0"/>
      <w:r w:rsidR="006C679B">
        <w:rPr>
          <w:rFonts w:hint="eastAsia"/>
        </w:rPr>
        <w:t>ただし，別々に検討されているものの，会計上の理由（ヘッジ会計</w:t>
      </w:r>
      <w:r w:rsidR="00785CD0">
        <w:rPr>
          <w:rStyle w:val="ae"/>
        </w:rPr>
        <w:footnoteReference w:id="1"/>
      </w:r>
      <w:r w:rsidR="006C679B">
        <w:rPr>
          <w:rFonts w:hint="eastAsia"/>
        </w:rPr>
        <w:t>）</w:t>
      </w:r>
      <w:r w:rsidR="00785CD0">
        <w:rPr>
          <w:rFonts w:hint="eastAsia"/>
        </w:rPr>
        <w:t>か</w:t>
      </w:r>
      <w:r w:rsidR="006C679B" w:rsidRPr="006C679B">
        <w:rPr>
          <w:rFonts w:hint="eastAsia"/>
        </w:rPr>
        <w:t>ら両者は関連させて検討する必要がある</w:t>
      </w:r>
      <w:r w:rsidR="00785CD0">
        <w:rPr>
          <w:rFonts w:hint="eastAsia"/>
        </w:rPr>
        <w:t>．</w:t>
      </w:r>
      <w:commentRangeEnd w:id="0"/>
      <w:r w:rsidR="00785CD0">
        <w:rPr>
          <w:rStyle w:val="a7"/>
        </w:rPr>
        <w:commentReference w:id="0"/>
      </w:r>
    </w:p>
    <w:p w14:paraId="31B4594E" w14:textId="011A9A2C" w:rsidR="005C1FBC" w:rsidRDefault="005C1FBC" w:rsidP="00DD0FF6"/>
    <w:p w14:paraId="59F70D3C" w14:textId="77777777" w:rsidR="00677FF7" w:rsidRDefault="00785CD0" w:rsidP="00677FF7">
      <w:pPr>
        <w:pStyle w:val="a0"/>
        <w:numPr>
          <w:ilvl w:val="0"/>
          <w:numId w:val="5"/>
        </w:numPr>
        <w:ind w:leftChars="0"/>
      </w:pPr>
      <w:r>
        <w:rPr>
          <w:rFonts w:hint="eastAsia"/>
        </w:rPr>
        <w:t>デリバティブ取引</w:t>
      </w:r>
    </w:p>
    <w:p w14:paraId="1AB381E0" w14:textId="77777777" w:rsidR="00677FF7" w:rsidRDefault="00785CD0" w:rsidP="00677FF7">
      <w:pPr>
        <w:pStyle w:val="a0"/>
        <w:ind w:leftChars="0" w:left="420"/>
      </w:pPr>
      <w:r>
        <w:rPr>
          <w:rFonts w:hint="eastAsia"/>
        </w:rPr>
        <w:t xml:space="preserve">ISDA </w:t>
      </w:r>
      <w:r>
        <w:rPr>
          <w:rFonts w:hint="eastAsia"/>
        </w:rPr>
        <w:t>の契約雛形（マスター契約）に準拠しているもの（</w:t>
      </w:r>
      <w:commentRangeStart w:id="1"/>
      <w:r>
        <w:rPr>
          <w:rFonts w:hint="eastAsia"/>
        </w:rPr>
        <w:t>ISDA</w:t>
      </w:r>
      <w:r>
        <w:rPr>
          <w:rFonts w:hint="eastAsia"/>
        </w:rPr>
        <w:t>デリバティブ</w:t>
      </w:r>
      <w:commentRangeEnd w:id="1"/>
      <w:r>
        <w:rPr>
          <w:rStyle w:val="a7"/>
        </w:rPr>
        <w:commentReference w:id="1"/>
      </w:r>
      <w:r>
        <w:rPr>
          <w:rFonts w:hint="eastAsia"/>
        </w:rPr>
        <w:t>）に関して</w:t>
      </w:r>
      <w:r>
        <w:rPr>
          <w:rFonts w:hint="eastAsia"/>
        </w:rPr>
        <w:t>，</w:t>
      </w:r>
      <w:r>
        <w:rPr>
          <w:rFonts w:hint="eastAsia"/>
        </w:rPr>
        <w:t xml:space="preserve">ISDA </w:t>
      </w:r>
      <w:r>
        <w:rPr>
          <w:rFonts w:hint="eastAsia"/>
        </w:rPr>
        <w:t>が</w:t>
      </w:r>
      <w:r>
        <w:rPr>
          <w:rFonts w:hint="eastAsia"/>
        </w:rPr>
        <w:t xml:space="preserve">LIBOR </w:t>
      </w:r>
      <w:r>
        <w:rPr>
          <w:rFonts w:hint="eastAsia"/>
        </w:rPr>
        <w:t>を含め</w:t>
      </w:r>
      <w:r>
        <w:rPr>
          <w:rFonts w:hint="eastAsia"/>
        </w:rPr>
        <w:t xml:space="preserve"> IBOR </w:t>
      </w:r>
      <w:r>
        <w:rPr>
          <w:rFonts w:hint="eastAsia"/>
        </w:rPr>
        <w:t>の公表が恒久的に停止された場合への対応を検討している</w:t>
      </w:r>
      <w:r>
        <w:rPr>
          <w:rFonts w:hint="eastAsia"/>
        </w:rPr>
        <w:t>．</w:t>
      </w:r>
      <w:r>
        <w:rPr>
          <w:rFonts w:hint="eastAsia"/>
        </w:rPr>
        <w:t>具体的には</w:t>
      </w:r>
      <w:r>
        <w:rPr>
          <w:rFonts w:hint="eastAsia"/>
        </w:rPr>
        <w:t>，</w:t>
      </w:r>
      <w:r>
        <w:rPr>
          <w:rFonts w:hint="eastAsia"/>
        </w:rPr>
        <w:t xml:space="preserve">ISDA </w:t>
      </w:r>
      <w:r>
        <w:rPr>
          <w:rFonts w:hint="eastAsia"/>
        </w:rPr>
        <w:t>はマスター契約が参照している定義集（</w:t>
      </w:r>
      <w:r>
        <w:rPr>
          <w:rFonts w:hint="eastAsia"/>
        </w:rPr>
        <w:t xml:space="preserve">2006 </w:t>
      </w:r>
      <w:r>
        <w:rPr>
          <w:rFonts w:hint="eastAsia"/>
        </w:rPr>
        <w:t>年版）にフォールバック条項を導入して改訂することを検討して</w:t>
      </w:r>
      <w:r w:rsidR="00677FF7">
        <w:rPr>
          <w:rFonts w:hint="eastAsia"/>
        </w:rPr>
        <w:t>おり，対応方法はフォールバックに一本化することを予定している．</w:t>
      </w:r>
    </w:p>
    <w:p w14:paraId="1ABEE88D" w14:textId="77777777" w:rsidR="00677FF7" w:rsidRDefault="00785CD0" w:rsidP="00677FF7">
      <w:pPr>
        <w:pStyle w:val="a0"/>
        <w:ind w:leftChars="0" w:left="420"/>
      </w:pPr>
      <w:commentRangeStart w:id="2"/>
      <w:r w:rsidRPr="00785CD0">
        <w:rPr>
          <w:rFonts w:hint="eastAsia"/>
        </w:rPr>
        <w:t>改訂以後に締結された新規契約</w:t>
      </w:r>
      <w:r>
        <w:rPr>
          <w:rFonts w:hint="eastAsia"/>
        </w:rPr>
        <w:t>：</w:t>
      </w:r>
      <w:r>
        <w:rPr>
          <w:rFonts w:hint="eastAsia"/>
        </w:rPr>
        <w:t>改訂後の定義集が参照されるため</w:t>
      </w:r>
      <w:r>
        <w:rPr>
          <w:rFonts w:hint="eastAsia"/>
        </w:rPr>
        <w:t>，</w:t>
      </w:r>
      <w:r>
        <w:rPr>
          <w:rFonts w:hint="eastAsia"/>
        </w:rPr>
        <w:t>フォールバック条項が適用</w:t>
      </w:r>
    </w:p>
    <w:p w14:paraId="61BEABC8" w14:textId="0F694DC3" w:rsidR="00785CD0" w:rsidRDefault="00785CD0" w:rsidP="00677FF7">
      <w:pPr>
        <w:pStyle w:val="a0"/>
        <w:ind w:leftChars="0" w:left="420"/>
      </w:pPr>
      <w:r w:rsidRPr="00785CD0">
        <w:rPr>
          <w:rFonts w:hint="eastAsia"/>
        </w:rPr>
        <w:t>改訂前に締結された既存契約</w:t>
      </w:r>
      <w:r>
        <w:rPr>
          <w:rFonts w:hint="eastAsia"/>
        </w:rPr>
        <w:t>：</w:t>
      </w:r>
      <w:r w:rsidRPr="00785CD0">
        <w:rPr>
          <w:rFonts w:hint="eastAsia"/>
        </w:rPr>
        <w:t>「プロトコル」と呼ばれる契約書を公表予定であ</w:t>
      </w:r>
      <w:r>
        <w:rPr>
          <w:rFonts w:hint="eastAsia"/>
        </w:rPr>
        <w:t>り，</w:t>
      </w:r>
      <w:r w:rsidRPr="00785CD0">
        <w:rPr>
          <w:rFonts w:hint="eastAsia"/>
        </w:rPr>
        <w:t>既存契約であってもフォールバック条項が適用される</w:t>
      </w:r>
      <w:commentRangeEnd w:id="2"/>
      <w:r>
        <w:rPr>
          <w:rStyle w:val="a7"/>
        </w:rPr>
        <w:commentReference w:id="2"/>
      </w:r>
    </w:p>
    <w:p w14:paraId="55D8E517" w14:textId="43CF460B" w:rsidR="00677FF7" w:rsidRDefault="00677FF7" w:rsidP="00677FF7">
      <w:pPr>
        <w:pStyle w:val="a0"/>
        <w:ind w:leftChars="0" w:left="420"/>
      </w:pPr>
      <w:r>
        <w:rPr>
          <w:rFonts w:hint="eastAsia"/>
        </w:rPr>
        <w:t>なお，市中協議</w:t>
      </w:r>
      <w:r>
        <w:rPr>
          <w:rStyle w:val="ae"/>
        </w:rPr>
        <w:footnoteReference w:id="2"/>
      </w:r>
      <w:r>
        <w:rPr>
          <w:rFonts w:hint="eastAsia"/>
        </w:rPr>
        <w:t>を実施し，その結果は下記．上</w:t>
      </w:r>
      <w:r>
        <w:rPr>
          <w:rFonts w:hint="eastAsia"/>
        </w:rPr>
        <w:t>2</w:t>
      </w:r>
      <w:r>
        <w:rPr>
          <w:rFonts w:hint="eastAsia"/>
        </w:rPr>
        <w:t>点は</w:t>
      </w:r>
      <w:r>
        <w:rPr>
          <w:rFonts w:hint="eastAsia"/>
        </w:rPr>
        <w:t>Bloomberg</w:t>
      </w:r>
      <w:r>
        <w:rPr>
          <w:rFonts w:hint="eastAsia"/>
        </w:rPr>
        <w:t>が算出し，公表予定．</w:t>
      </w:r>
    </w:p>
    <w:p w14:paraId="373EC8BC" w14:textId="77777777" w:rsidR="00677FF7" w:rsidRDefault="00677FF7" w:rsidP="00677FF7">
      <w:pPr>
        <w:pStyle w:val="a0"/>
        <w:ind w:leftChars="0" w:left="420"/>
      </w:pPr>
      <w:r>
        <w:rPr>
          <w:rFonts w:hint="eastAsia"/>
        </w:rPr>
        <w:t>フォールバックレート</w:t>
      </w:r>
      <w:r>
        <w:rPr>
          <w:rFonts w:hint="eastAsia"/>
        </w:rPr>
        <w:t>：</w:t>
      </w:r>
      <w:r>
        <w:rPr>
          <w:rFonts w:hint="eastAsia"/>
        </w:rPr>
        <w:t>RFR</w:t>
      </w:r>
      <w:r>
        <w:rPr>
          <w:rFonts w:hint="eastAsia"/>
        </w:rPr>
        <w:t>複利の後決め，日本では，無担保コール翌日物複利レートの後決め</w:t>
      </w:r>
    </w:p>
    <w:p w14:paraId="2A8654A6" w14:textId="01BEE885" w:rsidR="00677FF7" w:rsidRDefault="00677FF7" w:rsidP="00677FF7">
      <w:pPr>
        <w:pStyle w:val="a0"/>
        <w:ind w:leftChars="0" w:left="420"/>
      </w:pPr>
      <w:r>
        <w:rPr>
          <w:rFonts w:hint="eastAsia"/>
        </w:rPr>
        <w:t>スプレッド調整：</w:t>
      </w:r>
      <w:r>
        <w:rPr>
          <w:rFonts w:hint="eastAsia"/>
        </w:rPr>
        <w:t>当該</w:t>
      </w:r>
      <w:r>
        <w:rPr>
          <w:rFonts w:hint="eastAsia"/>
        </w:rPr>
        <w:t xml:space="preserve"> IBOR</w:t>
      </w:r>
      <w:r>
        <w:rPr>
          <w:rFonts w:hint="eastAsia"/>
        </w:rPr>
        <w:t>と</w:t>
      </w:r>
      <w:r>
        <w:rPr>
          <w:rFonts w:hint="eastAsia"/>
        </w:rPr>
        <w:t xml:space="preserve">RFR </w:t>
      </w:r>
      <w:r>
        <w:rPr>
          <w:rFonts w:hint="eastAsia"/>
        </w:rPr>
        <w:t>複利（後決め）の過去</w:t>
      </w:r>
      <w:r>
        <w:rPr>
          <w:rFonts w:hint="eastAsia"/>
        </w:rPr>
        <w:t>5</w:t>
      </w:r>
      <w:r>
        <w:rPr>
          <w:rFonts w:hint="eastAsia"/>
        </w:rPr>
        <w:t>年間のスプレッドの中央値</w:t>
      </w:r>
    </w:p>
    <w:p w14:paraId="13EAE599" w14:textId="35556722" w:rsidR="00677FF7" w:rsidRDefault="00677FF7" w:rsidP="00677FF7">
      <w:pPr>
        <w:pStyle w:val="a0"/>
        <w:ind w:leftChars="0" w:left="420"/>
      </w:pPr>
      <w:r>
        <w:rPr>
          <w:rFonts w:hint="eastAsia"/>
        </w:rPr>
        <w:t>トリガー：</w:t>
      </w:r>
      <w:r>
        <w:t>IBOR</w:t>
      </w:r>
      <w:r>
        <w:t>（円</w:t>
      </w:r>
      <w:r>
        <w:t xml:space="preserve"> LIBOR </w:t>
      </w:r>
      <w:r>
        <w:t>を含む）の管理者や当該管理者に対する規制当局等が</w:t>
      </w:r>
      <w:r>
        <w:rPr>
          <w:rFonts w:hint="eastAsia"/>
        </w:rPr>
        <w:t>，</w:t>
      </w:r>
      <w:r>
        <w:t>当該</w:t>
      </w:r>
      <w:r>
        <w:t>IBOR</w:t>
      </w:r>
      <w:r>
        <w:t>の提供を恒久的に停止することを公表すること（公表停止トリガー）</w:t>
      </w:r>
      <w:r>
        <w:rPr>
          <w:rFonts w:hint="eastAsia"/>
        </w:rPr>
        <w:t>．</w:t>
      </w:r>
    </w:p>
    <w:p w14:paraId="28624717" w14:textId="5D4DF89F" w:rsidR="005E3CDA" w:rsidRDefault="005E3CDA" w:rsidP="00677FF7">
      <w:pPr>
        <w:pStyle w:val="a0"/>
        <w:ind w:leftChars="0" w:left="420"/>
      </w:pPr>
    </w:p>
    <w:p w14:paraId="1347DF9B" w14:textId="1C2322C8" w:rsidR="005E3CDA" w:rsidRDefault="005E3CDA" w:rsidP="00677FF7">
      <w:pPr>
        <w:pStyle w:val="a0"/>
        <w:ind w:leftChars="0" w:left="420"/>
      </w:pPr>
      <w:r>
        <w:rPr>
          <w:rFonts w:hint="eastAsia"/>
        </w:rPr>
        <w:t>以下，理解できておらず（</w:t>
      </w:r>
      <w:r>
        <w:rPr>
          <w:rFonts w:hint="eastAsia"/>
        </w:rPr>
        <w:t>ISDA</w:t>
      </w:r>
      <w:r>
        <w:rPr>
          <w:rFonts w:hint="eastAsia"/>
        </w:rPr>
        <w:t>に準拠するといいつつ，</w:t>
      </w:r>
      <w:r w:rsidRPr="006C679B">
        <w:rPr>
          <w:rFonts w:hint="eastAsia"/>
        </w:rPr>
        <w:t>「日本円金利指標に関する検討委員会」</w:t>
      </w:r>
      <w:r>
        <w:rPr>
          <w:rFonts w:hint="eastAsia"/>
        </w:rPr>
        <w:t>が以下を公表している．）</w:t>
      </w:r>
    </w:p>
    <w:p w14:paraId="0AFA151F" w14:textId="323DD7D2" w:rsidR="005E3CDA" w:rsidRDefault="005E3CDA" w:rsidP="005E3CDA">
      <w:pPr>
        <w:pStyle w:val="a0"/>
        <w:numPr>
          <w:ilvl w:val="0"/>
          <w:numId w:val="4"/>
        </w:numPr>
        <w:ind w:leftChars="0"/>
      </w:pPr>
      <w:r w:rsidRPr="005E3CDA">
        <w:rPr>
          <w:rFonts w:hint="eastAsia"/>
        </w:rPr>
        <w:t xml:space="preserve">2021 </w:t>
      </w:r>
      <w:r w:rsidRPr="005E3CDA">
        <w:rPr>
          <w:rFonts w:hint="eastAsia"/>
        </w:rPr>
        <w:t>年末以降に満期を迎える</w:t>
      </w:r>
      <w:r w:rsidRPr="005E3CDA">
        <w:rPr>
          <w:rFonts w:hint="eastAsia"/>
        </w:rPr>
        <w:t xml:space="preserve">LIBOR </w:t>
      </w:r>
      <w:r w:rsidRPr="005E3CDA">
        <w:rPr>
          <w:rFonts w:hint="eastAsia"/>
        </w:rPr>
        <w:t>参照の金利スワップについて</w:t>
      </w:r>
      <w:r>
        <w:rPr>
          <w:rFonts w:hint="eastAsia"/>
        </w:rPr>
        <w:t>，</w:t>
      </w:r>
      <w:r w:rsidRPr="005E3CDA">
        <w:rPr>
          <w:rFonts w:hint="eastAsia"/>
        </w:rPr>
        <w:t>遅くとも</w:t>
      </w:r>
      <w:r w:rsidRPr="005E3CDA">
        <w:rPr>
          <w:rFonts w:hint="eastAsia"/>
        </w:rPr>
        <w:t>2021</w:t>
      </w:r>
      <w:r w:rsidRPr="005E3CDA">
        <w:rPr>
          <w:rFonts w:hint="eastAsia"/>
        </w:rPr>
        <w:t>年</w:t>
      </w:r>
      <w:r>
        <w:rPr>
          <w:rFonts w:hint="eastAsia"/>
        </w:rPr>
        <w:t>9</w:t>
      </w:r>
      <w:r w:rsidRPr="005E3CDA">
        <w:rPr>
          <w:rFonts w:hint="eastAsia"/>
        </w:rPr>
        <w:t>月末までに</w:t>
      </w:r>
      <w:r w:rsidRPr="005E3CDA">
        <w:rPr>
          <w:rFonts w:hint="eastAsia"/>
        </w:rPr>
        <w:lastRenderedPageBreak/>
        <w:t>新規取引を停止する</w:t>
      </w:r>
    </w:p>
    <w:p w14:paraId="098D6783" w14:textId="5070FC99" w:rsidR="005E3CDA" w:rsidRDefault="005E3CDA" w:rsidP="005E3CDA">
      <w:pPr>
        <w:pStyle w:val="a0"/>
        <w:numPr>
          <w:ilvl w:val="0"/>
          <w:numId w:val="4"/>
        </w:numPr>
        <w:ind w:leftChars="0"/>
      </w:pPr>
      <w:r>
        <w:rPr>
          <w:rFonts w:hint="eastAsia"/>
        </w:rPr>
        <w:t>円金利スワップ市場において取引の中心となるべき代替金利指標は</w:t>
      </w:r>
      <w:r w:rsidR="00E4344C">
        <w:rPr>
          <w:rFonts w:hint="eastAsia"/>
        </w:rPr>
        <w:t>，</w:t>
      </w:r>
      <w:r>
        <w:rPr>
          <w:rFonts w:hint="eastAsia"/>
        </w:rPr>
        <w:t>無担保コール</w:t>
      </w:r>
      <w:r>
        <w:rPr>
          <w:rFonts w:hint="eastAsia"/>
        </w:rPr>
        <w:t>O/N</w:t>
      </w:r>
      <w:r>
        <w:rPr>
          <w:rFonts w:hint="eastAsia"/>
        </w:rPr>
        <w:t>物レート（</w:t>
      </w:r>
      <w:r>
        <w:rPr>
          <w:rFonts w:hint="eastAsia"/>
        </w:rPr>
        <w:t>TONA</w:t>
      </w:r>
      <w:r>
        <w:rPr>
          <w:rFonts w:hint="eastAsia"/>
        </w:rPr>
        <w:t>）であること</w:t>
      </w:r>
      <w:r>
        <w:rPr>
          <w:rFonts w:hint="eastAsia"/>
        </w:rPr>
        <w:t>．</w:t>
      </w:r>
      <w:r>
        <w:rPr>
          <w:rFonts w:hint="eastAsia"/>
        </w:rPr>
        <w:t>ただし</w:t>
      </w:r>
      <w:r w:rsidR="00E4344C">
        <w:rPr>
          <w:rFonts w:hint="eastAsia"/>
        </w:rPr>
        <w:t>，</w:t>
      </w:r>
      <w:r>
        <w:rPr>
          <w:rFonts w:hint="eastAsia"/>
        </w:rPr>
        <w:t>その他の代替金利指標（</w:t>
      </w:r>
      <w:r>
        <w:rPr>
          <w:rFonts w:hint="eastAsia"/>
        </w:rPr>
        <w:t>TORF</w:t>
      </w:r>
      <w:r w:rsidR="00E4344C">
        <w:rPr>
          <w:rFonts w:hint="eastAsia"/>
        </w:rPr>
        <w:t>，</w:t>
      </w:r>
      <w:r>
        <w:rPr>
          <w:rFonts w:hint="eastAsia"/>
        </w:rPr>
        <w:t xml:space="preserve">TIBOR </w:t>
      </w:r>
      <w:r>
        <w:rPr>
          <w:rFonts w:hint="eastAsia"/>
        </w:rPr>
        <w:t>等）を利用するニーズも存在するため</w:t>
      </w:r>
      <w:r w:rsidR="00E4344C">
        <w:rPr>
          <w:rFonts w:hint="eastAsia"/>
        </w:rPr>
        <w:t>，取引目的に応じてそれらを利用することを妨げるものではない</w:t>
      </w:r>
    </w:p>
    <w:p w14:paraId="4B6C40F8" w14:textId="6F1BA4D6" w:rsidR="00E4344C" w:rsidRDefault="00E4344C" w:rsidP="00E4344C">
      <w:pPr>
        <w:pStyle w:val="a0"/>
        <w:numPr>
          <w:ilvl w:val="0"/>
          <w:numId w:val="4"/>
        </w:numPr>
        <w:ind w:leftChars="0"/>
        <w:rPr>
          <w:rFonts w:hint="eastAsia"/>
        </w:rPr>
      </w:pPr>
      <w:r>
        <w:rPr>
          <w:rFonts w:hint="eastAsia"/>
        </w:rPr>
        <w:t>円金利スワップ市場における気配値呈示を</w:t>
      </w:r>
      <w:r>
        <w:rPr>
          <w:rFonts w:hint="eastAsia"/>
        </w:rPr>
        <w:t xml:space="preserve">LIBOR </w:t>
      </w:r>
      <w:r>
        <w:rPr>
          <w:rFonts w:hint="eastAsia"/>
        </w:rPr>
        <w:t>ベースから</w:t>
      </w:r>
      <w:r>
        <w:rPr>
          <w:rFonts w:hint="eastAsia"/>
        </w:rPr>
        <w:t xml:space="preserve">TONA </w:t>
      </w:r>
      <w:r>
        <w:rPr>
          <w:rFonts w:hint="eastAsia"/>
        </w:rPr>
        <w:t>ベースに移行する時期は</w:t>
      </w:r>
      <w:r>
        <w:rPr>
          <w:rFonts w:hint="eastAsia"/>
        </w:rPr>
        <w:t>，</w:t>
      </w:r>
      <w:r>
        <w:rPr>
          <w:rFonts w:hint="eastAsia"/>
        </w:rPr>
        <w:t>遅くとも</w:t>
      </w:r>
      <w:r>
        <w:rPr>
          <w:rFonts w:hint="eastAsia"/>
        </w:rPr>
        <w:t>2021</w:t>
      </w:r>
      <w:r>
        <w:rPr>
          <w:rFonts w:hint="eastAsia"/>
        </w:rPr>
        <w:t>年</w:t>
      </w:r>
      <w:r>
        <w:rPr>
          <w:rFonts w:hint="eastAsia"/>
        </w:rPr>
        <w:t>7</w:t>
      </w:r>
      <w:r>
        <w:rPr>
          <w:rFonts w:hint="eastAsia"/>
        </w:rPr>
        <w:t>月末と</w:t>
      </w:r>
      <w:r>
        <w:rPr>
          <w:rFonts w:hint="eastAsia"/>
        </w:rPr>
        <w:t>する．</w:t>
      </w:r>
    </w:p>
    <w:p w14:paraId="5F80202D" w14:textId="128FA353" w:rsidR="005E3CDA" w:rsidRPr="00785CD0" w:rsidRDefault="005E3CDA" w:rsidP="00E4344C">
      <w:pPr>
        <w:ind w:left="420"/>
        <w:rPr>
          <w:rFonts w:hint="eastAsia"/>
        </w:rPr>
      </w:pPr>
    </w:p>
    <w:p w14:paraId="7738912F" w14:textId="28EC2099" w:rsidR="006C679B" w:rsidRDefault="006C679B" w:rsidP="00DD0FF6"/>
    <w:p w14:paraId="05AB49FA" w14:textId="3A771392" w:rsidR="00677FF7" w:rsidRDefault="005929CE" w:rsidP="005929CE">
      <w:pPr>
        <w:pStyle w:val="a0"/>
        <w:numPr>
          <w:ilvl w:val="0"/>
          <w:numId w:val="5"/>
        </w:numPr>
        <w:ind w:leftChars="0"/>
      </w:pPr>
      <w:r>
        <w:rPr>
          <w:rFonts w:hint="eastAsia"/>
        </w:rPr>
        <w:t>貸出・債券</w:t>
      </w:r>
    </w:p>
    <w:p w14:paraId="0536A268" w14:textId="59638BDB" w:rsidR="005929CE" w:rsidRDefault="00746308" w:rsidP="005929CE">
      <w:pPr>
        <w:pStyle w:val="a0"/>
        <w:ind w:leftChars="0" w:left="420"/>
      </w:pPr>
      <w:r>
        <w:rPr>
          <w:rFonts w:hint="eastAsia"/>
        </w:rPr>
        <w:t>検討委員会では，以下の</w:t>
      </w:r>
      <w:r>
        <w:rPr>
          <w:rFonts w:hint="eastAsia"/>
        </w:rPr>
        <w:t>5</w:t>
      </w:r>
      <w:r>
        <w:rPr>
          <w:rFonts w:hint="eastAsia"/>
        </w:rPr>
        <w:t>指標を代替金利指標として検討．</w:t>
      </w:r>
    </w:p>
    <w:p w14:paraId="6C844823" w14:textId="77777777" w:rsidR="00746308" w:rsidRDefault="00746308" w:rsidP="00746308">
      <w:pPr>
        <w:pStyle w:val="a0"/>
        <w:numPr>
          <w:ilvl w:val="0"/>
          <w:numId w:val="6"/>
        </w:numPr>
        <w:ind w:leftChars="0"/>
      </w:pPr>
      <w:r>
        <w:t>無担保コール</w:t>
      </w:r>
      <w:r>
        <w:t xml:space="preserve">O/N </w:t>
      </w:r>
      <w:r>
        <w:t>物レート</w:t>
      </w:r>
      <w:r>
        <w:t xml:space="preserve">RFR </w:t>
      </w:r>
      <w:r>
        <w:t>複利（前決め）</w:t>
      </w:r>
      <w:r>
        <w:rPr>
          <w:rFonts w:hint="eastAsia"/>
        </w:rPr>
        <w:t>：</w:t>
      </w:r>
      <w:r>
        <w:t>金利の適用開始時点までの一定期間の無担保コール</w:t>
      </w:r>
      <w:r>
        <w:t xml:space="preserve">O/N </w:t>
      </w:r>
      <w:r>
        <w:t>物レートを日次複利で積み上げ</w:t>
      </w:r>
    </w:p>
    <w:p w14:paraId="2ED127D3" w14:textId="77777777" w:rsidR="00746308" w:rsidRDefault="00746308" w:rsidP="00746308">
      <w:pPr>
        <w:pStyle w:val="a0"/>
        <w:numPr>
          <w:ilvl w:val="0"/>
          <w:numId w:val="6"/>
        </w:numPr>
        <w:ind w:leftChars="0"/>
      </w:pPr>
      <w:r>
        <w:t>無担保コール</w:t>
      </w:r>
      <w:r>
        <w:t xml:space="preserve"> O/N </w:t>
      </w:r>
      <w:r>
        <w:t>物レート</w:t>
      </w:r>
      <w:r>
        <w:t>RFR</w:t>
      </w:r>
      <w:r>
        <w:t>複利（後決め）</w:t>
      </w:r>
      <w:r>
        <w:rPr>
          <w:rFonts w:hint="eastAsia"/>
        </w:rPr>
        <w:t>：</w:t>
      </w:r>
      <w:r>
        <w:t>金利の適用開始時点から同終了時点までの無担保コール</w:t>
      </w:r>
      <w:r>
        <w:t xml:space="preserve">O/N </w:t>
      </w:r>
      <w:r>
        <w:t>物レートを日次複利で積み上げ</w:t>
      </w:r>
      <w:r>
        <w:t xml:space="preserve"> </w:t>
      </w:r>
    </w:p>
    <w:p w14:paraId="4EDE2FC9" w14:textId="63A5738D" w:rsidR="00746308" w:rsidRDefault="00746308" w:rsidP="00746308">
      <w:pPr>
        <w:pStyle w:val="a0"/>
        <w:numPr>
          <w:ilvl w:val="0"/>
          <w:numId w:val="6"/>
        </w:numPr>
        <w:ind w:leftChars="0"/>
      </w:pPr>
      <w:r>
        <w:t>ターム物</w:t>
      </w:r>
      <w:r>
        <w:t>RFR</w:t>
      </w:r>
      <w:r>
        <w:t>金利（スワップ）</w:t>
      </w:r>
      <w:r>
        <w:rPr>
          <w:rFonts w:hint="eastAsia"/>
        </w:rPr>
        <w:t>：</w:t>
      </w:r>
      <w:r>
        <w:t>一定期間の無担保コール</w:t>
      </w:r>
      <w:r>
        <w:t xml:space="preserve">O/N </w:t>
      </w:r>
      <w:r>
        <w:t>物レートの加重平均値に基づく変動金利と固定金利を交換する金利スワップに基づいて構築</w:t>
      </w:r>
      <w:r>
        <w:rPr>
          <w:rFonts w:hint="eastAsia"/>
        </w:rPr>
        <w:t>．</w:t>
      </w:r>
      <w:r w:rsidR="00665CE8">
        <w:t xml:space="preserve"> </w:t>
      </w:r>
    </w:p>
    <w:p w14:paraId="1457CEDD" w14:textId="5D4EE4AD" w:rsidR="00746308" w:rsidRDefault="00746308" w:rsidP="00746308">
      <w:pPr>
        <w:pStyle w:val="a0"/>
        <w:numPr>
          <w:ilvl w:val="0"/>
          <w:numId w:val="6"/>
        </w:numPr>
        <w:ind w:leftChars="0"/>
      </w:pPr>
      <w:r>
        <w:t>ターム物</w:t>
      </w:r>
      <w:r>
        <w:t>RFR</w:t>
      </w:r>
      <w:r>
        <w:t>金利（先物）：東京金融取引所に上場されている無担保コール</w:t>
      </w:r>
      <w:r>
        <w:t>O/N</w:t>
      </w:r>
      <w:r>
        <w:t>物金利先物に基づいて構築</w:t>
      </w:r>
      <w:r>
        <w:rPr>
          <w:rFonts w:hint="eastAsia"/>
        </w:rPr>
        <w:t>．</w:t>
      </w:r>
      <w:r w:rsidR="00665CE8">
        <w:rPr>
          <w:rFonts w:hint="eastAsia"/>
        </w:rPr>
        <w:t>取引再開に向けて検討中？</w:t>
      </w:r>
    </w:p>
    <w:p w14:paraId="0BCAA92D" w14:textId="70C4F451" w:rsidR="00746308" w:rsidRDefault="00746308" w:rsidP="00746308">
      <w:pPr>
        <w:pStyle w:val="a0"/>
        <w:numPr>
          <w:ilvl w:val="0"/>
          <w:numId w:val="6"/>
        </w:numPr>
        <w:ind w:leftChars="0"/>
      </w:pPr>
      <w:r>
        <w:t>TIBOR</w:t>
      </w:r>
    </w:p>
    <w:p w14:paraId="4EDDBAF7" w14:textId="646D02AD" w:rsidR="00746308" w:rsidRDefault="00746308" w:rsidP="00746308">
      <w:pPr>
        <w:ind w:left="420"/>
      </w:pPr>
    </w:p>
    <w:p w14:paraId="450C94EB" w14:textId="14D5A9A8" w:rsidR="00746308" w:rsidRDefault="00746308" w:rsidP="00746308">
      <w:pPr>
        <w:ind w:left="420"/>
      </w:pPr>
      <w:r>
        <w:rPr>
          <w:rFonts w:hint="eastAsia"/>
        </w:rPr>
        <w:t>そして，市中協議の結果は下記．</w:t>
      </w:r>
    </w:p>
    <w:p w14:paraId="6CED7D3C" w14:textId="61705362" w:rsidR="00746308" w:rsidRDefault="00746308" w:rsidP="00746308">
      <w:pPr>
        <w:pStyle w:val="a0"/>
        <w:numPr>
          <w:ilvl w:val="0"/>
          <w:numId w:val="7"/>
        </w:numPr>
        <w:ind w:leftChars="0"/>
      </w:pPr>
      <w:r>
        <w:rPr>
          <w:rFonts w:hint="eastAsia"/>
        </w:rPr>
        <w:t>移行</w:t>
      </w:r>
    </w:p>
    <w:p w14:paraId="2D3BBBD5" w14:textId="01C1FE90" w:rsidR="00746308" w:rsidRDefault="00746308" w:rsidP="00746308">
      <w:pPr>
        <w:pStyle w:val="a0"/>
        <w:numPr>
          <w:ilvl w:val="0"/>
          <w:numId w:val="8"/>
        </w:numPr>
        <w:ind w:leftChars="0"/>
      </w:pPr>
      <w:r>
        <w:rPr>
          <w:rFonts w:hint="eastAsia"/>
        </w:rPr>
        <w:t>貸出</w:t>
      </w:r>
    </w:p>
    <w:p w14:paraId="0A4F8208" w14:textId="43E1913F" w:rsidR="00746308" w:rsidRDefault="00746308" w:rsidP="00746308">
      <w:pPr>
        <w:pStyle w:val="a0"/>
        <w:ind w:leftChars="0" w:left="1260"/>
      </w:pPr>
      <w:r>
        <w:rPr>
          <w:rFonts w:hint="eastAsia"/>
        </w:rPr>
        <w:t>代替金利指標：</w:t>
      </w:r>
      <w:r w:rsidR="00665CE8">
        <w:t>ターム物</w:t>
      </w:r>
      <w:r w:rsidR="00665CE8">
        <w:t>RFR</w:t>
      </w:r>
      <w:r w:rsidR="00665CE8">
        <w:t>金利（スワップ）</w:t>
      </w:r>
      <w:r w:rsidR="00665CE8">
        <w:rPr>
          <w:rFonts w:hint="eastAsia"/>
        </w:rPr>
        <w:t>・</w:t>
      </w:r>
      <w:r w:rsidR="00665CE8">
        <w:t>ターム物</w:t>
      </w:r>
      <w:r w:rsidR="00665CE8">
        <w:t xml:space="preserve"> RFR </w:t>
      </w:r>
      <w:r w:rsidR="00665CE8">
        <w:t>金利（先物）</w:t>
      </w:r>
      <w:r w:rsidR="00665CE8">
        <w:rPr>
          <w:rFonts w:hint="eastAsia"/>
        </w:rPr>
        <w:t>⇒</w:t>
      </w:r>
      <w:r w:rsidR="00665CE8">
        <w:rPr>
          <w:rFonts w:hint="eastAsia"/>
        </w:rPr>
        <w:t>TIBOR</w:t>
      </w:r>
      <w:r w:rsidR="00665CE8">
        <w:rPr>
          <w:rFonts w:hint="eastAsia"/>
        </w:rPr>
        <w:t>の順</w:t>
      </w:r>
    </w:p>
    <w:p w14:paraId="3F8DFE9F" w14:textId="5E8B4F2E" w:rsidR="00665CE8" w:rsidRDefault="00665CE8" w:rsidP="00746308">
      <w:pPr>
        <w:pStyle w:val="a0"/>
        <w:ind w:leftChars="0" w:left="1260"/>
      </w:pPr>
      <w:r>
        <w:rPr>
          <w:rFonts w:hint="eastAsia"/>
        </w:rPr>
        <w:t>前決めが好まれた（</w:t>
      </w:r>
      <w:r w:rsidRPr="00665CE8">
        <w:rPr>
          <w:rFonts w:hint="eastAsia"/>
        </w:rPr>
        <w:t>現行の事務・システムとの親和性が高い</w:t>
      </w:r>
      <w:r>
        <w:rPr>
          <w:rFonts w:hint="eastAsia"/>
        </w:rPr>
        <w:t>）</w:t>
      </w:r>
    </w:p>
    <w:p w14:paraId="216992F8" w14:textId="369EBC42" w:rsidR="00665CE8" w:rsidRDefault="00665CE8" w:rsidP="00665CE8">
      <w:pPr>
        <w:pStyle w:val="a0"/>
        <w:numPr>
          <w:ilvl w:val="0"/>
          <w:numId w:val="8"/>
        </w:numPr>
        <w:ind w:leftChars="0"/>
      </w:pPr>
      <w:r>
        <w:rPr>
          <w:rFonts w:hint="eastAsia"/>
        </w:rPr>
        <w:t>債券</w:t>
      </w:r>
    </w:p>
    <w:p w14:paraId="02A8FEA8" w14:textId="31FECB5F" w:rsidR="00665CE8" w:rsidRDefault="00665CE8" w:rsidP="00665CE8">
      <w:pPr>
        <w:pStyle w:val="a0"/>
        <w:ind w:leftChars="0" w:left="1260"/>
      </w:pPr>
      <w:r>
        <w:rPr>
          <w:rFonts w:hint="eastAsia"/>
        </w:rPr>
        <w:t>代替金利指標：</w:t>
      </w:r>
      <w:r>
        <w:t>ターム物</w:t>
      </w:r>
      <w:r>
        <w:t>RFR</w:t>
      </w:r>
      <w:r>
        <w:t>金利（スワップ）</w:t>
      </w:r>
      <w:r>
        <w:rPr>
          <w:rFonts w:hint="eastAsia"/>
        </w:rPr>
        <w:t>・</w:t>
      </w:r>
      <w:r>
        <w:t>ターム物</w:t>
      </w:r>
      <w:r>
        <w:t xml:space="preserve"> RFR </w:t>
      </w:r>
      <w:r>
        <w:t>金利（先物）</w:t>
      </w:r>
      <w:r>
        <w:rPr>
          <w:rFonts w:hint="eastAsia"/>
        </w:rPr>
        <w:t>⇒</w:t>
      </w:r>
      <w:r>
        <w:t>無担保コール</w:t>
      </w:r>
      <w:r>
        <w:t xml:space="preserve"> O/N </w:t>
      </w:r>
      <w:r>
        <w:t>物レート</w:t>
      </w:r>
      <w:r>
        <w:t>RFR</w:t>
      </w:r>
      <w:r>
        <w:t>複利（後決め）</w:t>
      </w:r>
      <w:r>
        <w:rPr>
          <w:rFonts w:hint="eastAsia"/>
        </w:rPr>
        <w:t>の順</w:t>
      </w:r>
    </w:p>
    <w:p w14:paraId="16CCBD4D" w14:textId="38233D30" w:rsidR="00665CE8" w:rsidRDefault="00665CE8" w:rsidP="00665CE8">
      <w:pPr>
        <w:pStyle w:val="a0"/>
        <w:numPr>
          <w:ilvl w:val="0"/>
          <w:numId w:val="7"/>
        </w:numPr>
        <w:ind w:leftChars="0"/>
      </w:pPr>
      <w:r>
        <w:rPr>
          <w:rFonts w:hint="eastAsia"/>
        </w:rPr>
        <w:t>フォールバック</w:t>
      </w:r>
    </w:p>
    <w:p w14:paraId="5122B19F" w14:textId="77777777" w:rsidR="00665CE8" w:rsidRDefault="00665CE8" w:rsidP="00665CE8">
      <w:pPr>
        <w:pStyle w:val="a0"/>
        <w:numPr>
          <w:ilvl w:val="1"/>
          <w:numId w:val="7"/>
        </w:numPr>
        <w:ind w:leftChars="0"/>
      </w:pPr>
      <w:r>
        <w:rPr>
          <w:rFonts w:hint="eastAsia"/>
        </w:rPr>
        <w:t>貸出</w:t>
      </w:r>
    </w:p>
    <w:p w14:paraId="2E320350" w14:textId="77777777" w:rsidR="00665CE8" w:rsidRDefault="00665CE8" w:rsidP="00665CE8">
      <w:pPr>
        <w:pStyle w:val="a0"/>
        <w:ind w:leftChars="0" w:left="1260"/>
      </w:pPr>
      <w:r>
        <w:rPr>
          <w:rFonts w:hint="eastAsia"/>
        </w:rPr>
        <w:t>条項導入：</w:t>
      </w:r>
      <w:r w:rsidRPr="00665CE8">
        <w:rPr>
          <w:rFonts w:hint="eastAsia"/>
        </w:rPr>
        <w:t>当事者間の合意により可能</w:t>
      </w:r>
      <w:r>
        <w:rPr>
          <w:rFonts w:hint="eastAsia"/>
        </w:rPr>
        <w:t>（事実）</w:t>
      </w:r>
    </w:p>
    <w:p w14:paraId="390B874F" w14:textId="595FFF6A" w:rsidR="00665CE8" w:rsidRDefault="00665CE8" w:rsidP="00665CE8">
      <w:pPr>
        <w:pStyle w:val="a0"/>
        <w:ind w:leftChars="0" w:left="1260"/>
        <w:rPr>
          <w:rFonts w:hint="eastAsia"/>
        </w:rPr>
      </w:pPr>
      <w:r>
        <w:rPr>
          <w:rFonts w:hint="eastAsia"/>
        </w:rPr>
        <w:t>トリガー：</w:t>
      </w:r>
      <w:r>
        <w:rPr>
          <w:rFonts w:hint="eastAsia"/>
        </w:rPr>
        <w:t>少なくとも公表停止トリガーを設定し</w:t>
      </w:r>
      <w:r>
        <w:rPr>
          <w:rFonts w:hint="eastAsia"/>
        </w:rPr>
        <w:t>，</w:t>
      </w:r>
      <w:r>
        <w:rPr>
          <w:rFonts w:hint="eastAsia"/>
        </w:rPr>
        <w:t>必要に応じてその他のトリガー（公表停止前トリガー等を想定）を設定する</w:t>
      </w:r>
      <w:r>
        <w:rPr>
          <w:rFonts w:hint="eastAsia"/>
        </w:rPr>
        <w:t>（</w:t>
      </w:r>
      <w:r>
        <w:rPr>
          <w:rFonts w:hint="eastAsia"/>
        </w:rPr>
        <w:t>ISDA</w:t>
      </w:r>
      <w:r>
        <w:rPr>
          <w:rFonts w:hint="eastAsia"/>
        </w:rPr>
        <w:t>と平仄）</w:t>
      </w:r>
    </w:p>
    <w:p w14:paraId="2F72B71A" w14:textId="33F1C6DA" w:rsidR="00665CE8" w:rsidRDefault="00665CE8" w:rsidP="00665CE8">
      <w:pPr>
        <w:pStyle w:val="a0"/>
        <w:ind w:leftChars="0" w:left="1260"/>
      </w:pPr>
      <w:r>
        <w:rPr>
          <w:rFonts w:hint="eastAsia"/>
        </w:rPr>
        <w:t>フォールバックレート</w:t>
      </w:r>
      <w:r>
        <w:rPr>
          <w:rFonts w:hint="eastAsia"/>
        </w:rPr>
        <w:t>：</w:t>
      </w:r>
      <w:r>
        <w:t>ターム物</w:t>
      </w:r>
      <w:r>
        <w:t>RFR</w:t>
      </w:r>
      <w:r>
        <w:t>金利（スワップ）</w:t>
      </w:r>
      <w:r>
        <w:rPr>
          <w:rFonts w:hint="eastAsia"/>
        </w:rPr>
        <w:t>・</w:t>
      </w:r>
      <w:r>
        <w:t>ターム物</w:t>
      </w:r>
      <w:r>
        <w:t xml:space="preserve"> RFR </w:t>
      </w:r>
      <w:r>
        <w:t>金利（先物）</w:t>
      </w:r>
      <w:r>
        <w:rPr>
          <w:rFonts w:hint="eastAsia"/>
        </w:rPr>
        <w:t>⇒</w:t>
      </w:r>
      <w:r>
        <w:rPr>
          <w:rFonts w:hint="eastAsia"/>
        </w:rPr>
        <w:t>TIBOR</w:t>
      </w:r>
      <w:r>
        <w:rPr>
          <w:rFonts w:hint="eastAsia"/>
        </w:rPr>
        <w:t>の順</w:t>
      </w:r>
    </w:p>
    <w:p w14:paraId="5D667AAD" w14:textId="5F388E2B" w:rsidR="00665CE8" w:rsidRDefault="00665CE8" w:rsidP="00665CE8">
      <w:pPr>
        <w:pStyle w:val="a0"/>
        <w:ind w:leftChars="0" w:left="1260"/>
        <w:rPr>
          <w:rFonts w:hint="eastAsia"/>
        </w:rPr>
      </w:pPr>
      <w:r>
        <w:rPr>
          <w:rFonts w:hint="eastAsia"/>
        </w:rPr>
        <w:t>スプレッド調整：</w:t>
      </w:r>
      <w:r w:rsidRPr="00665CE8">
        <w:rPr>
          <w:rFonts w:hint="eastAsia"/>
        </w:rPr>
        <w:t>過去の平均値･中央値アプローチに反対する意見は一部にとどまった</w:t>
      </w:r>
    </w:p>
    <w:p w14:paraId="52B873E4" w14:textId="4C59E353" w:rsidR="00665CE8" w:rsidRDefault="00665CE8" w:rsidP="00665CE8">
      <w:pPr>
        <w:pStyle w:val="a0"/>
        <w:numPr>
          <w:ilvl w:val="1"/>
          <w:numId w:val="7"/>
        </w:numPr>
        <w:ind w:leftChars="0"/>
      </w:pPr>
      <w:r>
        <w:rPr>
          <w:rFonts w:hint="eastAsia"/>
        </w:rPr>
        <w:t>債券</w:t>
      </w:r>
    </w:p>
    <w:p w14:paraId="12C20D35" w14:textId="5E761E4F" w:rsidR="00665CE8" w:rsidRDefault="00665CE8" w:rsidP="00665CE8">
      <w:pPr>
        <w:pStyle w:val="a0"/>
        <w:ind w:leftChars="0" w:left="1260"/>
      </w:pPr>
      <w:r>
        <w:rPr>
          <w:rFonts w:hint="eastAsia"/>
        </w:rPr>
        <w:t>ISDA</w:t>
      </w:r>
      <w:r>
        <w:rPr>
          <w:rFonts w:hint="eastAsia"/>
        </w:rPr>
        <w:t>のフォールバックの内容</w:t>
      </w:r>
      <w:r>
        <w:rPr>
          <w:rFonts w:hint="eastAsia"/>
        </w:rPr>
        <w:t>と</w:t>
      </w:r>
      <w:r>
        <w:rPr>
          <w:rFonts w:hint="eastAsia"/>
        </w:rPr>
        <w:t>揃える（ヘッジ会計</w:t>
      </w:r>
      <w:r>
        <w:rPr>
          <w:rFonts w:hint="eastAsia"/>
        </w:rPr>
        <w:t>の観点</w:t>
      </w:r>
      <w:r>
        <w:rPr>
          <w:rFonts w:hint="eastAsia"/>
        </w:rPr>
        <w:t>）</w:t>
      </w:r>
    </w:p>
    <w:p w14:paraId="27DB19E6" w14:textId="13E351B3" w:rsidR="00665CE8" w:rsidRDefault="00665CE8" w:rsidP="00665CE8">
      <w:pPr>
        <w:pStyle w:val="a0"/>
        <w:ind w:leftChars="0" w:left="1260"/>
      </w:pPr>
      <w:r>
        <w:rPr>
          <w:rFonts w:hint="eastAsia"/>
        </w:rPr>
        <w:t>条項導入：</w:t>
      </w:r>
      <w:r>
        <w:rPr>
          <w:rFonts w:hint="eastAsia"/>
        </w:rPr>
        <w:t>会社法により債権者集会の開催が必要</w:t>
      </w:r>
      <w:r>
        <w:rPr>
          <w:rFonts w:hint="eastAsia"/>
        </w:rPr>
        <w:t>（事実）</w:t>
      </w:r>
    </w:p>
    <w:p w14:paraId="5B78560F" w14:textId="5609F3E2" w:rsidR="00665CE8" w:rsidRDefault="00665CE8" w:rsidP="00665CE8">
      <w:pPr>
        <w:pStyle w:val="a0"/>
        <w:ind w:leftChars="0" w:left="1260"/>
        <w:rPr>
          <w:rFonts w:hint="eastAsia"/>
        </w:rPr>
      </w:pPr>
      <w:r>
        <w:rPr>
          <w:rFonts w:hint="eastAsia"/>
        </w:rPr>
        <w:t>トリガー：</w:t>
      </w:r>
      <w:r>
        <w:rPr>
          <w:rFonts w:hint="eastAsia"/>
        </w:rPr>
        <w:t xml:space="preserve"> </w:t>
      </w:r>
      <w:r>
        <w:rPr>
          <w:rFonts w:hint="eastAsia"/>
        </w:rPr>
        <w:t>公表停止トリガーを設定</w:t>
      </w:r>
    </w:p>
    <w:p w14:paraId="3AEF1EC6" w14:textId="2B6987A2" w:rsidR="00665CE8" w:rsidRDefault="00665CE8" w:rsidP="00665CE8">
      <w:pPr>
        <w:pStyle w:val="a0"/>
        <w:ind w:leftChars="600" w:left="1260"/>
      </w:pPr>
      <w:r>
        <w:rPr>
          <w:rFonts w:hint="eastAsia"/>
        </w:rPr>
        <w:t>フォールバックレート：無担保コール</w:t>
      </w:r>
      <w:r>
        <w:rPr>
          <w:rFonts w:hint="eastAsia"/>
        </w:rPr>
        <w:t xml:space="preserve"> O/N </w:t>
      </w:r>
      <w:r>
        <w:rPr>
          <w:rFonts w:hint="eastAsia"/>
        </w:rPr>
        <w:t>物レート</w:t>
      </w:r>
      <w:r>
        <w:rPr>
          <w:rFonts w:hint="eastAsia"/>
        </w:rPr>
        <w:t xml:space="preserve"> RFR </w:t>
      </w:r>
      <w:r>
        <w:rPr>
          <w:rFonts w:hint="eastAsia"/>
        </w:rPr>
        <w:t>複利（後決め）</w:t>
      </w:r>
    </w:p>
    <w:p w14:paraId="0A852301" w14:textId="34A6399E" w:rsidR="00665CE8" w:rsidRPr="00665CE8" w:rsidRDefault="00665CE8" w:rsidP="00665CE8">
      <w:pPr>
        <w:pStyle w:val="a0"/>
        <w:ind w:leftChars="600" w:left="1260"/>
        <w:rPr>
          <w:rFonts w:hint="eastAsia"/>
        </w:rPr>
      </w:pPr>
      <w:r>
        <w:rPr>
          <w:rFonts w:hint="eastAsia"/>
        </w:rPr>
        <w:t>スプレッド調整：</w:t>
      </w:r>
      <w:r w:rsidRPr="00665CE8">
        <w:rPr>
          <w:rFonts w:hint="eastAsia"/>
        </w:rPr>
        <w:t>過去の平均値･中央値アプローチに</w:t>
      </w:r>
      <w:r>
        <w:rPr>
          <w:rFonts w:hint="eastAsia"/>
        </w:rPr>
        <w:t>賛同</w:t>
      </w:r>
    </w:p>
    <w:p w14:paraId="503EEDA4" w14:textId="08E40E3A" w:rsidR="00677FF7" w:rsidRDefault="00677FF7" w:rsidP="00DD0FF6"/>
    <w:p w14:paraId="30028496" w14:textId="33595AB2" w:rsidR="00665CE8" w:rsidRDefault="00665CE8" w:rsidP="00DD0FF6">
      <w:r>
        <w:rPr>
          <w:noProof/>
        </w:rPr>
        <w:drawing>
          <wp:inline distT="0" distB="0" distL="0" distR="0" wp14:anchorId="64316287" wp14:editId="7CF08CE0">
            <wp:extent cx="6645910" cy="4705985"/>
            <wp:effectExtent l="0" t="0" r="254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705985"/>
                    </a:xfrm>
                    <a:prstGeom prst="rect">
                      <a:avLst/>
                    </a:prstGeom>
                  </pic:spPr>
                </pic:pic>
              </a:graphicData>
            </a:graphic>
          </wp:inline>
        </w:drawing>
      </w:r>
    </w:p>
    <w:p w14:paraId="05F9391B" w14:textId="102CCDCF" w:rsidR="00665CE8" w:rsidRDefault="00665CE8" w:rsidP="00665CE8">
      <w:pPr>
        <w:pStyle w:val="a4"/>
        <w:jc w:val="center"/>
        <w:rPr>
          <w:rFonts w:hint="eastAsia"/>
        </w:rPr>
      </w:pPr>
      <w:r>
        <w:rPr>
          <w:rFonts w:hint="eastAsia"/>
        </w:rPr>
        <w:t>図表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図表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00C75B01">
        <w:rPr>
          <w:rFonts w:hint="eastAsia"/>
        </w:rPr>
        <w:t>商品ごとの影響まとめ（出所：大和総研資料）</w:t>
      </w:r>
    </w:p>
    <w:p w14:paraId="74B5931A" w14:textId="5C857288" w:rsidR="00665CE8" w:rsidRDefault="00665CE8" w:rsidP="00665CE8">
      <w:pPr>
        <w:pStyle w:val="2"/>
      </w:pPr>
      <w:r>
        <w:rPr>
          <w:rFonts w:hint="eastAsia"/>
        </w:rPr>
        <w:t>会計上の課題</w:t>
      </w:r>
    </w:p>
    <w:p w14:paraId="0687BFEC" w14:textId="47FEE18B" w:rsidR="00665CE8" w:rsidRPr="00665CE8" w:rsidRDefault="00665CE8" w:rsidP="00665CE8">
      <w:pPr>
        <w:rPr>
          <w:rFonts w:hint="eastAsia"/>
        </w:rPr>
      </w:pPr>
      <w:r>
        <w:rPr>
          <w:rFonts w:hint="eastAsia"/>
        </w:rPr>
        <w:t>ヘッジ会計の観点から課題はあるが，ここでは省略．</w:t>
      </w:r>
    </w:p>
    <w:p w14:paraId="4E7591DB" w14:textId="0E6457C8" w:rsidR="00677FF7" w:rsidRDefault="00677FF7" w:rsidP="00DD0FF6"/>
    <w:p w14:paraId="3A8840D7" w14:textId="182C3FE4" w:rsidR="0015597B" w:rsidRDefault="0015597B" w:rsidP="00DD0FF6"/>
    <w:p w14:paraId="7DA18D34" w14:textId="549B1017" w:rsidR="006C679B" w:rsidRDefault="006C679B" w:rsidP="00DD0FF6"/>
    <w:p w14:paraId="5BC5214A" w14:textId="15E277C0" w:rsidR="0015597B" w:rsidRDefault="0015597B" w:rsidP="0015597B">
      <w:pPr>
        <w:pStyle w:val="1"/>
      </w:pPr>
      <w:r>
        <w:rPr>
          <w:rFonts w:hint="eastAsia"/>
        </w:rPr>
        <w:t>デリバティブ価格への影響詳細</w:t>
      </w:r>
    </w:p>
    <w:p w14:paraId="2C18CC5B" w14:textId="6E08337B" w:rsidR="0015597B" w:rsidRDefault="003C4BF3" w:rsidP="0015597B">
      <w:r>
        <w:rPr>
          <w:rFonts w:hint="eastAsia"/>
        </w:rPr>
        <w:t xml:space="preserve">　</w:t>
      </w:r>
      <w:r w:rsidR="00450CDA">
        <w:rPr>
          <w:rFonts w:hint="eastAsia"/>
        </w:rPr>
        <w:t>田中・室町</w:t>
      </w:r>
      <w:r w:rsidR="00450CDA">
        <w:rPr>
          <w:rFonts w:hint="eastAsia"/>
        </w:rPr>
        <w:t>(2020)</w:t>
      </w:r>
      <w:r w:rsidR="00450CDA">
        <w:rPr>
          <w:rFonts w:hint="eastAsia"/>
        </w:rPr>
        <w:t>によると，後決め金利に変更となった場合，各商品への影響は下記の通り．</w:t>
      </w:r>
    </w:p>
    <w:p w14:paraId="050021A9" w14:textId="434AF592" w:rsidR="003C4BF3" w:rsidRDefault="00450CDA" w:rsidP="0015597B">
      <w:r>
        <w:rPr>
          <w:rFonts w:hint="eastAsia"/>
        </w:rPr>
        <w:t>・キャップ・フロア：付利期間中の金利変動も評価に加える必要</w:t>
      </w:r>
    </w:p>
    <w:p w14:paraId="2DBBC41F" w14:textId="3DAC71FE" w:rsidR="00450CDA" w:rsidRDefault="00450CDA" w:rsidP="0015597B">
      <w:pPr>
        <w:rPr>
          <w:rFonts w:hint="eastAsia"/>
        </w:rPr>
      </w:pPr>
      <w:r>
        <w:rPr>
          <w:rFonts w:hint="eastAsia"/>
        </w:rPr>
        <w:t>・金利スワップ：過去期間の</w:t>
      </w:r>
      <w:r>
        <w:rPr>
          <w:rFonts w:hint="eastAsia"/>
        </w:rPr>
        <w:t>ON</w:t>
      </w:r>
      <w:r>
        <w:rPr>
          <w:rFonts w:hint="eastAsia"/>
        </w:rPr>
        <w:t>金利の考慮を除けば，影響なし</w:t>
      </w:r>
    </w:p>
    <w:p w14:paraId="425C080B" w14:textId="3B4D5AEE" w:rsidR="003C4BF3" w:rsidRDefault="00450CDA" w:rsidP="0015597B">
      <w:r>
        <w:rPr>
          <w:rFonts w:hint="eastAsia"/>
        </w:rPr>
        <w:t>・スワップション：スワップ同様，影響なし</w:t>
      </w:r>
    </w:p>
    <w:p w14:paraId="13611156" w14:textId="77777777" w:rsidR="00450CDA" w:rsidRDefault="00450CDA" w:rsidP="0015597B">
      <w:pPr>
        <w:rPr>
          <w:rFonts w:hint="eastAsia"/>
        </w:rPr>
      </w:pPr>
    </w:p>
    <w:p w14:paraId="00201136" w14:textId="7DA4D595" w:rsidR="0015597B" w:rsidRDefault="0015597B" w:rsidP="0015597B">
      <w:r>
        <w:rPr>
          <w:rFonts w:hint="eastAsia"/>
        </w:rPr>
        <w:t>・現状</w:t>
      </w:r>
    </w:p>
    <w:p w14:paraId="2BB0256D" w14:textId="0F00A82C" w:rsidR="0015597B" w:rsidRDefault="0015597B" w:rsidP="0015597B">
      <w:r>
        <w:rPr>
          <w:rFonts w:hint="eastAsia"/>
        </w:rPr>
        <w:t>プロジェクションカーブ：</w:t>
      </w:r>
      <w:r>
        <w:rPr>
          <w:rFonts w:hint="eastAsia"/>
        </w:rPr>
        <w:t>LIBOR</w:t>
      </w:r>
      <w:r>
        <w:rPr>
          <w:rFonts w:hint="eastAsia"/>
        </w:rPr>
        <w:t>カーブ</w:t>
      </w:r>
    </w:p>
    <w:p w14:paraId="27405CC1" w14:textId="54D6FB06" w:rsidR="0015597B" w:rsidRDefault="0015597B" w:rsidP="0015597B">
      <w:r>
        <w:rPr>
          <w:rFonts w:hint="eastAsia"/>
        </w:rPr>
        <w:t>ディスカウントカーブ：</w:t>
      </w:r>
      <w:r>
        <w:rPr>
          <w:rFonts w:hint="eastAsia"/>
        </w:rPr>
        <w:t>OIS</w:t>
      </w:r>
      <w:r>
        <w:rPr>
          <w:rFonts w:hint="eastAsia"/>
        </w:rPr>
        <w:t>カーブ</w:t>
      </w:r>
    </w:p>
    <w:p w14:paraId="5668F93C" w14:textId="33481C79" w:rsidR="0015597B" w:rsidRDefault="0015597B" w:rsidP="0015597B">
      <w:r>
        <w:rPr>
          <w:rFonts w:hint="eastAsia"/>
        </w:rPr>
        <w:t>・廃止後</w:t>
      </w:r>
    </w:p>
    <w:p w14:paraId="70790E51" w14:textId="525D4844" w:rsidR="0015597B" w:rsidRDefault="0015597B" w:rsidP="0015597B">
      <w:r>
        <w:rPr>
          <w:rFonts w:hint="eastAsia"/>
        </w:rPr>
        <w:t>プロジェクションカーブ：代替金利指標カーブ（</w:t>
      </w:r>
      <w:r>
        <w:rPr>
          <w:rFonts w:hint="eastAsia"/>
        </w:rPr>
        <w:t>TONA</w:t>
      </w:r>
      <w:r>
        <w:rPr>
          <w:rFonts w:hint="eastAsia"/>
        </w:rPr>
        <w:t>複利後決め，</w:t>
      </w:r>
      <w:r>
        <w:rPr>
          <w:rFonts w:hint="eastAsia"/>
        </w:rPr>
        <w:t>TORF</w:t>
      </w:r>
      <w:r>
        <w:rPr>
          <w:rFonts w:hint="eastAsia"/>
        </w:rPr>
        <w:t>が有力）</w:t>
      </w:r>
    </w:p>
    <w:p w14:paraId="6D2C139B" w14:textId="153859F7" w:rsidR="0015597B" w:rsidRDefault="0015597B" w:rsidP="0015597B">
      <w:r>
        <w:rPr>
          <w:rFonts w:hint="eastAsia"/>
        </w:rPr>
        <w:t>ディスカウントカーブ：</w:t>
      </w:r>
      <w:r>
        <w:rPr>
          <w:rFonts w:hint="eastAsia"/>
        </w:rPr>
        <w:t>OIS</w:t>
      </w:r>
      <w:r>
        <w:rPr>
          <w:rFonts w:hint="eastAsia"/>
        </w:rPr>
        <w:t>カーブ</w:t>
      </w:r>
    </w:p>
    <w:p w14:paraId="2DE01D84" w14:textId="1082F96E" w:rsidR="0093552E" w:rsidRDefault="0093552E" w:rsidP="0015597B"/>
    <w:p w14:paraId="0BA7A590" w14:textId="3C86FB07" w:rsidR="0093552E" w:rsidRDefault="0093552E" w:rsidP="0093552E">
      <w:pPr>
        <w:pStyle w:val="1"/>
        <w:rPr>
          <w:rFonts w:hint="eastAsia"/>
        </w:rPr>
      </w:pPr>
      <w:r>
        <w:rPr>
          <w:rFonts w:hint="eastAsia"/>
        </w:rPr>
        <w:t>参考文献</w:t>
      </w:r>
    </w:p>
    <w:p w14:paraId="3E351DD5" w14:textId="77777777" w:rsidR="0093552E" w:rsidRDefault="0093552E" w:rsidP="0093552E">
      <w:r>
        <w:rPr>
          <w:rFonts w:hint="eastAsia"/>
        </w:rPr>
        <w:lastRenderedPageBreak/>
        <w:t>・日本円金利指標に関する検討委員会</w:t>
      </w:r>
    </w:p>
    <w:p w14:paraId="16C655B7" w14:textId="77777777" w:rsidR="0093552E" w:rsidRDefault="0093552E" w:rsidP="0093552E">
      <w:hyperlink r:id="rId14" w:history="1">
        <w:r w:rsidRPr="004465A9">
          <w:rPr>
            <w:rStyle w:val="a5"/>
          </w:rPr>
          <w:t>https://www.boj.or.jp/paym/market/jpy_cmte/index.htm/</w:t>
        </w:r>
      </w:hyperlink>
    </w:p>
    <w:p w14:paraId="51D2FF15" w14:textId="77777777" w:rsidR="0093552E" w:rsidRDefault="0093552E" w:rsidP="0093552E">
      <w:r>
        <w:rPr>
          <w:rFonts w:hint="eastAsia"/>
        </w:rPr>
        <w:t>・大和総研資料</w:t>
      </w:r>
    </w:p>
    <w:p w14:paraId="2690ABE9" w14:textId="77777777" w:rsidR="0093552E" w:rsidRDefault="0093552E" w:rsidP="0093552E">
      <w:hyperlink r:id="rId15" w:history="1">
        <w:r w:rsidRPr="004465A9">
          <w:rPr>
            <w:rStyle w:val="a5"/>
          </w:rPr>
          <w:t>https://www.dir.co.jp/report/research/law-research/regulation/20200131_021295.pdf</w:t>
        </w:r>
      </w:hyperlink>
    </w:p>
    <w:p w14:paraId="4D69EF34" w14:textId="50776C4F" w:rsidR="0093552E" w:rsidRDefault="0093552E" w:rsidP="0015597B">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田中隆司</w:t>
      </w:r>
      <w:r>
        <w:rPr>
          <w:rFonts w:ascii="Arial" w:hAnsi="Arial" w:cs="Arial"/>
          <w:color w:val="222222"/>
          <w:sz w:val="20"/>
          <w:szCs w:val="20"/>
          <w:shd w:val="clear" w:color="auto" w:fill="FFFFFF"/>
        </w:rPr>
        <w:t xml:space="preserve">, &amp; </w:t>
      </w:r>
      <w:r>
        <w:rPr>
          <w:rFonts w:ascii="Arial" w:hAnsi="Arial" w:cs="Arial"/>
          <w:color w:val="222222"/>
          <w:sz w:val="20"/>
          <w:szCs w:val="20"/>
          <w:shd w:val="clear" w:color="auto" w:fill="FFFFFF"/>
        </w:rPr>
        <w:t>室町幸雄</w:t>
      </w:r>
      <w:r>
        <w:rPr>
          <w:rFonts w:ascii="Arial" w:hAnsi="Arial" w:cs="Arial"/>
          <w:color w:val="222222"/>
          <w:sz w:val="20"/>
          <w:szCs w:val="20"/>
          <w:shd w:val="clear" w:color="auto" w:fill="FFFFFF"/>
        </w:rPr>
        <w:t xml:space="preserve">. (2020). LIBOR </w:t>
      </w:r>
      <w:r>
        <w:rPr>
          <w:rFonts w:ascii="Arial" w:hAnsi="Arial" w:cs="Arial"/>
          <w:color w:val="222222"/>
          <w:sz w:val="20"/>
          <w:szCs w:val="20"/>
          <w:shd w:val="clear" w:color="auto" w:fill="FFFFFF"/>
        </w:rPr>
        <w:t>廃止後の金利デリバティブと金利環境</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マルチカーブ環境に関する理論的な視点から</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特集</w:t>
      </w:r>
      <w:r>
        <w:rPr>
          <w:rFonts w:ascii="Arial" w:hAnsi="Arial" w:cs="Arial"/>
          <w:color w:val="222222"/>
          <w:sz w:val="20"/>
          <w:szCs w:val="20"/>
          <w:shd w:val="clear" w:color="auto" w:fill="FFFFFF"/>
        </w:rPr>
        <w:t xml:space="preserve"> LIBOR </w:t>
      </w:r>
      <w:r>
        <w:rPr>
          <w:rFonts w:ascii="Arial" w:hAnsi="Arial" w:cs="Arial"/>
          <w:color w:val="222222"/>
          <w:sz w:val="20"/>
          <w:szCs w:val="20"/>
          <w:shd w:val="clear" w:color="auto" w:fill="FFFFFF"/>
        </w:rPr>
        <w:t>廃止とその課題</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証券アナリストジャーナル</w:t>
      </w:r>
      <w:r>
        <w:rPr>
          <w:rFonts w:ascii="Arial" w:hAnsi="Arial" w:cs="Arial"/>
          <w:i/>
          <w:iCs/>
          <w:color w:val="222222"/>
          <w:sz w:val="20"/>
          <w:szCs w:val="20"/>
          <w:shd w:val="clear" w:color="auto" w:fill="FFFFFF"/>
        </w:rPr>
        <w:t>= Securities analysts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58</w:t>
      </w:r>
      <w:r>
        <w:rPr>
          <w:rFonts w:ascii="Arial" w:hAnsi="Arial" w:cs="Arial"/>
          <w:color w:val="222222"/>
          <w:sz w:val="20"/>
          <w:szCs w:val="20"/>
          <w:shd w:val="clear" w:color="auto" w:fill="FFFFFF"/>
        </w:rPr>
        <w:t>(12), 16-26.</w:t>
      </w:r>
    </w:p>
    <w:p w14:paraId="5FCED597" w14:textId="77777777" w:rsidR="0093552E" w:rsidRPr="0015597B" w:rsidRDefault="0093552E" w:rsidP="0015597B">
      <w:pPr>
        <w:rPr>
          <w:rFonts w:hint="eastAsia"/>
        </w:rPr>
      </w:pPr>
    </w:p>
    <w:sectPr w:rsidR="0093552E" w:rsidRPr="0015597B" w:rsidSect="009B5315">
      <w:pgSz w:w="11906" w:h="16838"/>
      <w:pgMar w:top="720" w:right="720" w:bottom="720" w:left="72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柴原 聖大" w:date="2021-05-23T18:46:00Z" w:initials="柴原">
    <w:p w14:paraId="4E67678C" w14:textId="02837D24" w:rsidR="00785CD0" w:rsidRDefault="00785CD0">
      <w:pPr>
        <w:pStyle w:val="a8"/>
        <w:rPr>
          <w:rFonts w:hint="eastAsia"/>
        </w:rPr>
      </w:pPr>
      <w:r>
        <w:rPr>
          <w:rStyle w:val="a7"/>
        </w:rPr>
        <w:annotationRef/>
      </w:r>
      <w:r>
        <w:rPr>
          <w:rFonts w:hint="eastAsia"/>
        </w:rPr>
        <w:t>FT</w:t>
      </w:r>
      <w:r>
        <w:rPr>
          <w:rFonts w:hint="eastAsia"/>
        </w:rPr>
        <w:t>の業務にかかわるのは，現状デリバティブがメインだと思われるが，把握しておくことは大事だと思われる．</w:t>
      </w:r>
    </w:p>
  </w:comment>
  <w:comment w:id="1" w:author="柴原 聖大" w:date="2021-05-23T18:54:00Z" w:initials="柴原">
    <w:p w14:paraId="15FE73FD" w14:textId="3721697C" w:rsidR="00785CD0" w:rsidRDefault="00785CD0">
      <w:pPr>
        <w:pStyle w:val="a8"/>
      </w:pPr>
      <w:r>
        <w:rPr>
          <w:rStyle w:val="a7"/>
        </w:rPr>
        <w:annotationRef/>
      </w:r>
      <w:r>
        <w:rPr>
          <w:rFonts w:hint="eastAsia"/>
        </w:rPr>
        <w:t>初めて聞いた．</w:t>
      </w:r>
      <w:r>
        <w:rPr>
          <w:rFonts w:hint="eastAsia"/>
        </w:rPr>
        <w:t>DL</w:t>
      </w:r>
      <w:r>
        <w:rPr>
          <w:rFonts w:hint="eastAsia"/>
        </w:rPr>
        <w:t>の扱う金利スワップはこれに該当するのか？</w:t>
      </w:r>
    </w:p>
  </w:comment>
  <w:comment w:id="2" w:author="柴原 聖大" w:date="2021-05-23T18:57:00Z" w:initials="柴原">
    <w:p w14:paraId="7DCED554" w14:textId="69449B8F" w:rsidR="00785CD0" w:rsidRDefault="00785CD0">
      <w:pPr>
        <w:pStyle w:val="a8"/>
      </w:pPr>
      <w:r>
        <w:rPr>
          <w:rStyle w:val="a7"/>
        </w:rPr>
        <w:annotationRef/>
      </w:r>
      <w:r>
        <w:rPr>
          <w:rFonts w:hint="eastAsia"/>
        </w:rPr>
        <w:t>既に適用済み？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67678C" w15:done="0"/>
  <w15:commentEx w15:paraId="15FE73FD" w15:done="0"/>
  <w15:commentEx w15:paraId="7DCED5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52176" w16cex:dateUtc="2021-05-23T09:46:00Z"/>
  <w16cex:commentExtensible w16cex:durableId="24552351" w16cex:dateUtc="2021-05-23T09:54:00Z"/>
  <w16cex:commentExtensible w16cex:durableId="24552413" w16cex:dateUtc="2021-05-23T0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67678C" w16cid:durableId="24552176"/>
  <w16cid:commentId w16cid:paraId="15FE73FD" w16cid:durableId="24552351"/>
  <w16cid:commentId w16cid:paraId="7DCED554" w16cid:durableId="24552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9054A" w14:textId="77777777" w:rsidR="00785CD0" w:rsidRDefault="00785CD0" w:rsidP="00785CD0">
      <w:r>
        <w:separator/>
      </w:r>
    </w:p>
  </w:endnote>
  <w:endnote w:type="continuationSeparator" w:id="0">
    <w:p w14:paraId="45062B38" w14:textId="77777777" w:rsidR="00785CD0" w:rsidRDefault="00785CD0" w:rsidP="00785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BCB13" w14:textId="77777777" w:rsidR="00785CD0" w:rsidRDefault="00785CD0" w:rsidP="00785CD0">
      <w:r>
        <w:separator/>
      </w:r>
    </w:p>
  </w:footnote>
  <w:footnote w:type="continuationSeparator" w:id="0">
    <w:p w14:paraId="0BE086DC" w14:textId="77777777" w:rsidR="00785CD0" w:rsidRDefault="00785CD0" w:rsidP="00785CD0">
      <w:r>
        <w:continuationSeparator/>
      </w:r>
    </w:p>
  </w:footnote>
  <w:footnote w:id="1">
    <w:p w14:paraId="55A014D3" w14:textId="1E7B73EA" w:rsidR="00785CD0" w:rsidRDefault="00785CD0" w:rsidP="00785CD0">
      <w:pPr>
        <w:pStyle w:val="ac"/>
        <w:rPr>
          <w:rFonts w:hint="eastAsia"/>
        </w:rPr>
      </w:pPr>
      <w:r w:rsidRPr="00785CD0">
        <w:rPr>
          <w:rStyle w:val="ae"/>
          <w:sz w:val="18"/>
          <w:szCs w:val="20"/>
        </w:rPr>
        <w:footnoteRef/>
      </w:r>
      <w:r w:rsidRPr="00785CD0">
        <w:rPr>
          <w:sz w:val="18"/>
          <w:szCs w:val="20"/>
        </w:rPr>
        <w:t xml:space="preserve"> </w:t>
      </w:r>
      <w:r w:rsidRPr="00785CD0">
        <w:rPr>
          <w:rFonts w:hint="eastAsia"/>
          <w:sz w:val="18"/>
          <w:szCs w:val="20"/>
        </w:rPr>
        <w:t>貸出･債券（ヘッジ対象）の損益とデリバティブ取引（ヘッジ手段）の損益の計上時期を合わせること</w:t>
      </w:r>
      <w:r>
        <w:rPr>
          <w:rFonts w:hint="eastAsia"/>
          <w:sz w:val="18"/>
          <w:szCs w:val="20"/>
        </w:rPr>
        <w:t>．</w:t>
      </w:r>
      <w:r w:rsidRPr="00785CD0">
        <w:rPr>
          <w:rFonts w:hint="eastAsia"/>
          <w:sz w:val="18"/>
          <w:szCs w:val="20"/>
        </w:rPr>
        <w:t>ヘッジ会計の要件を満たすには</w:t>
      </w:r>
      <w:r>
        <w:rPr>
          <w:rFonts w:hint="eastAsia"/>
          <w:sz w:val="18"/>
          <w:szCs w:val="20"/>
        </w:rPr>
        <w:t>，</w:t>
      </w:r>
      <w:r w:rsidRPr="00785CD0">
        <w:rPr>
          <w:rFonts w:hint="eastAsia"/>
          <w:sz w:val="18"/>
          <w:szCs w:val="20"/>
        </w:rPr>
        <w:t>ヘッジ対象である資産･負債（貸出･債券）と</w:t>
      </w:r>
      <w:r>
        <w:rPr>
          <w:rFonts w:hint="eastAsia"/>
          <w:sz w:val="18"/>
          <w:szCs w:val="20"/>
        </w:rPr>
        <w:t>，</w:t>
      </w:r>
      <w:r w:rsidRPr="00785CD0">
        <w:rPr>
          <w:rFonts w:hint="eastAsia"/>
          <w:sz w:val="18"/>
          <w:szCs w:val="20"/>
        </w:rPr>
        <w:t>ヘッジ手段であるデリバティブ取引の間で</w:t>
      </w:r>
      <w:r>
        <w:rPr>
          <w:rFonts w:hint="eastAsia"/>
          <w:sz w:val="18"/>
          <w:szCs w:val="20"/>
        </w:rPr>
        <w:t>，</w:t>
      </w:r>
      <w:r w:rsidRPr="00785CD0">
        <w:rPr>
          <w:rFonts w:hint="eastAsia"/>
          <w:sz w:val="18"/>
          <w:szCs w:val="20"/>
        </w:rPr>
        <w:t>基本的に同種の金利指標を参照する必要がある</w:t>
      </w:r>
      <w:r>
        <w:rPr>
          <w:rFonts w:hint="eastAsia"/>
          <w:sz w:val="18"/>
          <w:szCs w:val="20"/>
        </w:rPr>
        <w:t>．</w:t>
      </w:r>
    </w:p>
  </w:footnote>
  <w:footnote w:id="2">
    <w:p w14:paraId="4B5254AD" w14:textId="111902A9" w:rsidR="00677FF7" w:rsidRDefault="00677FF7">
      <w:pPr>
        <w:pStyle w:val="ac"/>
        <w:rPr>
          <w:rFonts w:hint="eastAsia"/>
        </w:rPr>
      </w:pPr>
      <w:r w:rsidRPr="00677FF7">
        <w:rPr>
          <w:rStyle w:val="ae"/>
          <w:sz w:val="18"/>
          <w:szCs w:val="20"/>
        </w:rPr>
        <w:footnoteRef/>
      </w:r>
      <w:r w:rsidRPr="00677FF7">
        <w:rPr>
          <w:sz w:val="18"/>
          <w:szCs w:val="20"/>
        </w:rPr>
        <w:t xml:space="preserve"> </w:t>
      </w:r>
      <w:r w:rsidRPr="00677FF7">
        <w:rPr>
          <w:sz w:val="18"/>
          <w:szCs w:val="20"/>
        </w:rPr>
        <w:t xml:space="preserve">ISDA </w:t>
      </w:r>
      <w:r w:rsidRPr="00677FF7">
        <w:rPr>
          <w:sz w:val="18"/>
          <w:szCs w:val="20"/>
        </w:rPr>
        <w:t>ウェブサイト（</w:t>
      </w:r>
      <w:r w:rsidRPr="00677FF7">
        <w:rPr>
          <w:sz w:val="18"/>
          <w:szCs w:val="20"/>
        </w:rPr>
        <w:t xml:space="preserve">2018 </w:t>
      </w:r>
      <w:r w:rsidRPr="00677FF7">
        <w:rPr>
          <w:sz w:val="18"/>
          <w:szCs w:val="20"/>
        </w:rPr>
        <w:t>年</w:t>
      </w:r>
      <w:r w:rsidRPr="00677FF7">
        <w:rPr>
          <w:sz w:val="18"/>
          <w:szCs w:val="20"/>
        </w:rPr>
        <w:t xml:space="preserve"> 7 </w:t>
      </w:r>
      <w:r w:rsidRPr="00677FF7">
        <w:rPr>
          <w:sz w:val="18"/>
          <w:szCs w:val="20"/>
        </w:rPr>
        <w:t>月分（</w:t>
      </w:r>
      <w:r w:rsidRPr="00677FF7">
        <w:rPr>
          <w:sz w:val="18"/>
          <w:szCs w:val="20"/>
        </w:rPr>
        <w:t>https://www.isda.org/2018/07/12/interbank-offered-rate-iborfallbacks-for-2006-isda-definitions/</w:t>
      </w:r>
      <w:r w:rsidRPr="00677FF7">
        <w:rPr>
          <w:sz w:val="18"/>
          <w:szCs w:val="20"/>
        </w:rPr>
        <w:t>）</w:t>
      </w:r>
      <w:r>
        <w:rPr>
          <w:rFonts w:hint="eastAsia"/>
          <w:sz w:val="18"/>
          <w:szCs w:val="20"/>
        </w:rPr>
        <w:t>，</w:t>
      </w:r>
      <w:r w:rsidRPr="00677FF7">
        <w:rPr>
          <w:sz w:val="18"/>
          <w:szCs w:val="20"/>
        </w:rPr>
        <w:t xml:space="preserve">2019 </w:t>
      </w:r>
      <w:r w:rsidRPr="00677FF7">
        <w:rPr>
          <w:sz w:val="18"/>
          <w:szCs w:val="20"/>
        </w:rPr>
        <w:t>年</w:t>
      </w:r>
      <w:r w:rsidRPr="00677FF7">
        <w:rPr>
          <w:sz w:val="18"/>
          <w:szCs w:val="20"/>
        </w:rPr>
        <w:t xml:space="preserve"> 9 </w:t>
      </w:r>
      <w:r w:rsidRPr="00677FF7">
        <w:rPr>
          <w:sz w:val="18"/>
          <w:szCs w:val="20"/>
        </w:rPr>
        <w:t>月分（</w:t>
      </w:r>
      <w:r w:rsidRPr="00677FF7">
        <w:rPr>
          <w:sz w:val="18"/>
          <w:szCs w:val="20"/>
        </w:rPr>
        <w:t>https://www.isda.org/2019/09/18/september2019-consultation-on-final-parameters/</w:t>
      </w:r>
      <w:r w:rsidRPr="00677FF7">
        <w:rPr>
          <w:sz w:val="18"/>
          <w:szCs w:val="20"/>
        </w:rPr>
        <w:t>））参照</w:t>
      </w:r>
      <w:r>
        <w:rPr>
          <w:rFonts w:hint="eastAsia"/>
          <w:sz w:val="18"/>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BC6"/>
    <w:multiLevelType w:val="hybridMultilevel"/>
    <w:tmpl w:val="9552119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6185B6A"/>
    <w:multiLevelType w:val="hybridMultilevel"/>
    <w:tmpl w:val="DE1436FC"/>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36D701B8"/>
    <w:multiLevelType w:val="hybridMultilevel"/>
    <w:tmpl w:val="FE20DF9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3321714"/>
    <w:multiLevelType w:val="multilevel"/>
    <w:tmpl w:val="9A4018C8"/>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9306225"/>
    <w:multiLevelType w:val="hybridMultilevel"/>
    <w:tmpl w:val="BDCCCD38"/>
    <w:lvl w:ilvl="0" w:tplc="FA96114C">
      <w:start w:val="1"/>
      <w:numFmt w:val="decimal"/>
      <w:lvlText w:val="(%1)."/>
      <w:lvlJc w:val="left"/>
      <w:pPr>
        <w:ind w:left="840" w:hanging="420"/>
      </w:pPr>
      <w:rPr>
        <w:rFonts w:hint="eastAsia"/>
      </w:rPr>
    </w:lvl>
    <w:lvl w:ilvl="1" w:tplc="0409000B">
      <w:start w:val="1"/>
      <w:numFmt w:val="bullet"/>
      <w:lvlText w:val=""/>
      <w:lvlJc w:val="left"/>
      <w:pPr>
        <w:ind w:left="1260" w:hanging="420"/>
      </w:pPr>
      <w:rPr>
        <w:rFonts w:ascii="Wingdings" w:hAnsi="Wingding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5E163AE5"/>
    <w:multiLevelType w:val="hybridMultilevel"/>
    <w:tmpl w:val="D46E04A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 w15:restartNumberingAfterBreak="0">
    <w:nsid w:val="65431AFB"/>
    <w:multiLevelType w:val="hybridMultilevel"/>
    <w:tmpl w:val="715A154A"/>
    <w:lvl w:ilvl="0" w:tplc="50541C3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6A493C8D"/>
    <w:multiLevelType w:val="hybridMultilevel"/>
    <w:tmpl w:val="3DD47D3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7"/>
  </w:num>
  <w:num w:numId="4">
    <w:abstractNumId w:val="1"/>
  </w:num>
  <w:num w:numId="5">
    <w:abstractNumId w:val="2"/>
  </w:num>
  <w:num w:numId="6">
    <w:abstractNumId w:val="6"/>
  </w:num>
  <w:num w:numId="7">
    <w:abstractNumId w:val="4"/>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柴原 聖大">
    <w15:presenceInfo w15:providerId="Windows Live" w15:userId="be520e513ca46f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315"/>
    <w:rsid w:val="000F2307"/>
    <w:rsid w:val="0015597B"/>
    <w:rsid w:val="002F4A71"/>
    <w:rsid w:val="003B7A6C"/>
    <w:rsid w:val="003C4BF3"/>
    <w:rsid w:val="00450CDA"/>
    <w:rsid w:val="004F3252"/>
    <w:rsid w:val="005929CE"/>
    <w:rsid w:val="005C1FBC"/>
    <w:rsid w:val="005E3CDA"/>
    <w:rsid w:val="0061461E"/>
    <w:rsid w:val="00665CE8"/>
    <w:rsid w:val="00677FF7"/>
    <w:rsid w:val="006C679B"/>
    <w:rsid w:val="00713865"/>
    <w:rsid w:val="00746308"/>
    <w:rsid w:val="00785CD0"/>
    <w:rsid w:val="0093552E"/>
    <w:rsid w:val="009B5315"/>
    <w:rsid w:val="00A57325"/>
    <w:rsid w:val="00AE77B6"/>
    <w:rsid w:val="00BC180F"/>
    <w:rsid w:val="00BF4A69"/>
    <w:rsid w:val="00C75B01"/>
    <w:rsid w:val="00CB5DA0"/>
    <w:rsid w:val="00CD1FB3"/>
    <w:rsid w:val="00DC374E"/>
    <w:rsid w:val="00DD0FF6"/>
    <w:rsid w:val="00E4344C"/>
    <w:rsid w:val="00FC43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255AB4"/>
  <w15:chartTrackingRefBased/>
  <w15:docId w15:val="{FB772D91-2143-483F-8AE9-E3A48C60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9B5315"/>
    <w:pPr>
      <w:numPr>
        <w:numId w:val="1"/>
      </w:numPr>
      <w:ind w:leftChars="0"/>
      <w:outlineLvl w:val="0"/>
    </w:pPr>
    <w:rPr>
      <w:b/>
      <w:bCs/>
      <w:sz w:val="24"/>
      <w:szCs w:val="28"/>
    </w:rPr>
  </w:style>
  <w:style w:type="paragraph" w:styleId="2">
    <w:name w:val="heading 2"/>
    <w:basedOn w:val="1"/>
    <w:next w:val="a"/>
    <w:link w:val="20"/>
    <w:uiPriority w:val="9"/>
    <w:unhideWhenUsed/>
    <w:qFormat/>
    <w:rsid w:val="005C1FBC"/>
    <w:pPr>
      <w:numPr>
        <w:ilvl w:val="1"/>
      </w:numPr>
      <w:outlineLvl w:val="1"/>
    </w:pPr>
    <w:rPr>
      <w:rFonts w:cs="ＭＳ 明朝"/>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9B5315"/>
    <w:pPr>
      <w:ind w:leftChars="400" w:left="840"/>
    </w:pPr>
  </w:style>
  <w:style w:type="character" w:customStyle="1" w:styleId="10">
    <w:name w:val="見出し 1 (文字)"/>
    <w:basedOn w:val="a1"/>
    <w:link w:val="1"/>
    <w:uiPriority w:val="9"/>
    <w:rsid w:val="009B5315"/>
    <w:rPr>
      <w:b/>
      <w:bCs/>
      <w:sz w:val="24"/>
      <w:szCs w:val="28"/>
    </w:rPr>
  </w:style>
  <w:style w:type="paragraph" w:styleId="a4">
    <w:name w:val="caption"/>
    <w:basedOn w:val="a"/>
    <w:next w:val="a"/>
    <w:uiPriority w:val="35"/>
    <w:unhideWhenUsed/>
    <w:qFormat/>
    <w:rsid w:val="009B5315"/>
    <w:rPr>
      <w:b/>
      <w:bCs/>
      <w:szCs w:val="21"/>
    </w:rPr>
  </w:style>
  <w:style w:type="character" w:customStyle="1" w:styleId="20">
    <w:name w:val="見出し 2 (文字)"/>
    <w:basedOn w:val="a1"/>
    <w:link w:val="2"/>
    <w:uiPriority w:val="9"/>
    <w:rsid w:val="005C1FBC"/>
    <w:rPr>
      <w:rFonts w:cs="ＭＳ 明朝"/>
      <w:b/>
      <w:bCs/>
      <w:sz w:val="24"/>
      <w:szCs w:val="28"/>
    </w:rPr>
  </w:style>
  <w:style w:type="character" w:styleId="a5">
    <w:name w:val="Hyperlink"/>
    <w:basedOn w:val="a1"/>
    <w:uiPriority w:val="99"/>
    <w:unhideWhenUsed/>
    <w:rsid w:val="006C679B"/>
    <w:rPr>
      <w:color w:val="0563C1" w:themeColor="hyperlink"/>
      <w:u w:val="single"/>
    </w:rPr>
  </w:style>
  <w:style w:type="character" w:styleId="a6">
    <w:name w:val="Unresolved Mention"/>
    <w:basedOn w:val="a1"/>
    <w:uiPriority w:val="99"/>
    <w:semiHidden/>
    <w:unhideWhenUsed/>
    <w:rsid w:val="006C679B"/>
    <w:rPr>
      <w:color w:val="605E5C"/>
      <w:shd w:val="clear" w:color="auto" w:fill="E1DFDD"/>
    </w:rPr>
  </w:style>
  <w:style w:type="character" w:styleId="a7">
    <w:name w:val="annotation reference"/>
    <w:basedOn w:val="a1"/>
    <w:uiPriority w:val="99"/>
    <w:semiHidden/>
    <w:unhideWhenUsed/>
    <w:rsid w:val="00785CD0"/>
    <w:rPr>
      <w:sz w:val="18"/>
      <w:szCs w:val="18"/>
    </w:rPr>
  </w:style>
  <w:style w:type="paragraph" w:styleId="a8">
    <w:name w:val="annotation text"/>
    <w:basedOn w:val="a"/>
    <w:link w:val="a9"/>
    <w:uiPriority w:val="99"/>
    <w:semiHidden/>
    <w:unhideWhenUsed/>
    <w:rsid w:val="00785CD0"/>
    <w:pPr>
      <w:jc w:val="left"/>
    </w:pPr>
  </w:style>
  <w:style w:type="character" w:customStyle="1" w:styleId="a9">
    <w:name w:val="コメント文字列 (文字)"/>
    <w:basedOn w:val="a1"/>
    <w:link w:val="a8"/>
    <w:uiPriority w:val="99"/>
    <w:semiHidden/>
    <w:rsid w:val="00785CD0"/>
  </w:style>
  <w:style w:type="paragraph" w:styleId="aa">
    <w:name w:val="annotation subject"/>
    <w:basedOn w:val="a8"/>
    <w:next w:val="a8"/>
    <w:link w:val="ab"/>
    <w:uiPriority w:val="99"/>
    <w:semiHidden/>
    <w:unhideWhenUsed/>
    <w:rsid w:val="00785CD0"/>
    <w:rPr>
      <w:b/>
      <w:bCs/>
    </w:rPr>
  </w:style>
  <w:style w:type="character" w:customStyle="1" w:styleId="ab">
    <w:name w:val="コメント内容 (文字)"/>
    <w:basedOn w:val="a9"/>
    <w:link w:val="aa"/>
    <w:uiPriority w:val="99"/>
    <w:semiHidden/>
    <w:rsid w:val="00785CD0"/>
    <w:rPr>
      <w:b/>
      <w:bCs/>
    </w:rPr>
  </w:style>
  <w:style w:type="paragraph" w:styleId="ac">
    <w:name w:val="footnote text"/>
    <w:basedOn w:val="a"/>
    <w:link w:val="ad"/>
    <w:uiPriority w:val="99"/>
    <w:semiHidden/>
    <w:unhideWhenUsed/>
    <w:rsid w:val="00785CD0"/>
    <w:pPr>
      <w:snapToGrid w:val="0"/>
      <w:jc w:val="left"/>
    </w:pPr>
  </w:style>
  <w:style w:type="character" w:customStyle="1" w:styleId="ad">
    <w:name w:val="脚注文字列 (文字)"/>
    <w:basedOn w:val="a1"/>
    <w:link w:val="ac"/>
    <w:uiPriority w:val="99"/>
    <w:semiHidden/>
    <w:rsid w:val="00785CD0"/>
  </w:style>
  <w:style w:type="character" w:styleId="ae">
    <w:name w:val="footnote reference"/>
    <w:basedOn w:val="a1"/>
    <w:uiPriority w:val="99"/>
    <w:semiHidden/>
    <w:unhideWhenUsed/>
    <w:rsid w:val="00785C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dir.co.jp/report/research/law-research/regulation/20200131_021295.pdf" TargetMode="Externa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boj.or.jp/paym/market/jpy_cmte/index.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A2591-5BCB-4769-9AF4-915E04667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5</Pages>
  <Words>588</Words>
  <Characters>3353</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柴原 聖大</dc:creator>
  <cp:keywords/>
  <dc:description/>
  <cp:lastModifiedBy>柴原 聖大</cp:lastModifiedBy>
  <cp:revision>11</cp:revision>
  <dcterms:created xsi:type="dcterms:W3CDTF">2021-05-23T04:13:00Z</dcterms:created>
  <dcterms:modified xsi:type="dcterms:W3CDTF">2021-05-23T12:19:00Z</dcterms:modified>
</cp:coreProperties>
</file>