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FC7AE" w14:textId="3F501467" w:rsidR="00252791" w:rsidRPr="00E354CE" w:rsidRDefault="006F0AF6" w:rsidP="006F0AF6">
      <w:pPr>
        <w:jc w:val="center"/>
        <w:rPr>
          <w:b/>
          <w:bCs/>
          <w:sz w:val="28"/>
          <w:szCs w:val="32"/>
        </w:rPr>
      </w:pPr>
      <w:r w:rsidRPr="00E354CE">
        <w:rPr>
          <w:rFonts w:hint="eastAsia"/>
          <w:b/>
          <w:bCs/>
          <w:sz w:val="28"/>
          <w:szCs w:val="32"/>
        </w:rPr>
        <w:t>勉強会資料</w:t>
      </w:r>
      <w:r w:rsidRPr="00E354CE">
        <w:rPr>
          <w:rFonts w:hint="eastAsia"/>
          <w:b/>
          <w:bCs/>
          <w:sz w:val="28"/>
          <w:szCs w:val="32"/>
        </w:rPr>
        <w:t xml:space="preserve"> </w:t>
      </w:r>
      <w:r w:rsidRPr="00E354CE">
        <w:rPr>
          <w:rFonts w:hint="eastAsia"/>
          <w:b/>
          <w:bCs/>
          <w:sz w:val="28"/>
          <w:szCs w:val="32"/>
        </w:rPr>
        <w:t>マルチカーブのもとでわかるハル・ホワイト・モデル</w:t>
      </w:r>
    </w:p>
    <w:p w14:paraId="51AD6636" w14:textId="04370DC6" w:rsidR="006F0AF6" w:rsidRPr="006F0AF6" w:rsidRDefault="006F0AF6" w:rsidP="006F0AF6">
      <w:pPr>
        <w:jc w:val="center"/>
      </w:pPr>
    </w:p>
    <w:p w14:paraId="4F180479" w14:textId="2B0DCF6C" w:rsidR="006F0AF6" w:rsidRDefault="006F0AF6" w:rsidP="006F0AF6">
      <w:pPr>
        <w:pStyle w:val="1"/>
      </w:pPr>
      <w:r w:rsidRPr="006F0AF6">
        <w:rPr>
          <w:rFonts w:hint="eastAsia"/>
        </w:rPr>
        <w:t>ハル・ホワイト・モデル</w:t>
      </w:r>
    </w:p>
    <w:p w14:paraId="4BDB24C5" w14:textId="58B404D4" w:rsidR="006F0AF6" w:rsidRDefault="006F0AF6" w:rsidP="001B45CB">
      <w:pPr>
        <w:pStyle w:val="2"/>
        <w:numPr>
          <w:ilvl w:val="1"/>
          <w:numId w:val="2"/>
        </w:numPr>
      </w:pPr>
      <w:r>
        <w:rPr>
          <w:rFonts w:hint="eastAsia"/>
        </w:rPr>
        <w:t>マルチカーブのもとでのハル・ホワイト・モデル</w:t>
      </w:r>
    </w:p>
    <w:p w14:paraId="0D2A1076" w14:textId="029D42EF" w:rsidR="006F0AF6" w:rsidRDefault="006F0AF6" w:rsidP="006F0AF6">
      <w:pPr>
        <w:pStyle w:val="a0"/>
        <w:numPr>
          <w:ilvl w:val="0"/>
          <w:numId w:val="4"/>
        </w:numPr>
        <w:ind w:leftChars="0"/>
      </w:pPr>
      <w:r>
        <w:rPr>
          <w:rFonts w:hint="eastAsia"/>
        </w:rPr>
        <w:t>スワップション</w:t>
      </w:r>
    </w:p>
    <w:p w14:paraId="661D7861" w14:textId="1754C961" w:rsidR="006F0AF6" w:rsidRDefault="006F0AF6" w:rsidP="006F0AF6">
      <w:r>
        <w:rPr>
          <w:rFonts w:hint="eastAsia"/>
        </w:rPr>
        <w:t>固定金利</w:t>
      </w:r>
      <m:oMath>
        <m:r>
          <w:rPr>
            <w:rFonts w:ascii="Cambria Math" w:hAnsi="Cambria Math"/>
          </w:rPr>
          <m:t>K</m:t>
        </m:r>
      </m:oMath>
      <w:r>
        <w:rPr>
          <w:rFonts w:hint="eastAsia"/>
        </w:rPr>
        <w:t>，権利行使日</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oMath>
      <w:r w:rsidR="00866824">
        <w:rPr>
          <w:rFonts w:hint="eastAsia"/>
        </w:rPr>
        <w:t>とすると，</w:t>
      </w:r>
    </w:p>
    <w:p w14:paraId="2ABE5C9D" w14:textId="77777777" w:rsidR="006E594B" w:rsidRDefault="006E594B" w:rsidP="006F0AF6"/>
    <w:p w14:paraId="322DEA4C" w14:textId="063FB493" w:rsidR="00866824" w:rsidRPr="00CE65D5" w:rsidRDefault="00866824" w:rsidP="00866824">
      <w:pPr>
        <w:pStyle w:val="a0"/>
        <w:numPr>
          <w:ilvl w:val="0"/>
          <w:numId w:val="5"/>
        </w:numPr>
        <w:ind w:leftChars="0"/>
        <w:rPr>
          <w:b/>
          <w:bCs/>
        </w:rPr>
      </w:pPr>
      <w:r w:rsidRPr="00CE65D5">
        <w:rPr>
          <w:rFonts w:hint="eastAsia"/>
          <w:b/>
          <w:bCs/>
        </w:rPr>
        <w:t>マルチカーブのもとでのスワップレート</w:t>
      </w:r>
    </w:p>
    <w:p w14:paraId="6D6454F9" w14:textId="54FF2339" w:rsidR="00866824" w:rsidRDefault="00866824" w:rsidP="00866824">
      <w:pPr>
        <w:jc w:val="center"/>
      </w:pPr>
      <w:r>
        <w:rPr>
          <w:noProof/>
        </w:rPr>
        <w:drawing>
          <wp:inline distT="0" distB="0" distL="0" distR="0" wp14:anchorId="490C115C" wp14:editId="58501F48">
            <wp:extent cx="2607480" cy="574920"/>
            <wp:effectExtent l="0" t="0" r="254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7480" cy="574920"/>
                    </a:xfrm>
                    <a:prstGeom prst="rect">
                      <a:avLst/>
                    </a:prstGeom>
                  </pic:spPr>
                </pic:pic>
              </a:graphicData>
            </a:graphic>
          </wp:inline>
        </w:drawing>
      </w:r>
    </w:p>
    <w:p w14:paraId="5AF727E8" w14:textId="3557F85C" w:rsidR="00866824" w:rsidRPr="00CE65D5" w:rsidRDefault="00866824" w:rsidP="00866824">
      <w:pPr>
        <w:pStyle w:val="a0"/>
        <w:numPr>
          <w:ilvl w:val="0"/>
          <w:numId w:val="5"/>
        </w:numPr>
        <w:ind w:leftChars="0"/>
        <w:rPr>
          <w:b/>
          <w:bCs/>
        </w:rPr>
      </w:pPr>
      <w:r w:rsidRPr="00CE65D5">
        <w:rPr>
          <w:rFonts w:hint="eastAsia"/>
          <w:b/>
          <w:bCs/>
        </w:rPr>
        <w:t>スワップション価格</w:t>
      </w:r>
    </w:p>
    <w:p w14:paraId="0ADFA1CA" w14:textId="5811CE9C" w:rsidR="00866824" w:rsidRDefault="00866824" w:rsidP="00866824">
      <w:pPr>
        <w:jc w:val="center"/>
      </w:pPr>
      <w:r>
        <w:rPr>
          <w:noProof/>
        </w:rPr>
        <w:drawing>
          <wp:inline distT="0" distB="0" distL="0" distR="0" wp14:anchorId="03C7AE04" wp14:editId="1C03C7B9">
            <wp:extent cx="3448800" cy="36432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8800" cy="364320"/>
                    </a:xfrm>
                    <a:prstGeom prst="rect">
                      <a:avLst/>
                    </a:prstGeom>
                  </pic:spPr>
                </pic:pic>
              </a:graphicData>
            </a:graphic>
          </wp:inline>
        </w:drawing>
      </w:r>
    </w:p>
    <w:p w14:paraId="3E301EAC" w14:textId="7D26B81F" w:rsidR="00866824" w:rsidRDefault="00866824" w:rsidP="00866824">
      <w:pPr>
        <w:jc w:val="center"/>
      </w:pPr>
      <w:r>
        <w:rPr>
          <w:noProof/>
        </w:rPr>
        <w:drawing>
          <wp:inline distT="0" distB="0" distL="0" distR="0" wp14:anchorId="2D777B63" wp14:editId="5B43D700">
            <wp:extent cx="1692000" cy="348120"/>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2000" cy="348120"/>
                    </a:xfrm>
                    <a:prstGeom prst="rect">
                      <a:avLst/>
                    </a:prstGeom>
                  </pic:spPr>
                </pic:pic>
              </a:graphicData>
            </a:graphic>
          </wp:inline>
        </w:drawing>
      </w:r>
      <w:r>
        <w:rPr>
          <w:noProof/>
        </w:rPr>
        <w:drawing>
          <wp:inline distT="0" distB="0" distL="0" distR="0" wp14:anchorId="3659FAC4" wp14:editId="549BEED8">
            <wp:extent cx="1109160" cy="380520"/>
            <wp:effectExtent l="0" t="0" r="0" b="63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9160" cy="380520"/>
                    </a:xfrm>
                    <a:prstGeom prst="rect">
                      <a:avLst/>
                    </a:prstGeom>
                  </pic:spPr>
                </pic:pic>
              </a:graphicData>
            </a:graphic>
          </wp:inline>
        </w:drawing>
      </w:r>
    </w:p>
    <w:p w14:paraId="51726D6E" w14:textId="79F402BB" w:rsidR="00866824" w:rsidRDefault="00866824" w:rsidP="00866824">
      <w:pPr>
        <w:jc w:val="center"/>
      </w:pPr>
      <w:r>
        <w:rPr>
          <w:noProof/>
        </w:rPr>
        <w:drawing>
          <wp:inline distT="0" distB="0" distL="0" distR="0" wp14:anchorId="3365E6A8" wp14:editId="49D7E188">
            <wp:extent cx="3312000" cy="607320"/>
            <wp:effectExtent l="0" t="0" r="3175" b="254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2000" cy="607320"/>
                    </a:xfrm>
                    <a:prstGeom prst="rect">
                      <a:avLst/>
                    </a:prstGeom>
                  </pic:spPr>
                </pic:pic>
              </a:graphicData>
            </a:graphic>
          </wp:inline>
        </w:drawing>
      </w:r>
    </w:p>
    <w:p w14:paraId="2119C875" w14:textId="7DBFA40D" w:rsidR="00866824" w:rsidRDefault="00866824" w:rsidP="00866824">
      <w:r>
        <w:rPr>
          <w:rFonts w:hint="eastAsia"/>
        </w:rPr>
        <w:t>解析的に解くためには工夫が必要</w:t>
      </w:r>
    </w:p>
    <w:p w14:paraId="053C7FD6" w14:textId="77777777" w:rsidR="00EF4212" w:rsidRDefault="000E4A4F" w:rsidP="00866824">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866824">
        <w:rPr>
          <w:rFonts w:hint="eastAsia"/>
        </w:rPr>
        <w:t>の</w:t>
      </w:r>
      <w:r w:rsidR="00866824">
        <w:rPr>
          <w:rFonts w:hint="eastAsia"/>
        </w:rPr>
        <w:t>CF</w:t>
      </w:r>
      <w:r w:rsidR="00866824">
        <w:rPr>
          <w:rFonts w:hint="eastAsia"/>
        </w:rPr>
        <w:t>を持つ割引債価格の集まり</w:t>
      </w:r>
      <w:r w:rsidR="00EF4212">
        <w:rPr>
          <w:rFonts w:hint="eastAsia"/>
        </w:rPr>
        <w:t>であり，各割引債価格はすべて相関が</w:t>
      </w:r>
      <w:r w:rsidR="00EF4212">
        <w:rPr>
          <w:rFonts w:hint="eastAsia"/>
        </w:rPr>
        <w:t>1</w:t>
      </w:r>
      <w:r w:rsidR="00EF4212">
        <w:rPr>
          <w:rFonts w:hint="eastAsia"/>
        </w:rPr>
        <w:t>．</w:t>
      </w:r>
    </w:p>
    <w:p w14:paraId="134097C9" w14:textId="7172B60C" w:rsidR="00866824" w:rsidRDefault="00EF4212" w:rsidP="00EF4212">
      <w:r>
        <w:rPr>
          <w:rFonts w:hint="eastAsia"/>
        </w:rPr>
        <w:t>⇒</w:t>
      </w:r>
      <w:r>
        <w:t xml:space="preserve"> </w:t>
      </w:r>
      <w:r>
        <w:rPr>
          <w:rFonts w:hint="eastAsia"/>
        </w:rPr>
        <w:t>権利行使日における</w:t>
      </w:r>
      <w:r>
        <w:rPr>
          <w:rFonts w:hint="eastAsia"/>
        </w:rPr>
        <w:t>OIS</w:t>
      </w:r>
      <w:r>
        <w:rPr>
          <w:rFonts w:hint="eastAsia"/>
        </w:rPr>
        <w:t>レートに基づく各割引債に共通するショートレートに対し，権利行使を判別する閾値を設ける．</w:t>
      </w:r>
    </w:p>
    <w:p w14:paraId="58BED9ED" w14:textId="2F16AF55" w:rsidR="00EF4212" w:rsidRDefault="00EF4212" w:rsidP="00EF4212">
      <w:r>
        <w:rPr>
          <w:rFonts w:hint="eastAsia"/>
        </w:rPr>
        <w:t>↓</w:t>
      </w:r>
    </w:p>
    <w:p w14:paraId="26C4417A" w14:textId="1CCD5C9F" w:rsidR="00866824" w:rsidRPr="00CE65D5" w:rsidRDefault="00866824" w:rsidP="00866824">
      <w:pPr>
        <w:pStyle w:val="a0"/>
        <w:numPr>
          <w:ilvl w:val="0"/>
          <w:numId w:val="5"/>
        </w:numPr>
        <w:ind w:leftChars="0"/>
        <w:jc w:val="left"/>
        <w:rPr>
          <w:b/>
          <w:bCs/>
        </w:rPr>
      </w:pPr>
      <w:r w:rsidRPr="00CE65D5">
        <w:rPr>
          <w:rFonts w:hint="eastAsia"/>
          <w:b/>
          <w:bCs/>
        </w:rPr>
        <w:t>スワップション価格の解析解</w:t>
      </w:r>
    </w:p>
    <w:p w14:paraId="0D66F6C3" w14:textId="40E07D6B" w:rsidR="00866824" w:rsidRDefault="001D088E" w:rsidP="00866824">
      <w:pPr>
        <w:jc w:val="left"/>
      </w:pPr>
      <w:r>
        <w:rPr>
          <w:rFonts w:hint="eastAsia"/>
        </w:rPr>
        <w:t>下記の割引債価格とショートレート価格の関係を利用し，下記となる．</w:t>
      </w:r>
    </w:p>
    <w:p w14:paraId="0BE88D32" w14:textId="7FF89A90" w:rsidR="00866824" w:rsidRDefault="00866824" w:rsidP="00CE65D5">
      <w:pPr>
        <w:jc w:val="center"/>
      </w:pPr>
      <w:r>
        <w:rPr>
          <w:noProof/>
        </w:rPr>
        <w:drawing>
          <wp:inline distT="0" distB="0" distL="0" distR="0" wp14:anchorId="09C985C6" wp14:editId="74F6F819">
            <wp:extent cx="972000" cy="356400"/>
            <wp:effectExtent l="0" t="0" r="0" b="571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72000" cy="356400"/>
                    </a:xfrm>
                    <a:prstGeom prst="rect">
                      <a:avLst/>
                    </a:prstGeom>
                  </pic:spPr>
                </pic:pic>
              </a:graphicData>
            </a:graphic>
          </wp:inline>
        </w:drawing>
      </w:r>
      <w:r>
        <w:rPr>
          <w:noProof/>
        </w:rPr>
        <w:drawing>
          <wp:inline distT="0" distB="0" distL="0" distR="0" wp14:anchorId="50739E42" wp14:editId="4198C514">
            <wp:extent cx="2590920" cy="429120"/>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0920" cy="429120"/>
                    </a:xfrm>
                    <a:prstGeom prst="rect">
                      <a:avLst/>
                    </a:prstGeom>
                  </pic:spPr>
                </pic:pic>
              </a:graphicData>
            </a:graphic>
          </wp:inline>
        </w:drawing>
      </w:r>
    </w:p>
    <w:p w14:paraId="7F4E89CF" w14:textId="3A000EDD" w:rsidR="006E594B" w:rsidRDefault="006E594B" w:rsidP="00CE65D5">
      <w:pPr>
        <w:jc w:val="center"/>
      </w:pPr>
      <w:r>
        <w:rPr>
          <w:noProof/>
        </w:rPr>
        <w:drawing>
          <wp:inline distT="0" distB="0" distL="0" distR="0" wp14:anchorId="2F4711CC" wp14:editId="54828CF5">
            <wp:extent cx="3044160" cy="2364120"/>
            <wp:effectExtent l="0" t="0" r="444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4160" cy="2364120"/>
                    </a:xfrm>
                    <a:prstGeom prst="rect">
                      <a:avLst/>
                    </a:prstGeom>
                  </pic:spPr>
                </pic:pic>
              </a:graphicData>
            </a:graphic>
          </wp:inline>
        </w:drawing>
      </w:r>
    </w:p>
    <w:p w14:paraId="06E2DEBB" w14:textId="48875046" w:rsidR="00EF4212" w:rsidRDefault="00EF4212" w:rsidP="00866824">
      <w:pPr>
        <w:jc w:val="left"/>
      </w:pPr>
    </w:p>
    <w:p w14:paraId="72566D66" w14:textId="77777777" w:rsidR="00EF4212" w:rsidRPr="00CE65D5" w:rsidRDefault="00EF4212" w:rsidP="00CE65D5">
      <w:pPr>
        <w:pStyle w:val="a0"/>
        <w:numPr>
          <w:ilvl w:val="1"/>
          <w:numId w:val="5"/>
        </w:numPr>
        <w:ind w:leftChars="0"/>
        <w:rPr>
          <w:b/>
          <w:bCs/>
        </w:rPr>
      </w:pPr>
      <w:r w:rsidRPr="00CE65D5">
        <w:rPr>
          <w:rFonts w:hint="eastAsia"/>
          <w:b/>
          <w:bCs/>
        </w:rPr>
        <w:t>ハル・ホワイト・モデルのもとでの割引債価格とショートレートの関係</w:t>
      </w:r>
    </w:p>
    <w:p w14:paraId="78AFD7B0" w14:textId="338762C6" w:rsidR="00EF4212" w:rsidRDefault="00EF4212" w:rsidP="00EF4212">
      <w:pPr>
        <w:jc w:val="center"/>
      </w:pPr>
      <w:r>
        <w:rPr>
          <w:noProof/>
        </w:rPr>
        <w:lastRenderedPageBreak/>
        <w:drawing>
          <wp:inline distT="0" distB="0" distL="0" distR="0" wp14:anchorId="0CF28209" wp14:editId="4E7359ED">
            <wp:extent cx="3465000" cy="1011960"/>
            <wp:effectExtent l="0" t="0" r="254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5000" cy="1011960"/>
                    </a:xfrm>
                    <a:prstGeom prst="rect">
                      <a:avLst/>
                    </a:prstGeom>
                  </pic:spPr>
                </pic:pic>
              </a:graphicData>
            </a:graphic>
          </wp:inline>
        </w:drawing>
      </w:r>
    </w:p>
    <w:p w14:paraId="6BE519D9" w14:textId="508B02D6" w:rsidR="006E594B" w:rsidRDefault="006E594B" w:rsidP="00EF4212">
      <w:pPr>
        <w:jc w:val="center"/>
      </w:pPr>
    </w:p>
    <w:p w14:paraId="0A1F6AF2" w14:textId="6AFA5C11" w:rsidR="00EF4212" w:rsidRPr="00020B99" w:rsidRDefault="000E4A4F" w:rsidP="00CE65D5">
      <w:pPr>
        <w:pStyle w:val="a0"/>
        <w:numPr>
          <w:ilvl w:val="1"/>
          <w:numId w:val="5"/>
        </w:numPr>
        <w:ind w:leftChars="0"/>
        <w:jc w:val="left"/>
        <w:rPr>
          <w:b/>
          <w:bCs/>
        </w:rPr>
      </w:pPr>
      <w:r>
        <w:rPr>
          <w:rFonts w:hint="eastAsia"/>
          <w:b/>
          <w:bCs/>
        </w:rPr>
        <w:t>近似計算方法</w:t>
      </w:r>
      <w:r w:rsidRPr="00020B99">
        <w:rPr>
          <w:b/>
          <w:bCs/>
        </w:rPr>
        <w:t xml:space="preserve"> </w:t>
      </w:r>
    </w:p>
    <w:p w14:paraId="2DA8CCC9" w14:textId="6820869A" w:rsidR="00CE65D5" w:rsidRDefault="00CE65D5" w:rsidP="00CE65D5">
      <w:pPr>
        <w:pStyle w:val="a0"/>
        <w:numPr>
          <w:ilvl w:val="0"/>
          <w:numId w:val="6"/>
        </w:numPr>
        <w:ind w:leftChars="0"/>
        <w:jc w:val="left"/>
      </w:pPr>
      <w:r>
        <w:rPr>
          <w:rFonts w:hint="eastAsia"/>
        </w:rPr>
        <w:t>反復計算</w:t>
      </w:r>
      <w:r w:rsidR="000E4A4F">
        <w:rPr>
          <w:rFonts w:hint="eastAsia"/>
        </w:rPr>
        <w:t>によって</w:t>
      </w:r>
      <w:r w:rsidR="000E4A4F" w:rsidRPr="000E4A4F">
        <w:rPr>
          <w:rFonts w:hint="eastAsia"/>
        </w:rPr>
        <w:t>行使判定用のトリガー</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m:t>
            </m:r>
            <w:commentRangeStart w:id="0"/>
            <w:commentRangeEnd w:id="0"/>
            <m:r>
              <m:rPr>
                <m:sty m:val="p"/>
              </m:rPr>
              <w:rPr>
                <w:rStyle w:val="a5"/>
              </w:rPr>
              <w:commentReference w:id="0"/>
            </m:r>
          </m:sub>
        </m:sSub>
      </m:oMath>
      <w:r w:rsidR="000E4A4F" w:rsidRPr="000E4A4F">
        <w:rPr>
          <w:rFonts w:hint="eastAsia"/>
        </w:rPr>
        <w:t>を求める</w:t>
      </w:r>
    </w:p>
    <w:p w14:paraId="069FD4B4" w14:textId="14F84481" w:rsidR="00CE65D5" w:rsidRDefault="00CE65D5" w:rsidP="00CE65D5">
      <w:pPr>
        <w:pStyle w:val="a0"/>
        <w:ind w:leftChars="0" w:left="1260"/>
        <w:jc w:val="left"/>
      </w:pPr>
      <w:r>
        <w:rPr>
          <w:rFonts w:hint="eastAsia"/>
        </w:rPr>
        <w:t>下記式を満たす</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hint="eastAsia"/>
        </w:rPr>
        <w:t>を反復計算で探索する</w:t>
      </w:r>
    </w:p>
    <w:p w14:paraId="38AE6284" w14:textId="3FC4F40A" w:rsidR="00CE65D5" w:rsidRDefault="00CE65D5" w:rsidP="00CE65D5">
      <w:pPr>
        <w:pStyle w:val="a0"/>
        <w:ind w:leftChars="0"/>
        <w:jc w:val="center"/>
      </w:pPr>
      <w:r>
        <w:rPr>
          <w:noProof/>
        </w:rPr>
        <w:drawing>
          <wp:inline distT="0" distB="0" distL="0" distR="0" wp14:anchorId="340FCB54" wp14:editId="3443F583">
            <wp:extent cx="3783960" cy="42732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3960" cy="427320"/>
                    </a:xfrm>
                    <a:prstGeom prst="rect">
                      <a:avLst/>
                    </a:prstGeom>
                  </pic:spPr>
                </pic:pic>
              </a:graphicData>
            </a:graphic>
          </wp:inline>
        </w:drawing>
      </w:r>
    </w:p>
    <w:p w14:paraId="01D3063E" w14:textId="5025D3F4" w:rsidR="00CE65D5" w:rsidRDefault="00CE65D5" w:rsidP="00CE65D5">
      <w:pPr>
        <w:pStyle w:val="a0"/>
        <w:ind w:leftChars="0"/>
        <w:jc w:val="center"/>
      </w:pPr>
    </w:p>
    <w:p w14:paraId="56410A83" w14:textId="0FC5672E" w:rsidR="00CE65D5" w:rsidRDefault="00CE65D5" w:rsidP="00CE65D5">
      <w:pPr>
        <w:pStyle w:val="a0"/>
        <w:numPr>
          <w:ilvl w:val="0"/>
          <w:numId w:val="6"/>
        </w:numPr>
        <w:ind w:leftChars="0"/>
        <w:jc w:val="left"/>
      </w:pPr>
      <w:r>
        <w:rPr>
          <w:rFonts w:hint="eastAsia"/>
        </w:rPr>
        <w:t>近似計算</w:t>
      </w:r>
      <w:r w:rsidR="000050F0">
        <w:rPr>
          <w:rFonts w:hint="eastAsia"/>
        </w:rPr>
        <w:t>（満期</w:t>
      </w:r>
      <m:oMath>
        <m:r>
          <w:rPr>
            <w:rFonts w:ascii="Cambria Math" w:hAnsi="Cambria Math"/>
          </w:rPr>
          <m:t>D</m:t>
        </m:r>
      </m:oMath>
      <w:r w:rsidR="000050F0">
        <w:rPr>
          <w:rFonts w:hint="eastAsia"/>
        </w:rPr>
        <w:t>を</w:t>
      </w:r>
      <w:commentRangeStart w:id="1"/>
      <w:r w:rsidR="000050F0">
        <w:rPr>
          <w:rFonts w:hint="eastAsia"/>
        </w:rPr>
        <w:t>求める</w:t>
      </w:r>
      <w:commentRangeEnd w:id="1"/>
      <w:r w:rsidR="000050F0">
        <w:rPr>
          <w:rStyle w:val="a5"/>
        </w:rPr>
        <w:commentReference w:id="1"/>
      </w:r>
      <w:r w:rsidR="000050F0">
        <w:rPr>
          <w:rFonts w:hint="eastAsia"/>
        </w:rPr>
        <w:t>）</w:t>
      </w:r>
    </w:p>
    <w:p w14:paraId="5B60B644" w14:textId="0C3060A1" w:rsidR="00CE65D5" w:rsidRDefault="000E4A4F" w:rsidP="00CE65D5">
      <w:pPr>
        <w:pStyle w:val="a0"/>
        <w:ind w:leftChars="0" w:left="1260"/>
        <w:jc w:val="left"/>
      </w:pP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CE65D5">
        <w:rPr>
          <w:rFonts w:hint="eastAsia"/>
        </w:rPr>
        <w:t>の</w:t>
      </w:r>
      <w:r w:rsidR="00CE65D5">
        <w:rPr>
          <w:rFonts w:hint="eastAsia"/>
        </w:rPr>
        <w:t>CF</w:t>
      </w:r>
      <w:r w:rsidR="00CE65D5">
        <w:rPr>
          <w:rFonts w:hint="eastAsia"/>
        </w:rPr>
        <w:t>をもつ，割引債価格の合計を利付債価格</w:t>
      </w:r>
      <m:oMath>
        <m:sSubSup>
          <m:sSubSupPr>
            <m:ctrlPr>
              <w:rPr>
                <w:rFonts w:ascii="Cambria Math" w:hAnsi="Cambria Math"/>
                <w:i/>
              </w:rPr>
            </m:ctrlPr>
          </m:sSubSupPr>
          <m:e>
            <m:r>
              <w:rPr>
                <w:rFonts w:ascii="Cambria Math" w:hAnsi="Cambria Math"/>
              </w:rPr>
              <m:t>P</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ub>
          <m:sup>
            <m:r>
              <w:rPr>
                <w:rFonts w:ascii="Cambria Math" w:hAnsi="Cambria Math"/>
              </w:rPr>
              <m:t>C</m:t>
            </m:r>
          </m:sup>
        </m:sSubSup>
      </m:oMath>
      <w:r w:rsidR="001B45CB">
        <w:rPr>
          <w:rFonts w:hint="eastAsia"/>
        </w:rPr>
        <w:t>とみなし，</w:t>
      </w:r>
      <w:r w:rsidR="007238C7">
        <w:rPr>
          <w:rFonts w:hint="eastAsia"/>
        </w:rPr>
        <w:t>利付債価格と瞬間ボラティリティが等しくなるような満期</w:t>
      </w:r>
      <m:oMath>
        <m:r>
          <w:rPr>
            <w:rFonts w:ascii="Cambria Math" w:hAnsi="Cambria Math"/>
          </w:rPr>
          <m:t>D</m:t>
        </m:r>
      </m:oMath>
      <w:r w:rsidR="007238C7">
        <w:rPr>
          <w:rFonts w:hint="eastAsia"/>
        </w:rPr>
        <w:t>を調整した割引債価格を使用し，</w:t>
      </w:r>
    </w:p>
    <w:p w14:paraId="36F7C0DA" w14:textId="4A375D34" w:rsidR="007238C7" w:rsidRDefault="007238C7" w:rsidP="007238C7">
      <w:pPr>
        <w:pStyle w:val="a0"/>
        <w:ind w:leftChars="0" w:left="0"/>
        <w:jc w:val="center"/>
      </w:pPr>
      <w:r>
        <w:rPr>
          <w:noProof/>
        </w:rPr>
        <w:drawing>
          <wp:inline distT="0" distB="0" distL="0" distR="0" wp14:anchorId="57F4BFFD" wp14:editId="09C5987D">
            <wp:extent cx="1117800" cy="356400"/>
            <wp:effectExtent l="0" t="0" r="6350" b="571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17800" cy="356400"/>
                    </a:xfrm>
                    <a:prstGeom prst="rect">
                      <a:avLst/>
                    </a:prstGeom>
                  </pic:spPr>
                </pic:pic>
              </a:graphicData>
            </a:graphic>
          </wp:inline>
        </w:drawing>
      </w:r>
    </w:p>
    <w:p w14:paraId="48FF5D9F" w14:textId="4FC75EB1" w:rsidR="007238C7" w:rsidRDefault="007238C7" w:rsidP="007238C7">
      <w:pPr>
        <w:pStyle w:val="a0"/>
        <w:ind w:leftChars="0" w:left="1260"/>
        <w:jc w:val="center"/>
      </w:pPr>
      <w:r>
        <w:rPr>
          <w:noProof/>
        </w:rPr>
        <w:drawing>
          <wp:inline distT="0" distB="0" distL="0" distR="0" wp14:anchorId="03F8B779" wp14:editId="7C77BB73">
            <wp:extent cx="3020040" cy="412920"/>
            <wp:effectExtent l="0" t="0" r="0" b="635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0040" cy="412920"/>
                    </a:xfrm>
                    <a:prstGeom prst="rect">
                      <a:avLst/>
                    </a:prstGeom>
                  </pic:spPr>
                </pic:pic>
              </a:graphicData>
            </a:graphic>
          </wp:inline>
        </w:drawing>
      </w:r>
    </w:p>
    <w:p w14:paraId="2E889C9F" w14:textId="3B2D8E41" w:rsidR="007238C7" w:rsidRDefault="007238C7" w:rsidP="007238C7">
      <w:pPr>
        <w:pStyle w:val="a0"/>
        <w:ind w:leftChars="600" w:left="1260"/>
        <w:jc w:val="left"/>
      </w:pPr>
      <w:r>
        <w:rPr>
          <w:rFonts w:hint="eastAsia"/>
        </w:rPr>
        <w:t>また，満期</w:t>
      </w:r>
      <m:oMath>
        <m:r>
          <w:rPr>
            <w:rFonts w:ascii="Cambria Math" w:hAnsi="Cambria Math"/>
          </w:rPr>
          <m:t>D</m:t>
        </m:r>
      </m:oMath>
      <w:r>
        <w:rPr>
          <w:rFonts w:hint="eastAsia"/>
        </w:rPr>
        <w:t>は下記で計算する．</w:t>
      </w:r>
    </w:p>
    <w:p w14:paraId="5DB72D73" w14:textId="45EF1A40" w:rsidR="007238C7" w:rsidRDefault="007238C7" w:rsidP="007238C7">
      <w:pPr>
        <w:pStyle w:val="a0"/>
        <w:ind w:leftChars="600" w:left="1260"/>
        <w:jc w:val="center"/>
      </w:pPr>
      <w:r>
        <w:rPr>
          <w:noProof/>
        </w:rPr>
        <w:drawing>
          <wp:inline distT="0" distB="0" distL="0" distR="0" wp14:anchorId="00CED036" wp14:editId="185F30A4">
            <wp:extent cx="3845880" cy="1238760"/>
            <wp:effectExtent l="0" t="0" r="254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5880" cy="1238760"/>
                    </a:xfrm>
                    <a:prstGeom prst="rect">
                      <a:avLst/>
                    </a:prstGeom>
                  </pic:spPr>
                </pic:pic>
              </a:graphicData>
            </a:graphic>
          </wp:inline>
        </w:drawing>
      </w:r>
    </w:p>
    <w:p w14:paraId="5F32579D" w14:textId="7C08BF5B" w:rsidR="00CE65D5" w:rsidRDefault="00173F77" w:rsidP="00CE65D5">
      <w:pPr>
        <w:pStyle w:val="a0"/>
        <w:ind w:leftChars="0"/>
        <w:jc w:val="center"/>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e</m:t>
                  </m:r>
                  <m:ctrlPr>
                    <w:rPr>
                      <w:rFonts w:ascii="Cambria Math" w:hAnsi="Cambria Math"/>
                      <w:i/>
                    </w:rPr>
                  </m:ctrlPr>
                </m:e>
                <m:sup>
                  <m:func>
                    <m:funcPr>
                      <m:ctrlPr>
                        <w:rPr>
                          <w:rFonts w:ascii="Cambria Math" w:hAnsi="Cambria Math"/>
                        </w:rPr>
                      </m:ctrlPr>
                    </m:funcPr>
                    <m:fName>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ctrlPr>
                        <w:rPr>
                          <w:rFonts w:ascii="Cambria Math" w:hAnsi="Cambria Math"/>
                          <w:i/>
                        </w:rPr>
                      </m:ctrlPr>
                    </m:fName>
                    <m:e/>
                  </m:func>
                </m:sup>
              </m:sSup>
            </m:e>
          </m:d>
          <m:r>
            <w:rPr>
              <w:rFonts w:ascii="Cambria Math" w:hAnsi="Cambria Math"/>
            </w:rPr>
            <m:t>=</m:t>
          </m:r>
          <m:r>
            <w:rPr>
              <w:rFonts w:ascii="Cambria Math" w:hAnsi="Cambria Math"/>
            </w:rPr>
            <m:t>E</m:t>
          </m:r>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e</m:t>
                  </m:r>
                  <m:ctrlPr>
                    <w:rPr>
                      <w:rFonts w:ascii="Cambria Math" w:hAnsi="Cambria Math"/>
                      <w:i/>
                    </w:rPr>
                  </m:ctrlPr>
                </m:e>
                <m:sup>
                  <m:func>
                    <m:funcPr>
                      <m:ctrlPr>
                        <w:rPr>
                          <w:rFonts w:ascii="Cambria Math" w:hAnsi="Cambria Math"/>
                        </w:rPr>
                      </m:ctrlPr>
                    </m:funcPr>
                    <m:fName>
                      <m:r>
                        <w:rPr>
                          <w:rFonts w:ascii="Cambria Math" w:hAnsi="Cambria Math"/>
                        </w:rPr>
                        <m:t>-</m:t>
                      </m:r>
                      <m:nary>
                        <m:naryP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ctrlPr>
                        <w:rPr>
                          <w:rFonts w:ascii="Cambria Math" w:hAnsi="Cambria Math"/>
                          <w:i/>
                        </w:rPr>
                      </m:ctrlPr>
                    </m:fName>
                    <m:e/>
                  </m:func>
                </m:sup>
              </m:sSup>
              <m:sSup>
                <m:sSupPr>
                  <m:ctrlPr>
                    <w:rPr>
                      <w:rFonts w:ascii="Cambria Math" w:hAnsi="Cambria Math"/>
                    </w:rPr>
                  </m:ctrlPr>
                </m:sSupPr>
                <m:e>
                  <m:r>
                    <m:rPr>
                      <m:sty m:val="p"/>
                    </m:rPr>
                    <w:rPr>
                      <w:rFonts w:ascii="Cambria Math" w:hAnsi="Cambria Math"/>
                    </w:rPr>
                    <m:t>e</m:t>
                  </m:r>
                  <m:ctrlPr>
                    <w:rPr>
                      <w:rFonts w:ascii="Cambria Math" w:hAnsi="Cambria Math"/>
                      <w:i/>
                    </w:rPr>
                  </m:ctrlPr>
                </m:e>
                <m:sup>
                  <m:func>
                    <m:funcPr>
                      <m:ctrlPr>
                        <w:rPr>
                          <w:rFonts w:ascii="Cambria Math" w:hAnsi="Cambria Math"/>
                        </w:rPr>
                      </m:ctrlPr>
                    </m:funcPr>
                    <m:fName>
                      <m:nary>
                        <m:naryP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ctrlPr>
                        <w:rPr>
                          <w:rFonts w:ascii="Cambria Math" w:hAnsi="Cambria Math"/>
                          <w:i/>
                        </w:rPr>
                      </m:ctrlPr>
                    </m:fName>
                    <m:e/>
                  </m:func>
                </m:sup>
              </m:sSup>
            </m:e>
          </m:d>
        </m:oMath>
      </m:oMathPara>
    </w:p>
    <w:p w14:paraId="23E18777" w14:textId="17ABD5C1" w:rsidR="00CE65D5" w:rsidRPr="00020B99" w:rsidRDefault="00CE65D5" w:rsidP="00CE65D5">
      <w:pPr>
        <w:pStyle w:val="a0"/>
        <w:numPr>
          <w:ilvl w:val="0"/>
          <w:numId w:val="5"/>
        </w:numPr>
        <w:ind w:leftChars="0"/>
        <w:jc w:val="left"/>
        <w:rPr>
          <w:b/>
          <w:bCs/>
        </w:rPr>
      </w:pPr>
      <w:r w:rsidRPr="00020B99">
        <w:rPr>
          <w:rFonts w:hint="eastAsia"/>
          <w:b/>
          <w:bCs/>
        </w:rPr>
        <w:t>スワップションのプットコールパリティ</w:t>
      </w:r>
    </w:p>
    <w:p w14:paraId="3633FC65" w14:textId="11A4E011" w:rsidR="00CE65D5" w:rsidRDefault="00CE65D5" w:rsidP="00CE65D5">
      <w:pPr>
        <w:pStyle w:val="a0"/>
        <w:ind w:leftChars="0" w:left="420"/>
        <w:jc w:val="left"/>
      </w:pPr>
      <w:r>
        <w:rPr>
          <w:rFonts w:hint="eastAsia"/>
        </w:rPr>
        <w:t>レシーバースワップションは，ペイヤーズスワップションの買いとペイヤーズスワップの売りで複製できるため，</w:t>
      </w:r>
    </w:p>
    <w:p w14:paraId="48656A4F" w14:textId="7D34B441" w:rsidR="00CE65D5" w:rsidRDefault="00CE65D5" w:rsidP="00CE65D5">
      <w:pPr>
        <w:pStyle w:val="a0"/>
        <w:ind w:leftChars="0" w:left="420"/>
        <w:jc w:val="center"/>
      </w:pPr>
      <w:r>
        <w:rPr>
          <w:noProof/>
        </w:rPr>
        <w:drawing>
          <wp:inline distT="0" distB="0" distL="0" distR="0" wp14:anchorId="59AB4FEE" wp14:editId="5D01552E">
            <wp:extent cx="2372400" cy="47772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2400" cy="477720"/>
                    </a:xfrm>
                    <a:prstGeom prst="rect">
                      <a:avLst/>
                    </a:prstGeom>
                  </pic:spPr>
                </pic:pic>
              </a:graphicData>
            </a:graphic>
          </wp:inline>
        </w:drawing>
      </w:r>
    </w:p>
    <w:p w14:paraId="69F417C6" w14:textId="20CE25D0" w:rsidR="00CE65D5" w:rsidRDefault="00CE65D5" w:rsidP="00CE65D5">
      <w:pPr>
        <w:pStyle w:val="a0"/>
        <w:ind w:leftChars="0" w:left="420"/>
        <w:jc w:val="center"/>
      </w:pPr>
      <w:r>
        <w:rPr>
          <w:noProof/>
        </w:rPr>
        <w:drawing>
          <wp:inline distT="0" distB="0" distL="0" distR="0" wp14:anchorId="368459A1" wp14:editId="172DB5CE">
            <wp:extent cx="2622240" cy="437040"/>
            <wp:effectExtent l="0" t="0" r="6985" b="127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2240" cy="437040"/>
                    </a:xfrm>
                    <a:prstGeom prst="rect">
                      <a:avLst/>
                    </a:prstGeom>
                  </pic:spPr>
                </pic:pic>
              </a:graphicData>
            </a:graphic>
          </wp:inline>
        </w:drawing>
      </w:r>
    </w:p>
    <w:p w14:paraId="1F8D6997" w14:textId="4E04905E" w:rsidR="001B45CB" w:rsidRDefault="001B45CB" w:rsidP="00CE65D5">
      <w:pPr>
        <w:pStyle w:val="a0"/>
        <w:ind w:leftChars="0" w:left="420"/>
        <w:jc w:val="center"/>
      </w:pPr>
    </w:p>
    <w:p w14:paraId="63A7809F" w14:textId="77777777" w:rsidR="007238C7" w:rsidRDefault="007238C7" w:rsidP="00E86E92"/>
    <w:p w14:paraId="3D20D371" w14:textId="14947793" w:rsidR="001B45CB" w:rsidRDefault="001B45CB" w:rsidP="001B45CB">
      <w:pPr>
        <w:pStyle w:val="2"/>
      </w:pPr>
      <w:r>
        <w:rPr>
          <w:rFonts w:hint="eastAsia"/>
        </w:rPr>
        <w:t>パラメータの推定</w:t>
      </w:r>
    </w:p>
    <w:p w14:paraId="1EBC0E02" w14:textId="69BC8660" w:rsidR="001B45CB" w:rsidRDefault="00E86E92" w:rsidP="001B45CB">
      <w:r>
        <w:rPr>
          <w:rFonts w:hint="eastAsia"/>
        </w:rPr>
        <w:t>パラメータは以下の手順で推計する</w:t>
      </w:r>
    </w:p>
    <w:p w14:paraId="2DCE9E80" w14:textId="041A4096" w:rsidR="00E86E92" w:rsidRDefault="00E86E92" w:rsidP="00E86E92">
      <w:pPr>
        <w:pStyle w:val="a0"/>
        <w:numPr>
          <w:ilvl w:val="0"/>
          <w:numId w:val="7"/>
        </w:numPr>
        <w:ind w:leftChars="0"/>
      </w:pPr>
      <w:r>
        <w:rPr>
          <w:rFonts w:hint="eastAsia"/>
        </w:rPr>
        <w:t>市場からキャップ</w:t>
      </w:r>
      <w:r>
        <w:rPr>
          <w:rFonts w:hint="eastAsia"/>
        </w:rPr>
        <w:t>/</w:t>
      </w:r>
      <w:r>
        <w:rPr>
          <w:rFonts w:hint="eastAsia"/>
        </w:rPr>
        <w:t>フロア</w:t>
      </w:r>
      <w:r>
        <w:rPr>
          <w:rFonts w:hint="eastAsia"/>
        </w:rPr>
        <w:t>or</w:t>
      </w:r>
      <w:r>
        <w:rPr>
          <w:rFonts w:hint="eastAsia"/>
        </w:rPr>
        <w:t>スワップションのボラティリティ（ブラックショールズモデル等）を取得</w:t>
      </w:r>
    </w:p>
    <w:p w14:paraId="7E2C5FBA" w14:textId="568D99AB" w:rsidR="00E86E92" w:rsidRDefault="00E86E92" w:rsidP="00E86E92">
      <w:pPr>
        <w:pStyle w:val="a0"/>
        <w:numPr>
          <w:ilvl w:val="0"/>
          <w:numId w:val="7"/>
        </w:numPr>
        <w:ind w:leftChars="0"/>
      </w:pPr>
      <w:r>
        <w:rPr>
          <w:rFonts w:hint="eastAsia"/>
        </w:rPr>
        <w:t>ボラティリティから市場価格を逆算</w:t>
      </w:r>
    </w:p>
    <w:p w14:paraId="114D1C73" w14:textId="5C3CF918" w:rsidR="00E86E92" w:rsidRDefault="00E86E92" w:rsidP="00E86E92">
      <w:pPr>
        <w:pStyle w:val="a0"/>
        <w:numPr>
          <w:ilvl w:val="0"/>
          <w:numId w:val="7"/>
        </w:numPr>
        <w:ind w:leftChars="0"/>
      </w:pPr>
      <w:r>
        <w:rPr>
          <w:rFonts w:hint="eastAsia"/>
        </w:rPr>
        <w:t>市場価格とモデルによる推計値の誤差二乗が最小となるようにパラメータを推計</w:t>
      </w:r>
    </w:p>
    <w:p w14:paraId="1706FCBC" w14:textId="26C51086" w:rsidR="00E86E92" w:rsidRDefault="00E86E92" w:rsidP="00E86E92">
      <w:pPr>
        <w:jc w:val="center"/>
      </w:pPr>
      <w:r>
        <w:rPr>
          <w:noProof/>
        </w:rPr>
        <w:lastRenderedPageBreak/>
        <w:drawing>
          <wp:inline distT="0" distB="0" distL="0" distR="0" wp14:anchorId="7117AF9B" wp14:editId="2EA00422">
            <wp:extent cx="1635120" cy="469440"/>
            <wp:effectExtent l="0" t="0" r="3810" b="698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35120" cy="469440"/>
                    </a:xfrm>
                    <a:prstGeom prst="rect">
                      <a:avLst/>
                    </a:prstGeom>
                  </pic:spPr>
                </pic:pic>
              </a:graphicData>
            </a:graphic>
          </wp:inline>
        </w:drawing>
      </w:r>
    </w:p>
    <w:p w14:paraId="485FE854" w14:textId="007C0CBC" w:rsidR="001B45CB" w:rsidRDefault="001B45CB" w:rsidP="001B45CB"/>
    <w:p w14:paraId="32014571" w14:textId="1AD1598D" w:rsidR="00E86E92" w:rsidRPr="001B45CB" w:rsidRDefault="00E86E92" w:rsidP="001B45CB">
      <w:r>
        <w:rPr>
          <w:rFonts w:hint="eastAsia"/>
        </w:rPr>
        <w:t>ただし，上記は解析的に解くことのできる商品のみでしか使用できないため，解析的に導くことのできない商品はツリー・アプローチでプライシングする．</w:t>
      </w:r>
    </w:p>
    <w:sectPr w:rsidR="00E86E92" w:rsidRPr="001B45CB" w:rsidSect="006F0AF6">
      <w:pgSz w:w="11906" w:h="16838"/>
      <w:pgMar w:top="720" w:right="720" w:bottom="720" w:left="72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柴原 聖大" w:date="2021-06-08T15:33:00Z" w:initials="柴原">
    <w:p w14:paraId="5E373A92" w14:textId="77777777" w:rsidR="00D0400E" w:rsidRDefault="00D0400E">
      <w:pPr>
        <w:pStyle w:val="a6"/>
      </w:pPr>
      <w:r>
        <w:rPr>
          <w:rStyle w:val="a5"/>
        </w:rPr>
        <w:annotationRef/>
      </w:r>
      <w:r>
        <w:rPr>
          <w:rFonts w:hint="eastAsia"/>
        </w:rPr>
        <w:t>解があるかどうかは気にするべき</w:t>
      </w:r>
    </w:p>
    <w:p w14:paraId="7ACAA386" w14:textId="77777777" w:rsidR="00D0400E" w:rsidRDefault="00D0400E">
      <w:pPr>
        <w:pStyle w:val="a6"/>
      </w:pPr>
      <w:r>
        <w:rPr>
          <w:rFonts w:hint="eastAsia"/>
        </w:rPr>
        <w:t>単調関数であれば問題ないが，</w:t>
      </w:r>
    </w:p>
    <w:p w14:paraId="01313C8B" w14:textId="77777777" w:rsidR="00D0400E" w:rsidRDefault="00D0400E">
      <w:pPr>
        <w:pStyle w:val="a6"/>
      </w:pPr>
    </w:p>
    <w:p w14:paraId="6FFEA615" w14:textId="346C5078" w:rsidR="00D0400E" w:rsidRDefault="00D0400E">
      <w:pPr>
        <w:pStyle w:val="a6"/>
      </w:pPr>
      <w:r>
        <w:rPr>
          <w:rFonts w:hint="eastAsia"/>
        </w:rPr>
        <w:t>マイナス金利だとどうするか議論があった</w:t>
      </w:r>
    </w:p>
    <w:p w14:paraId="7720B954" w14:textId="77777777" w:rsidR="00D0400E" w:rsidRDefault="00D0400E">
      <w:pPr>
        <w:pStyle w:val="a6"/>
      </w:pPr>
      <w:r>
        <w:rPr>
          <w:rFonts w:hint="eastAsia"/>
        </w:rPr>
        <w:t>フォワードスワップレートがマイナスになっても均一にマイナスになれば問題ない</w:t>
      </w:r>
    </w:p>
    <w:p w14:paraId="16220AC9" w14:textId="471B2329" w:rsidR="00D0400E" w:rsidRDefault="00D0400E">
      <w:pPr>
        <w:pStyle w:val="a6"/>
        <w:rPr>
          <w:rFonts w:hint="eastAsia"/>
        </w:rPr>
      </w:pPr>
    </w:p>
  </w:comment>
  <w:comment w:id="1" w:author="柴原 聖大" w:date="2021-06-08T15:12:00Z" w:initials="柴原">
    <w:p w14:paraId="496811A7" w14:textId="77777777" w:rsidR="000050F0" w:rsidRDefault="000050F0">
      <w:pPr>
        <w:pStyle w:val="a6"/>
      </w:pPr>
      <w:r>
        <w:rPr>
          <w:rStyle w:val="a5"/>
        </w:rPr>
        <w:annotationRef/>
      </w:r>
      <w:r>
        <w:rPr>
          <w:rFonts w:hint="eastAsia"/>
        </w:rPr>
        <w:t>ストキャスティックデユレーション？</w:t>
      </w:r>
    </w:p>
    <w:p w14:paraId="3F30F135" w14:textId="77777777" w:rsidR="000050F0" w:rsidRDefault="000050F0">
      <w:pPr>
        <w:pStyle w:val="a6"/>
      </w:pPr>
    </w:p>
    <w:p w14:paraId="7A369859" w14:textId="77777777" w:rsidR="000050F0" w:rsidRDefault="000050F0">
      <w:pPr>
        <w:pStyle w:val="a6"/>
      </w:pPr>
      <w:r>
        <w:rPr>
          <w:rFonts w:hint="eastAsia"/>
        </w:rPr>
        <w:t>T_0</w:t>
      </w:r>
      <w:r>
        <w:rPr>
          <w:rFonts w:hint="eastAsia"/>
        </w:rPr>
        <w:t>での割引債価格が必要だったが，</w:t>
      </w:r>
    </w:p>
    <w:p w14:paraId="05782785" w14:textId="77777777" w:rsidR="000050F0" w:rsidRDefault="000050F0">
      <w:pPr>
        <w:pStyle w:val="a6"/>
      </w:pPr>
    </w:p>
    <w:p w14:paraId="10BCAE95" w14:textId="77777777" w:rsidR="000050F0" w:rsidRDefault="000050F0">
      <w:pPr>
        <w:pStyle w:val="a6"/>
      </w:pPr>
      <w:r>
        <w:rPr>
          <w:rFonts w:hint="eastAsia"/>
        </w:rPr>
        <w:t>Σがあると行使判定がきついので利付債</w:t>
      </w:r>
    </w:p>
    <w:p w14:paraId="6AA6A66A" w14:textId="77777777" w:rsidR="000050F0" w:rsidRDefault="000050F0">
      <w:pPr>
        <w:pStyle w:val="a6"/>
      </w:pPr>
      <w:r>
        <w:rPr>
          <w:rFonts w:hint="eastAsia"/>
        </w:rPr>
        <w:t>1</w:t>
      </w:r>
      <w:r>
        <w:rPr>
          <w:rFonts w:hint="eastAsia"/>
        </w:rPr>
        <w:t>つ目は</w:t>
      </w:r>
      <w:r>
        <w:rPr>
          <w:rFonts w:hint="eastAsia"/>
        </w:rPr>
        <w:t>max</w:t>
      </w:r>
      <w:r>
        <w:rPr>
          <w:rFonts w:hint="eastAsia"/>
        </w:rPr>
        <w:t>の外にして考えていた．</w:t>
      </w:r>
    </w:p>
    <w:p w14:paraId="5D9887CA" w14:textId="77777777" w:rsidR="00173F77" w:rsidRDefault="00173F77">
      <w:pPr>
        <w:pStyle w:val="a6"/>
      </w:pPr>
    </w:p>
    <w:p w14:paraId="7C02247F" w14:textId="77777777" w:rsidR="00173F77" w:rsidRDefault="00173F77">
      <w:pPr>
        <w:pStyle w:val="a6"/>
      </w:pPr>
      <w:r>
        <w:rPr>
          <w:rFonts w:hint="eastAsia"/>
        </w:rPr>
        <w:t>時点の調整をしていいかどうかが近似（確率的なので）</w:t>
      </w:r>
    </w:p>
    <w:p w14:paraId="49CFD256" w14:textId="4735FA94" w:rsidR="00173F77" w:rsidRDefault="00173F77">
      <w:pPr>
        <w:pStyle w:val="a6"/>
        <w:rPr>
          <w:rFonts w:hint="eastAsia"/>
        </w:rPr>
      </w:pPr>
      <w:r>
        <w:rPr>
          <w:rFonts w:hint="eastAsia"/>
        </w:rPr>
        <w:t>積の期待値を各々の期待値取ってからにする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220AC9" w15:done="0"/>
  <w15:commentEx w15:paraId="49CFD2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A0C3B" w16cex:dateUtc="2021-06-08T06:33:00Z"/>
  <w16cex:commentExtensible w16cex:durableId="246A075E" w16cex:dateUtc="2021-06-08T0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220AC9" w16cid:durableId="246A0C3B"/>
  <w16cid:commentId w16cid:paraId="49CFD256" w16cid:durableId="246A07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26499"/>
    <w:multiLevelType w:val="hybridMultilevel"/>
    <w:tmpl w:val="966AF96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559033F"/>
    <w:multiLevelType w:val="hybridMultilevel"/>
    <w:tmpl w:val="7E54BF38"/>
    <w:lvl w:ilvl="0" w:tplc="04090005">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4961B42"/>
    <w:multiLevelType w:val="hybridMultilevel"/>
    <w:tmpl w:val="B3C2CD50"/>
    <w:lvl w:ilvl="0" w:tplc="FA96114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52302B2"/>
    <w:multiLevelType w:val="multilevel"/>
    <w:tmpl w:val="19E02594"/>
    <w:lvl w:ilvl="0">
      <w:start w:val="3"/>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4CB6151B"/>
    <w:multiLevelType w:val="hybridMultilevel"/>
    <w:tmpl w:val="E098B518"/>
    <w:lvl w:ilvl="0" w:tplc="64801AFC">
      <w:start w:val="3"/>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F76087F"/>
    <w:multiLevelType w:val="hybridMultilevel"/>
    <w:tmpl w:val="966AF964"/>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3"/>
  </w:num>
  <w:num w:numId="2">
    <w:abstractNumId w:val="3"/>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1"/>
  </w:num>
  <w:num w:numId="6">
    <w:abstractNumId w:val="5"/>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柴原 聖大">
    <w15:presenceInfo w15:providerId="Windows Live" w15:userId="be520e513ca46f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F6"/>
    <w:rsid w:val="000050F0"/>
    <w:rsid w:val="00020B99"/>
    <w:rsid w:val="000E4A4F"/>
    <w:rsid w:val="00173F77"/>
    <w:rsid w:val="001B45CB"/>
    <w:rsid w:val="001D088E"/>
    <w:rsid w:val="002F4A71"/>
    <w:rsid w:val="003B7A6C"/>
    <w:rsid w:val="004F3252"/>
    <w:rsid w:val="006E594B"/>
    <w:rsid w:val="006F0AF6"/>
    <w:rsid w:val="007238C7"/>
    <w:rsid w:val="00866824"/>
    <w:rsid w:val="00AE77B6"/>
    <w:rsid w:val="00BC180F"/>
    <w:rsid w:val="00BF4A69"/>
    <w:rsid w:val="00CB5DA0"/>
    <w:rsid w:val="00CE65D5"/>
    <w:rsid w:val="00D0400E"/>
    <w:rsid w:val="00E354CE"/>
    <w:rsid w:val="00E86E92"/>
    <w:rsid w:val="00EF4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FDCC9D"/>
  <w15:chartTrackingRefBased/>
  <w15:docId w15:val="{46991348-8C6B-47ED-B64E-677DB9FB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6F0AF6"/>
    <w:pPr>
      <w:numPr>
        <w:numId w:val="1"/>
      </w:numPr>
      <w:ind w:leftChars="0" w:left="0"/>
      <w:jc w:val="left"/>
      <w:outlineLvl w:val="0"/>
    </w:pPr>
    <w:rPr>
      <w:b/>
      <w:bCs/>
      <w:sz w:val="24"/>
      <w:szCs w:val="28"/>
    </w:rPr>
  </w:style>
  <w:style w:type="paragraph" w:styleId="2">
    <w:name w:val="heading 2"/>
    <w:basedOn w:val="1"/>
    <w:next w:val="a"/>
    <w:link w:val="20"/>
    <w:uiPriority w:val="9"/>
    <w:unhideWhenUsed/>
    <w:qFormat/>
    <w:rsid w:val="001B45CB"/>
    <w:pPr>
      <w:numPr>
        <w:ilvl w:val="1"/>
      </w:numPr>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6F0AF6"/>
    <w:pPr>
      <w:ind w:leftChars="400" w:left="840"/>
    </w:pPr>
  </w:style>
  <w:style w:type="character" w:customStyle="1" w:styleId="10">
    <w:name w:val="見出し 1 (文字)"/>
    <w:basedOn w:val="a1"/>
    <w:link w:val="1"/>
    <w:uiPriority w:val="9"/>
    <w:rsid w:val="006F0AF6"/>
    <w:rPr>
      <w:b/>
      <w:bCs/>
      <w:sz w:val="24"/>
      <w:szCs w:val="28"/>
    </w:rPr>
  </w:style>
  <w:style w:type="character" w:styleId="a4">
    <w:name w:val="Placeholder Text"/>
    <w:basedOn w:val="a1"/>
    <w:uiPriority w:val="99"/>
    <w:semiHidden/>
    <w:rsid w:val="006F0AF6"/>
    <w:rPr>
      <w:color w:val="808080"/>
    </w:rPr>
  </w:style>
  <w:style w:type="character" w:customStyle="1" w:styleId="20">
    <w:name w:val="見出し 2 (文字)"/>
    <w:basedOn w:val="a1"/>
    <w:link w:val="2"/>
    <w:uiPriority w:val="9"/>
    <w:rsid w:val="001B45CB"/>
    <w:rPr>
      <w:b/>
      <w:bCs/>
      <w:sz w:val="24"/>
      <w:szCs w:val="28"/>
    </w:rPr>
  </w:style>
  <w:style w:type="character" w:styleId="a5">
    <w:name w:val="annotation reference"/>
    <w:basedOn w:val="a1"/>
    <w:uiPriority w:val="99"/>
    <w:semiHidden/>
    <w:unhideWhenUsed/>
    <w:rsid w:val="000050F0"/>
    <w:rPr>
      <w:sz w:val="18"/>
      <w:szCs w:val="18"/>
    </w:rPr>
  </w:style>
  <w:style w:type="paragraph" w:styleId="a6">
    <w:name w:val="annotation text"/>
    <w:basedOn w:val="a"/>
    <w:link w:val="a7"/>
    <w:uiPriority w:val="99"/>
    <w:semiHidden/>
    <w:unhideWhenUsed/>
    <w:rsid w:val="000050F0"/>
    <w:pPr>
      <w:jc w:val="left"/>
    </w:pPr>
  </w:style>
  <w:style w:type="character" w:customStyle="1" w:styleId="a7">
    <w:name w:val="コメント文字列 (文字)"/>
    <w:basedOn w:val="a1"/>
    <w:link w:val="a6"/>
    <w:uiPriority w:val="99"/>
    <w:semiHidden/>
    <w:rsid w:val="000050F0"/>
  </w:style>
  <w:style w:type="paragraph" w:styleId="a8">
    <w:name w:val="annotation subject"/>
    <w:basedOn w:val="a6"/>
    <w:next w:val="a6"/>
    <w:link w:val="a9"/>
    <w:uiPriority w:val="99"/>
    <w:semiHidden/>
    <w:unhideWhenUsed/>
    <w:rsid w:val="000050F0"/>
    <w:rPr>
      <w:b/>
      <w:bCs/>
    </w:rPr>
  </w:style>
  <w:style w:type="character" w:customStyle="1" w:styleId="a9">
    <w:name w:val="コメント内容 (文字)"/>
    <w:basedOn w:val="a7"/>
    <w:link w:val="a8"/>
    <w:uiPriority w:val="99"/>
    <w:semiHidden/>
    <w:rsid w:val="000050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5" Type="http://schemas.openxmlformats.org/officeDocument/2006/relationships/image" Target="media/image1.png"/><Relationship Id="rId15" Type="http://schemas.microsoft.com/office/2011/relationships/commentsExtended" Target="commentsExtended.xml"/><Relationship Id="rId23" Type="http://schemas.openxmlformats.org/officeDocument/2006/relationships/image" Target="media/image15.png"/><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omments" Target="comments.xml"/><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3</Pages>
  <Words>144</Words>
  <Characters>822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柴原 聖大</dc:creator>
  <cp:keywords/>
  <dc:description/>
  <cp:lastModifiedBy>柴原 聖大</cp:lastModifiedBy>
  <cp:revision>6</cp:revision>
  <dcterms:created xsi:type="dcterms:W3CDTF">2021-06-06T15:29:00Z</dcterms:created>
  <dcterms:modified xsi:type="dcterms:W3CDTF">2021-06-08T06:53:00Z</dcterms:modified>
</cp:coreProperties>
</file>