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802" w14:textId="674F9A4A" w:rsidR="005726BE" w:rsidRPr="00C738B4" w:rsidRDefault="00426FC0" w:rsidP="00C738B4">
      <w:pPr>
        <w:pStyle w:val="1"/>
        <w:spacing w:before="180" w:after="180"/>
      </w:pPr>
      <w:r w:rsidRPr="00C738B4">
        <w:rPr>
          <w:rFonts w:hint="eastAsia"/>
        </w:rPr>
        <w:t>定義</w:t>
      </w:r>
    </w:p>
    <w:p w14:paraId="5B157567" w14:textId="1C154AF9" w:rsidR="00426FC0" w:rsidRDefault="00426FC0">
      <w:r>
        <w:rPr>
          <w:rFonts w:hint="eastAsia"/>
        </w:rPr>
        <w:t>時点，レグ：</w:t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04A4E73A" w14:textId="2A9F788F" w:rsidR="00426FC0" w:rsidRDefault="00426FC0">
      <w:r>
        <w:rPr>
          <w:rFonts w:hint="eastAsia"/>
        </w:rPr>
        <w:t>時点間隔：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　　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42E0C2DE" w14:textId="78E4EE7B" w:rsidR="00426FC0" w:rsidRDefault="00426FC0"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以上で時点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の最も近いレグ：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 :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≥t</m:t>
            </m:r>
          </m:e>
        </m:d>
      </m:oMath>
    </w:p>
    <w:p w14:paraId="019DD228" w14:textId="33E999F3" w:rsidR="00426FC0" w:rsidRDefault="00426FC0">
      <w:r>
        <w:rPr>
          <w:rFonts w:hint="eastAsia"/>
        </w:rPr>
        <w:t>債券価格：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=P(t,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63DA63E8" w14:textId="55026E55" w:rsidR="00C738B4" w:rsidRDefault="00C738B4" w:rsidP="00C738B4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191551" w14:paraId="3638037E" w14:textId="77777777" w:rsidTr="00191551">
        <w:tc>
          <w:tcPr>
            <w:tcW w:w="3554" w:type="dxa"/>
          </w:tcPr>
          <w:p w14:paraId="6187F95D" w14:textId="77777777" w:rsidR="00191551" w:rsidRDefault="00191551"/>
        </w:tc>
        <w:tc>
          <w:tcPr>
            <w:tcW w:w="3555" w:type="dxa"/>
            <w:vAlign w:val="center"/>
          </w:tcPr>
          <w:p w14:paraId="58FFCC8A" w14:textId="77777777" w:rsidR="00191551" w:rsidRDefault="00191551" w:rsidP="00191551">
            <w:pPr>
              <w:jc w:val="center"/>
            </w:pPr>
            <w:r>
              <w:rPr>
                <w:rFonts w:hint="eastAsia"/>
              </w:rPr>
              <w:t>LIBOR</w:t>
            </w:r>
            <w:r>
              <w:rPr>
                <w:rFonts w:hint="eastAsia"/>
              </w:rPr>
              <w:t>公表停止後</w:t>
            </w:r>
          </w:p>
          <w:p w14:paraId="38765122" w14:textId="6856B953" w:rsidR="00191551" w:rsidRDefault="00191551" w:rsidP="00191551">
            <w:pPr>
              <w:jc w:val="center"/>
            </w:pPr>
            <w:r>
              <w:t>backward-looking</w:t>
            </w:r>
          </w:p>
        </w:tc>
        <w:tc>
          <w:tcPr>
            <w:tcW w:w="3555" w:type="dxa"/>
            <w:vAlign w:val="center"/>
          </w:tcPr>
          <w:p w14:paraId="0CE5606B" w14:textId="77777777" w:rsidR="00191551" w:rsidRDefault="00191551" w:rsidP="00191551">
            <w:pPr>
              <w:jc w:val="center"/>
            </w:pPr>
            <w:r>
              <w:rPr>
                <w:rFonts w:hint="eastAsia"/>
              </w:rPr>
              <w:t>LIBOR</w:t>
            </w:r>
            <w:r>
              <w:rPr>
                <w:rFonts w:hint="eastAsia"/>
              </w:rPr>
              <w:t>公表停止前</w:t>
            </w:r>
          </w:p>
          <w:p w14:paraId="2E1351DB" w14:textId="30CD0038" w:rsidR="00191551" w:rsidRDefault="00191551" w:rsidP="00191551">
            <w:pPr>
              <w:jc w:val="center"/>
            </w:pPr>
            <w:r>
              <w:t>forward-looking</w:t>
            </w:r>
          </w:p>
        </w:tc>
      </w:tr>
      <w:tr w:rsidR="00C738B4" w14:paraId="583E02DB" w14:textId="77777777" w:rsidTr="00191551">
        <w:tc>
          <w:tcPr>
            <w:tcW w:w="3554" w:type="dxa"/>
            <w:vAlign w:val="center"/>
          </w:tcPr>
          <w:p w14:paraId="01E05941" w14:textId="18D9246B" w:rsidR="00C738B4" w:rsidRDefault="00C738B4" w:rsidP="00191551">
            <w:r>
              <w:rPr>
                <w:rFonts w:hint="eastAsia"/>
              </w:rPr>
              <w:t>スポットレート</w:t>
            </w:r>
          </w:p>
        </w:tc>
        <w:tc>
          <w:tcPr>
            <w:tcW w:w="3555" w:type="dxa"/>
          </w:tcPr>
          <w:p w14:paraId="16CCC784" w14:textId="318CE682" w:rsidR="00C738B4" w:rsidRDefault="00C738B4"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3555" w:type="dxa"/>
            <w:vAlign w:val="center"/>
          </w:tcPr>
          <w:p w14:paraId="490ECF92" w14:textId="47E4477D" w:rsidR="00C738B4" w:rsidRDefault="00C738B4" w:rsidP="00C738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j-1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</w:tc>
      </w:tr>
      <w:tr w:rsidR="00C738B4" w14:paraId="1A2499B6" w14:textId="77777777" w:rsidTr="00191551">
        <w:tc>
          <w:tcPr>
            <w:tcW w:w="3554" w:type="dxa"/>
            <w:vAlign w:val="center"/>
          </w:tcPr>
          <w:p w14:paraId="5E007E33" w14:textId="2CAB3874" w:rsidR="00C738B4" w:rsidRDefault="00C738B4" w:rsidP="00191551">
            <w:r>
              <w:rPr>
                <w:rFonts w:hint="eastAsia"/>
              </w:rPr>
              <w:t>フォワードレート</w:t>
            </w:r>
          </w:p>
        </w:tc>
        <w:tc>
          <w:tcPr>
            <w:tcW w:w="3555" w:type="dxa"/>
          </w:tcPr>
          <w:p w14:paraId="317122A0" w14:textId="77777777" w:rsidR="00C738B4" w:rsidRPr="00E94705" w:rsidRDefault="006E61C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53F640EB" w14:textId="3C3053F8" w:rsidR="00E94705" w:rsidRDefault="006E61C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</m:sSub>
                  </m:e>
                </m:d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55" w:type="dxa"/>
            <w:vAlign w:val="center"/>
          </w:tcPr>
          <w:p w14:paraId="29CFB370" w14:textId="5DC554BD" w:rsidR="00C738B4" w:rsidRPr="00C738B4" w:rsidRDefault="00C738B4" w:rsidP="00C738B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</m:d>
              </m:oMath>
            </m:oMathPara>
          </w:p>
          <w:p w14:paraId="292561C5" w14:textId="3C7D0021" w:rsidR="00C738B4" w:rsidRPr="00C738B4" w:rsidRDefault="00C738B4" w:rsidP="00C738B4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t&gt;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4D8F0C9F" w14:textId="33EBD0C4" w:rsidR="00C738B4" w:rsidRDefault="00C738B4" w:rsidP="00C738B4">
      <w:pPr>
        <w:pStyle w:val="a6"/>
        <w:jc w:val="center"/>
      </w:pPr>
      <w:r>
        <w:rPr>
          <w:rFonts w:hint="eastAsia"/>
        </w:rPr>
        <w:t>図表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金利整理</w:t>
      </w:r>
    </w:p>
    <w:p w14:paraId="5FD25949" w14:textId="77777777" w:rsidR="00C738B4" w:rsidRDefault="00C738B4"/>
    <w:p w14:paraId="03CC1D76" w14:textId="651F9184" w:rsidR="0031192C" w:rsidRDefault="00DE3754" w:rsidP="0031192C">
      <w:pPr>
        <w:pStyle w:val="a0"/>
        <w:numPr>
          <w:ilvl w:val="0"/>
          <w:numId w:val="1"/>
        </w:numPr>
        <w:ind w:leftChars="0"/>
      </w:pPr>
      <w:r>
        <w:rPr>
          <w:rFonts w:hint="eastAsia"/>
        </w:rPr>
        <w:t>スポットレート</w:t>
      </w:r>
    </w:p>
    <w:p w14:paraId="17235D43" w14:textId="0D196BFD" w:rsidR="0031192C" w:rsidRDefault="0031192C" w:rsidP="0031192C">
      <w:pPr>
        <w:pStyle w:val="a0"/>
        <w:numPr>
          <w:ilvl w:val="0"/>
          <w:numId w:val="2"/>
        </w:numPr>
        <w:ind w:leftChars="0"/>
      </w:pPr>
      <w:r>
        <w:t>backward-looking</w:t>
      </w:r>
    </w:p>
    <w:p w14:paraId="7E172356" w14:textId="1E268330" w:rsidR="00426FC0" w:rsidRDefault="00426FC0" w:rsidP="0031192C">
      <w:pPr>
        <w:ind w:firstLine="840"/>
      </w:pP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での後決め複利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（</w:t>
      </w:r>
      <w:r>
        <w:t>the daily-compounded setting-in-arrears rate</w:t>
      </w:r>
      <w:r>
        <w:rPr>
          <w:rFonts w:hint="eastAsia"/>
        </w:rPr>
        <w:t>）は</w:t>
      </w:r>
    </w:p>
    <w:p w14:paraId="46839637" w14:textId="45107CF8" w:rsidR="00426FC0" w:rsidRPr="0031192C" w:rsidRDefault="00426FC0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4970FEF" w14:textId="7168B66D" w:rsidR="0031192C" w:rsidRDefault="0031192C" w:rsidP="0031192C">
      <w:pPr>
        <w:ind w:left="840"/>
      </w:pPr>
      <w:r>
        <w:rPr>
          <w:rFonts w:hint="eastAsia"/>
        </w:rPr>
        <w:t>このように，後決め複利は，</w:t>
      </w:r>
      <w:r>
        <w:t>backward-looking</w:t>
      </w:r>
    </w:p>
    <w:p w14:paraId="00CC9AC0" w14:textId="484CC570" w:rsidR="0031192C" w:rsidRDefault="0031192C"/>
    <w:p w14:paraId="23C9C460" w14:textId="77777777" w:rsidR="0031192C" w:rsidRDefault="0031192C" w:rsidP="0031192C">
      <w:pPr>
        <w:pStyle w:val="a0"/>
        <w:numPr>
          <w:ilvl w:val="0"/>
          <w:numId w:val="2"/>
        </w:numPr>
        <w:ind w:leftChars="0"/>
      </w:pPr>
      <w:r>
        <w:t>forward-looking rates</w:t>
      </w:r>
    </w:p>
    <w:p w14:paraId="4A5E96C6" w14:textId="77777777" w:rsidR="00854B85" w:rsidRDefault="0031192C" w:rsidP="0031192C">
      <w:pPr>
        <w:pStyle w:val="a0"/>
        <w:ind w:leftChars="0"/>
      </w:pPr>
      <w:r>
        <w:rPr>
          <w:rFonts w:hint="eastAsia"/>
        </w:rPr>
        <w:t>一方で，</w:t>
      </w:r>
      <w:r>
        <w:t>forward-looking rates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は</w:t>
      </w:r>
      <w:r>
        <w:rPr>
          <w:rFonts w:hint="eastAsia"/>
        </w:rPr>
        <w:t>O</w:t>
      </w:r>
      <w:r>
        <w:t>IS</w:t>
      </w:r>
      <w:r>
        <w:rPr>
          <w:rFonts w:hint="eastAsia"/>
        </w:rPr>
        <w:t>レート同様に</w:t>
      </w:r>
      <w:r w:rsidR="00854B85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で</w:t>
      </w:r>
      <m:oMath>
        <m:r>
          <w:rPr>
            <w:rFonts w:ascii="Cambria Math" w:hAnsi="Cambria Math"/>
          </w:rPr>
          <m:t>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)/B(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)</m:t>
        </m:r>
      </m:oMath>
      <w:r w:rsidRPr="0031192C">
        <w:rPr>
          <w:rFonts w:hint="eastAsia"/>
        </w:rPr>
        <w:t>と交換される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="00854B85">
        <w:rPr>
          <w:rFonts w:hint="eastAsia"/>
        </w:rPr>
        <w:t>における</w:t>
      </w:r>
      <w:r w:rsidR="00854B85">
        <w:rPr>
          <w:rFonts w:hint="eastAsia"/>
        </w:rPr>
        <w:t>スワップの価値が</w:t>
      </w:r>
      <w:r w:rsidR="00854B85">
        <w:rPr>
          <w:rFonts w:hint="eastAsia"/>
        </w:rPr>
        <w:t>0</w:t>
      </w:r>
      <w:r w:rsidR="00854B85">
        <w:rPr>
          <w:rFonts w:hint="eastAsia"/>
        </w:rPr>
        <w:t>となる場合の</w:t>
      </w:r>
      <w:r w:rsidRPr="0031192C">
        <w:rPr>
          <w:rFonts w:hint="eastAsia"/>
        </w:rPr>
        <w:t>固定レート</w:t>
      </w:r>
      <w:r w:rsidR="00854B85">
        <w:rPr>
          <w:rFonts w:hint="eastAsia"/>
        </w:rPr>
        <w:t>である</w:t>
      </w:r>
      <w:r>
        <w:rPr>
          <w:rFonts w:hint="eastAsia"/>
        </w:rPr>
        <w:t>．</w:t>
      </w:r>
    </w:p>
    <w:p w14:paraId="38EF4CEE" w14:textId="01F26022" w:rsidR="0031192C" w:rsidRDefault="0031192C" w:rsidP="0031192C">
      <w:pPr>
        <w:pStyle w:val="a0"/>
        <w:ind w:leftChars="0"/>
      </w:pPr>
      <w:r>
        <w:rPr>
          <w:rFonts w:hint="eastAsia"/>
        </w:rPr>
        <w:t>無裁定条件から，</w:t>
      </w:r>
    </w:p>
    <w:p w14:paraId="47AC4297" w14:textId="58A6F343" w:rsidR="0031192C" w:rsidRPr="0031192C" w:rsidRDefault="0031192C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sub>
              </m:sSub>
            </m:e>
          </m:d>
        </m:oMath>
      </m:oMathPara>
    </w:p>
    <w:p w14:paraId="6C4320C8" w14:textId="77777777" w:rsidR="0031192C" w:rsidRDefault="0031192C"/>
    <w:p w14:paraId="61AEE298" w14:textId="6C903A63" w:rsidR="0031192C" w:rsidRDefault="00DE3754" w:rsidP="00DE3754">
      <w:pPr>
        <w:pStyle w:val="a0"/>
        <w:numPr>
          <w:ilvl w:val="0"/>
          <w:numId w:val="1"/>
        </w:numPr>
        <w:ind w:leftChars="0"/>
      </w:pPr>
      <w:r>
        <w:rPr>
          <w:rFonts w:hint="eastAsia"/>
        </w:rPr>
        <w:t>フォワードレート</w:t>
      </w:r>
    </w:p>
    <w:p w14:paraId="7D23B142" w14:textId="77777777" w:rsidR="00A00E2D" w:rsidRDefault="00A00E2D" w:rsidP="00DE3754">
      <w:pPr>
        <w:pStyle w:val="a0"/>
        <w:numPr>
          <w:ilvl w:val="0"/>
          <w:numId w:val="2"/>
        </w:numPr>
        <w:ind w:leftChars="0" w:left="420"/>
      </w:pPr>
      <w:r>
        <w:t>Backward-looking</w:t>
      </w:r>
    </w:p>
    <w:p w14:paraId="4DA05E11" w14:textId="5F8FD3E5" w:rsidR="00DE3754" w:rsidRDefault="00D23FCC" w:rsidP="00A00E2D">
      <w:pPr>
        <w:pStyle w:val="a0"/>
        <w:ind w:leftChars="0" w:left="420"/>
      </w:pPr>
      <w:r>
        <w:t>Backward-looking</w:t>
      </w:r>
      <w:r w:rsidR="00DE3754">
        <w:rPr>
          <w:rFonts w:hint="eastAsia"/>
        </w:rPr>
        <w:t>の後決めフォワードレート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(t)</m:t>
        </m:r>
      </m:oMath>
      <w:r w:rsidR="00DE3754">
        <w:rPr>
          <w:rFonts w:hint="eastAsia"/>
        </w:rPr>
        <w:t>は，時点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E3754">
        <w:rPr>
          <w:rFonts w:hint="eastAsia"/>
        </w:rPr>
        <w:t>で後決め変動金利と固定金利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E3754">
        <w:rPr>
          <w:rFonts w:hint="eastAsia"/>
        </w:rPr>
        <w:t>を交換する</w:t>
      </w:r>
      <w:r w:rsidR="002C5121">
        <w:rPr>
          <w:rFonts w:hint="eastAsia"/>
        </w:rPr>
        <w:t>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2C5121">
        <w:rPr>
          <w:rFonts w:hint="eastAsia"/>
        </w:rPr>
        <w:t>における</w:t>
      </w:r>
      <w:r w:rsidR="00DE3754">
        <w:rPr>
          <w:rFonts w:hint="eastAsia"/>
        </w:rPr>
        <w:t>スワップレットの価値が</w:t>
      </w:r>
      <w:r w:rsidR="00DE3754">
        <w:rPr>
          <w:rFonts w:hint="eastAsia"/>
        </w:rPr>
        <w:t>0</w:t>
      </w:r>
      <w:r w:rsidR="00DE3754">
        <w:rPr>
          <w:rFonts w:hint="eastAsia"/>
        </w:rPr>
        <w:t>となる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E3754">
        <w:rPr>
          <w:rFonts w:hint="eastAsia"/>
        </w:rPr>
        <w:t>で定義される．</w:t>
      </w:r>
    </w:p>
    <w:p w14:paraId="6A6C07E9" w14:textId="7E064699" w:rsidR="00DE3754" w:rsidRDefault="00DE3754" w:rsidP="00DE3754">
      <w:pPr>
        <w:pStyle w:val="a0"/>
        <w:ind w:leftChars="0" w:left="420"/>
      </w:pPr>
      <w:r>
        <w:rPr>
          <w:rFonts w:hint="eastAsia"/>
        </w:rPr>
        <w:t>無裁定条件より，</w:t>
      </w:r>
    </w:p>
    <w:p w14:paraId="51CF4A2D" w14:textId="5013A116" w:rsidR="00DE3754" w:rsidRDefault="006E61CE" w:rsidP="00DE3754">
      <w:pPr>
        <w:pStyle w:val="a0"/>
        <w:ind w:leftChars="0"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sub>
              </m:sSub>
            </m:e>
          </m:d>
        </m:oMath>
      </m:oMathPara>
    </w:p>
    <w:p w14:paraId="22098A14" w14:textId="464C925A" w:rsidR="00DE3754" w:rsidRDefault="00DE3754" w:rsidP="00DE3754">
      <w:pPr>
        <w:pStyle w:val="a0"/>
        <w:ind w:leftChars="0" w:left="420"/>
      </w:pPr>
      <w:r>
        <w:rPr>
          <w:rFonts w:hint="eastAsia"/>
        </w:rPr>
        <w:t>したがって，</w:t>
      </w:r>
    </w:p>
    <w:p w14:paraId="02976542" w14:textId="5B5FB9FF" w:rsidR="00DE3754" w:rsidRDefault="00DE3754" w:rsidP="00DE3754">
      <w:pPr>
        <w:pStyle w:val="a0"/>
        <w:ind w:leftChars="0" w:left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</m:oMath>
      </m:oMathPara>
    </w:p>
    <w:p w14:paraId="0248C4ED" w14:textId="2F594C58" w:rsidR="00DE3754" w:rsidRDefault="00DE3754" w:rsidP="00DE3754">
      <w:pPr>
        <w:pStyle w:val="a0"/>
        <w:ind w:leftChars="0" w:left="420"/>
        <w:jc w:val="center"/>
      </w:pPr>
      <w:r>
        <w:rPr>
          <w:noProof/>
        </w:rPr>
        <w:drawing>
          <wp:inline distT="0" distB="0" distL="0" distR="0" wp14:anchorId="46703F49" wp14:editId="5B38A32B">
            <wp:extent cx="3190875" cy="8191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963A" w14:textId="6B28F124" w:rsidR="009B3692" w:rsidRDefault="009B3692" w:rsidP="009B3692">
      <w:pPr>
        <w:pStyle w:val="a0"/>
        <w:ind w:leftChars="0" w:left="420"/>
        <w:jc w:val="left"/>
      </w:pPr>
    </w:p>
    <w:p w14:paraId="1CB7DA61" w14:textId="0A04C1FD" w:rsidR="009B3692" w:rsidRDefault="009B3692" w:rsidP="009B3692">
      <w:pPr>
        <w:pStyle w:val="a0"/>
        <w:ind w:leftChars="0" w:left="420"/>
        <w:jc w:val="left"/>
      </w:pPr>
      <w:r>
        <w:rPr>
          <w:rFonts w:hint="eastAsia"/>
        </w:rPr>
        <w:lastRenderedPageBreak/>
        <w:t>測度をリスク中立測度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の変換することで，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を導出できる．</w:t>
      </w:r>
    </w:p>
    <w:p w14:paraId="7392BCC8" w14:textId="6855A621" w:rsidR="009B3692" w:rsidRPr="009B3692" w:rsidRDefault="009B3692" w:rsidP="009B3692">
      <w:pPr>
        <w:pStyle w:val="a0"/>
        <w:ind w:leftChars="0" w:left="420"/>
        <w:jc w:val="left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85CB723" w14:textId="38EE6418" w:rsidR="009B3692" w:rsidRDefault="006757EE" w:rsidP="009B3692">
      <w:pPr>
        <w:pStyle w:val="a0"/>
        <w:ind w:leftChars="0" w:left="420"/>
        <w:jc w:val="left"/>
        <w:rPr>
          <w:iCs/>
        </w:rPr>
      </w:pPr>
      <w:r>
        <w:rPr>
          <w:rFonts w:hint="eastAsia"/>
          <w:iCs/>
        </w:rPr>
        <w:t>また</w:t>
      </w:r>
      <w:r w:rsidR="009B3692">
        <w:rPr>
          <w:rFonts w:hint="eastAsia"/>
          <w:iCs/>
        </w:rPr>
        <w:t>，ギルザノフの定理より</w:t>
      </w:r>
      <w:r>
        <w:rPr>
          <w:rFonts w:hint="eastAsia"/>
          <w:iCs/>
        </w:rPr>
        <w:t>，下記式を利用して</w:t>
      </w:r>
    </w:p>
    <w:p w14:paraId="6EBBF9B9" w14:textId="3A86EE0C" w:rsidR="009B3692" w:rsidRPr="006757EE" w:rsidRDefault="006E61CE" w:rsidP="009B3692">
      <w:pPr>
        <w:pStyle w:val="a0"/>
        <w:ind w:leftChars="0" w:left="420"/>
        <w:jc w:val="left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B(T)/B(t)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1/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B(T)</m:t>
              </m:r>
            </m:den>
          </m:f>
        </m:oMath>
      </m:oMathPara>
    </w:p>
    <w:p w14:paraId="30362B8E" w14:textId="77777777" w:rsidR="006757EE" w:rsidRPr="006757EE" w:rsidRDefault="006757EE" w:rsidP="009B3692">
      <w:pPr>
        <w:pStyle w:val="a0"/>
        <w:ind w:leftChars="0" w:left="420"/>
        <w:jc w:val="left"/>
        <w:rPr>
          <w:iCs/>
        </w:rPr>
      </w:pPr>
    </w:p>
    <w:p w14:paraId="6293D76E" w14:textId="492B557D" w:rsidR="006757EE" w:rsidRPr="009B3692" w:rsidRDefault="006757EE" w:rsidP="006757EE">
      <w:pPr>
        <w:pStyle w:val="a0"/>
        <w:ind w:leftChars="0" w:left="420"/>
        <w:jc w:val="left"/>
      </w:pPr>
      <m:oMathPara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dQ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du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2B00A3EB" w14:textId="31A4B057" w:rsidR="006757EE" w:rsidRDefault="006757EE" w:rsidP="00A00E2D">
      <w:pPr>
        <w:pStyle w:val="a0"/>
        <w:ind w:leftChars="300" w:left="630"/>
        <w:jc w:val="left"/>
        <w:rPr>
          <w:iCs/>
        </w:rPr>
      </w:pPr>
      <w:r>
        <w:rPr>
          <w:rFonts w:hint="eastAsia"/>
          <w:iCs/>
        </w:rPr>
        <w:t>したがって，下記となり古典的なフォワードレートの公式に一致．</w:t>
      </w:r>
    </w:p>
    <w:p w14:paraId="54095D01" w14:textId="160DD060" w:rsidR="006757EE" w:rsidRPr="006757EE" w:rsidRDefault="006E61CE" w:rsidP="009B3692">
      <w:pPr>
        <w:pStyle w:val="a0"/>
        <w:ind w:leftChars="0" w:left="4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2D2E1C8" w14:textId="49C37F61" w:rsidR="006757EE" w:rsidRDefault="006E61CE" w:rsidP="00A00E2D">
      <w:pPr>
        <w:pStyle w:val="a0"/>
        <w:ind w:leftChars="300" w:left="63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757EE">
        <w:rPr>
          <w:rFonts w:hint="eastAsia"/>
        </w:rPr>
        <w:t>は以下を満たす．</w:t>
      </w:r>
    </w:p>
    <w:p w14:paraId="2AFFB364" w14:textId="1E6878FB" w:rsidR="006757EE" w:rsidRDefault="006757EE" w:rsidP="00A00E2D">
      <w:pPr>
        <w:pStyle w:val="a0"/>
        <w:ind w:leftChars="300" w:left="630"/>
        <w:jc w:val="left"/>
      </w:pPr>
      <w:r>
        <w:rPr>
          <w:rFonts w:hint="eastAsia"/>
        </w:rPr>
        <w:t>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C6192">
        <w:rPr>
          <w:rFonts w:hint="eastAsia"/>
        </w:rPr>
        <w:t>-</w:t>
      </w:r>
      <w:r w:rsidR="001C6192">
        <w:rPr>
          <w:rFonts w:hint="eastAsia"/>
        </w:rPr>
        <w:t>フォワードメジャーの下でマルチンゲール</w:t>
      </w:r>
    </w:p>
    <w:p w14:paraId="28F5EEA8" w14:textId="0E6D61C8" w:rsidR="001C6192" w:rsidRDefault="001C6192" w:rsidP="00A00E2D">
      <w:pPr>
        <w:pStyle w:val="a0"/>
        <w:ind w:leftChars="300" w:left="630"/>
        <w:jc w:val="left"/>
      </w:pPr>
      <w:r>
        <w:rPr>
          <w:rFonts w:hint="eastAsia"/>
        </w:rPr>
        <w:t>・時点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hint="eastAsia"/>
        </w:rPr>
        <w:t>で</w:t>
      </w:r>
      <w:r>
        <w:rPr>
          <w:rFonts w:hint="eastAsia"/>
        </w:rPr>
        <w:t>f</w:t>
      </w:r>
      <w:r>
        <w:t>orward-looking</w:t>
      </w:r>
      <w:r>
        <w:rPr>
          <w:rFonts w:hint="eastAsia"/>
        </w:rPr>
        <w:t>スポットレートと一致．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05A991F0" w14:textId="69E70555" w:rsidR="001C6192" w:rsidRDefault="001C6192" w:rsidP="00A00E2D">
      <w:pPr>
        <w:pStyle w:val="a0"/>
        <w:ind w:leftChars="300" w:left="630"/>
        <w:jc w:val="left"/>
      </w:pPr>
      <w:r>
        <w:rPr>
          <w:rFonts w:hint="eastAsia"/>
          <w:iCs/>
        </w:rPr>
        <w:t>・実現した</w:t>
      </w:r>
      <w:r>
        <w:rPr>
          <w:rFonts w:hint="eastAsia"/>
          <w:iCs/>
        </w:rPr>
        <w:t>b</w:t>
      </w:r>
      <w:r>
        <w:rPr>
          <w:iCs/>
        </w:rPr>
        <w:t>ackward-looking</w:t>
      </w:r>
      <w:r>
        <w:rPr>
          <w:rFonts w:hint="eastAsia"/>
          <w:iCs/>
        </w:rPr>
        <w:t>スポットレートと一致．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5EC48F21" w14:textId="585797A7" w:rsidR="001C6192" w:rsidRDefault="001C6192" w:rsidP="00A00E2D">
      <w:pPr>
        <w:pStyle w:val="a0"/>
        <w:ind w:leftChars="300" w:left="630"/>
        <w:jc w:val="left"/>
      </w:pPr>
      <w:r>
        <w:rPr>
          <w:rFonts w:hint="eastAsia"/>
        </w:rPr>
        <w:t>・時点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以降では固定．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 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3361BFB4" w14:textId="480434A8" w:rsidR="00A00E2D" w:rsidRDefault="00A00E2D" w:rsidP="00A00E2D">
      <w:pPr>
        <w:pStyle w:val="a0"/>
        <w:ind w:leftChars="300" w:left="630"/>
        <w:jc w:val="left"/>
      </w:pPr>
    </w:p>
    <w:p w14:paraId="6464E9D2" w14:textId="6868949F" w:rsidR="00A00E2D" w:rsidRDefault="006E61CE" w:rsidP="00A00E2D">
      <w:pPr>
        <w:pStyle w:val="a0"/>
        <w:ind w:leftChars="300" w:left="63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&lt;t&lt;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307CB">
        <w:rPr>
          <w:rFonts w:hint="eastAsia"/>
        </w:rPr>
        <w:t>のとき，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307CB">
        <w:rPr>
          <w:rFonts w:hint="eastAsia"/>
        </w:rPr>
        <w:t>は瞬間フォワードレート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r>
          <w:rPr>
            <w:rFonts w:ascii="Cambria Math" w:hAnsi="Cambria Math"/>
          </w:rPr>
          <m:t>, s∈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4307CB">
        <w:rPr>
          <w:rFonts w:hint="eastAsia"/>
        </w:rPr>
        <w:t>と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 s∈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</m:oMath>
      <w:r w:rsidR="004307CB">
        <w:rPr>
          <w:rFonts w:hint="eastAsia"/>
        </w:rPr>
        <w:t>を使用して，</w:t>
      </w:r>
    </w:p>
    <w:p w14:paraId="0F1A7533" w14:textId="580ACC12" w:rsidR="004307CB" w:rsidRPr="004307CB" w:rsidRDefault="004307CB" w:rsidP="00A00E2D">
      <w:pPr>
        <w:pStyle w:val="a0"/>
        <w:ind w:leftChars="300" w:left="630"/>
        <w:jc w:val="left"/>
      </w:pPr>
      <m:oMathPara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t,s</m:t>
                      </m:r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sup>
          </m:sSup>
        </m:oMath>
      </m:oMathPara>
    </w:p>
    <w:p w14:paraId="3143BC9C" w14:textId="3509B2FF" w:rsidR="004307CB" w:rsidRDefault="004307CB" w:rsidP="00A00E2D">
      <w:pPr>
        <w:pStyle w:val="a0"/>
        <w:ind w:leftChars="300" w:left="630"/>
        <w:jc w:val="left"/>
      </w:pPr>
      <m:oMath>
        <m:r>
          <w:rPr>
            <w:rFonts w:ascii="Cambria Math" w:hAnsi="Cambria Math"/>
          </w:rPr>
          <m:t>s&lt;t</m:t>
        </m:r>
      </m:oMath>
      <w:r>
        <w:rPr>
          <w:rFonts w:hint="eastAsia"/>
        </w:rPr>
        <w:t>のとき，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であることを利用して，</w:t>
      </w:r>
    </w:p>
    <w:p w14:paraId="5024A92B" w14:textId="176F1BCF" w:rsidR="004307CB" w:rsidRPr="004307CB" w:rsidRDefault="004307CB" w:rsidP="00A00E2D">
      <w:pPr>
        <w:pStyle w:val="a0"/>
        <w:ind w:leftChars="300" w:left="630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t,s</m:t>
                      </m:r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sup>
          </m:sSup>
        </m:oMath>
      </m:oMathPara>
    </w:p>
    <w:p w14:paraId="4CDA9774" w14:textId="78F11E2B" w:rsidR="001C6192" w:rsidRDefault="001C6192" w:rsidP="009B3692">
      <w:pPr>
        <w:pStyle w:val="a0"/>
        <w:ind w:leftChars="0" w:left="420"/>
        <w:jc w:val="left"/>
      </w:pPr>
    </w:p>
    <w:p w14:paraId="1EA6F7EC" w14:textId="77777777" w:rsidR="00D23FCC" w:rsidRDefault="00A00E2D" w:rsidP="00D23FCC">
      <w:pPr>
        <w:pStyle w:val="a0"/>
        <w:numPr>
          <w:ilvl w:val="0"/>
          <w:numId w:val="2"/>
        </w:numPr>
        <w:ind w:leftChars="0"/>
        <w:jc w:val="left"/>
        <w:rPr>
          <w:iCs/>
        </w:rPr>
      </w:pPr>
      <w:r w:rsidRPr="00A00E2D">
        <w:rPr>
          <w:iCs/>
        </w:rPr>
        <w:t>Forward-looking</w:t>
      </w:r>
    </w:p>
    <w:p w14:paraId="3BE7B274" w14:textId="3953A910" w:rsidR="00D23FCC" w:rsidRPr="00D23FCC" w:rsidRDefault="00D23FCC" w:rsidP="00D23FCC">
      <w:pPr>
        <w:pStyle w:val="a0"/>
        <w:ind w:leftChars="0"/>
        <w:jc w:val="left"/>
        <w:rPr>
          <w:iCs/>
        </w:rPr>
      </w:pPr>
      <w:r w:rsidRPr="00D23FCC">
        <w:rPr>
          <w:iCs/>
        </w:rPr>
        <w:t>Forward-looking</w:t>
      </w:r>
      <w:r>
        <w:rPr>
          <w:rFonts w:hint="eastAsia"/>
        </w:rPr>
        <w:t>の後決めフォワードレート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固定金利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のスワップレットの価値が</w:t>
      </w:r>
      <w:r>
        <w:rPr>
          <w:rFonts w:hint="eastAsia"/>
        </w:rPr>
        <w:t>0</w:t>
      </w:r>
      <w:r>
        <w:rPr>
          <w:rFonts w:hint="eastAsia"/>
        </w:rPr>
        <w:t>となる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で定義される．</w:t>
      </w:r>
    </w:p>
    <w:p w14:paraId="769667FC" w14:textId="00270849" w:rsidR="004307CB" w:rsidRDefault="00D23FCC" w:rsidP="00D23FCC">
      <w:pPr>
        <w:pStyle w:val="a0"/>
        <w:ind w:leftChars="0"/>
        <w:jc w:val="left"/>
      </w:pPr>
      <w:r>
        <w:rPr>
          <w:rFonts w:hint="eastAsia"/>
        </w:rPr>
        <w:t>無裁定条件より，</w:t>
      </w:r>
      <m:oMath>
        <m:r>
          <w:rPr>
            <w:rFonts w:ascii="Cambria Math" w:hAnsi="Cambria Math"/>
          </w:rPr>
          <m:t>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</w:p>
    <w:p w14:paraId="62DA7661" w14:textId="1786F3F1" w:rsidR="00D23FCC" w:rsidRDefault="006E61CE" w:rsidP="00D23FCC">
      <w:pPr>
        <w:pStyle w:val="a0"/>
        <w:ind w:leftChars="0" w:left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1058644" w14:textId="5445E4AC" w:rsidR="00D23FCC" w:rsidRDefault="00D23FCC" w:rsidP="00D23FCC">
      <w:pPr>
        <w:pStyle w:val="a0"/>
        <w:ind w:leftChars="0"/>
        <w:jc w:val="left"/>
      </w:pPr>
      <w:r>
        <w:rPr>
          <w:rFonts w:hint="eastAsia"/>
          <w:iCs/>
        </w:rPr>
        <w:lastRenderedPageBreak/>
        <w:t>また，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hint="eastAsia"/>
        </w:rPr>
        <w:t>で</w:t>
      </w:r>
    </w:p>
    <w:p w14:paraId="18628A6E" w14:textId="165EE953" w:rsidR="00D23FCC" w:rsidRDefault="006E61CE" w:rsidP="00D23FCC">
      <w:pPr>
        <w:pStyle w:val="a0"/>
        <w:ind w:leftChars="0"/>
        <w:jc w:val="left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5A4F60EA" w14:textId="77777777" w:rsidR="00D23FCC" w:rsidRDefault="00D23FCC" w:rsidP="00D23FCC">
      <w:pPr>
        <w:pStyle w:val="a0"/>
        <w:ind w:leftChars="0"/>
        <w:jc w:val="left"/>
        <w:rPr>
          <w:iCs/>
        </w:rPr>
      </w:pPr>
    </w:p>
    <w:p w14:paraId="04F34A66" w14:textId="5DE8521D" w:rsidR="004307CB" w:rsidRDefault="004307CB" w:rsidP="004307CB">
      <w:pPr>
        <w:pStyle w:val="a0"/>
        <w:ind w:leftChars="0"/>
        <w:jc w:val="center"/>
        <w:rPr>
          <w:iCs/>
        </w:rPr>
      </w:pPr>
      <w:r>
        <w:rPr>
          <w:noProof/>
        </w:rPr>
        <w:drawing>
          <wp:inline distT="0" distB="0" distL="0" distR="0" wp14:anchorId="414735EC" wp14:editId="01A6B368">
            <wp:extent cx="3044520" cy="59112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520" cy="5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0B5C" w14:textId="6DF7A6AE" w:rsidR="006A4C03" w:rsidRDefault="006A4C03" w:rsidP="004307CB">
      <w:pPr>
        <w:pStyle w:val="a0"/>
        <w:ind w:leftChars="0"/>
        <w:jc w:val="center"/>
        <w:rPr>
          <w:iCs/>
        </w:rPr>
      </w:pPr>
    </w:p>
    <w:p w14:paraId="50C24E61" w14:textId="46BDB0B6" w:rsidR="006A4C03" w:rsidRDefault="00C738B4" w:rsidP="00C738B4">
      <w:pPr>
        <w:pStyle w:val="1"/>
        <w:spacing w:before="180" w:after="180"/>
      </w:pPr>
      <w:r w:rsidRPr="00C738B4">
        <w:t>The valuation of an RFR fixed-floating swap</w:t>
      </w:r>
    </w:p>
    <w:p w14:paraId="7630FECB" w14:textId="50B702A1" w:rsidR="00E94705" w:rsidRDefault="00E94705" w:rsidP="00E94705">
      <w:r>
        <w:rPr>
          <w:rFonts w:hint="eastAsia"/>
        </w:rPr>
        <w:t>変動金利のレグが，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hint="eastAsia"/>
        </w:rPr>
        <w:t>から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の日次の</w:t>
      </w:r>
      <w:r>
        <w:rPr>
          <w:rFonts w:hint="eastAsia"/>
        </w:rPr>
        <w:t>RFR</w:t>
      </w:r>
      <w:r>
        <w:rPr>
          <w:rFonts w:hint="eastAsia"/>
        </w:rPr>
        <w:t>複利，固定金利が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で支払われるスワップを考える．</w:t>
      </w:r>
    </w:p>
    <w:p w14:paraId="17ECA9B1" w14:textId="73B38784" w:rsidR="00E94705" w:rsidRDefault="00E94705" w:rsidP="00E94705">
      <w:r>
        <w:rPr>
          <w:rFonts w:hint="eastAsia"/>
        </w:rPr>
        <w:t>・変動金利レグ：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713B231F" w14:textId="29BB261C" w:rsidR="00E94705" w:rsidRDefault="00E94705" w:rsidP="00E94705">
      <w:r>
        <w:rPr>
          <w:rFonts w:hint="eastAsia"/>
        </w:rPr>
        <w:t>・固定金利レグ：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0BB1D4EB" w14:textId="0168C92F" w:rsidR="00E94705" w:rsidRDefault="00E94705" w:rsidP="00E94705">
      <w:r>
        <w:rPr>
          <w:rFonts w:hint="eastAsia"/>
        </w:rPr>
        <w:t>ただし，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2BFAC546" w14:textId="4E6EE6EC" w:rsidR="00CB05B1" w:rsidRDefault="00CB05B1" w:rsidP="00E94705"/>
    <w:p w14:paraId="0F9DBE92" w14:textId="058F7457" w:rsidR="00CB05B1" w:rsidRDefault="00CB05B1" w:rsidP="00E94705">
      <w:r>
        <w:rPr>
          <w:rFonts w:hint="eastAsia"/>
        </w:rPr>
        <w:t>このとき，スワップ価格は</w:t>
      </w:r>
    </w:p>
    <w:p w14:paraId="6B6EEE31" w14:textId="24961AEE" w:rsidR="00CB05B1" w:rsidRPr="00CB05B1" w:rsidRDefault="006E61CE" w:rsidP="00E9470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j=a+1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-K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j=c+1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2D93E13F" w14:textId="731760D6" w:rsidR="00CB05B1" w:rsidRDefault="00CB05B1" w:rsidP="00E94705">
      <w:r>
        <w:rPr>
          <w:rFonts w:hint="eastAsia"/>
        </w:rPr>
        <w:t>また，フォワードスワップレートは，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aln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hint="eastAsia"/>
        </w:rPr>
        <w:t>を利用して，下記のようにシングルカーブによるフレームワークの式と等しくなる．</w:t>
      </w:r>
    </w:p>
    <w:p w14:paraId="70952CE7" w14:textId="521CF6BC" w:rsidR="00CB05B1" w:rsidRPr="00E90BEC" w:rsidRDefault="00CB05B1" w:rsidP="00E94705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j=a+1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j=c+1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j=c+1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den>
          </m:f>
        </m:oMath>
      </m:oMathPara>
    </w:p>
    <w:p w14:paraId="1EDFDC1B" w14:textId="0D0BBED8" w:rsidR="00E90BEC" w:rsidRDefault="00E90BEC" w:rsidP="00E94705"/>
    <w:p w14:paraId="16A51F71" w14:textId="48EC1AFB" w:rsidR="00E90BEC" w:rsidRDefault="00E90BEC" w:rsidP="00E94705">
      <w:r>
        <w:rPr>
          <w:rFonts w:hint="eastAsia"/>
        </w:rPr>
        <w:t>⇒</w:t>
      </w:r>
      <w:r>
        <w:rPr>
          <w:rFonts w:hint="eastAsia"/>
        </w:rPr>
        <w:t xml:space="preserve"> </w:t>
      </w:r>
      <w:r>
        <w:t>OIS</w:t>
      </w:r>
      <w:r>
        <w:rPr>
          <w:rFonts w:hint="eastAsia"/>
        </w:rPr>
        <w:t>カーブさえあれば問題なく計算可能？</w:t>
      </w:r>
    </w:p>
    <w:p w14:paraId="24D3F47D" w14:textId="72572910" w:rsidR="00E90BEC" w:rsidRDefault="00E90BEC" w:rsidP="00E94705"/>
    <w:p w14:paraId="14CF39DC" w14:textId="28958398" w:rsidR="00E90BEC" w:rsidRDefault="00E90BEC" w:rsidP="00E90BEC">
      <w:pPr>
        <w:pStyle w:val="1"/>
        <w:spacing w:before="180" w:after="180"/>
      </w:pPr>
      <w:r w:rsidRPr="00E90BEC">
        <w:t>The valuation of an RFR swapti</w:t>
      </w:r>
      <w:r w:rsidR="00887FDD">
        <w:rPr>
          <w:rFonts w:hint="eastAsia"/>
        </w:rPr>
        <w:t>n</w:t>
      </w:r>
    </w:p>
    <w:p w14:paraId="0AE61F43" w14:textId="2C3DD558" w:rsidR="00887FDD" w:rsidRDefault="00887FDD" w:rsidP="00887FDD">
      <w:r>
        <w:rPr>
          <w:rFonts w:hint="eastAsia"/>
        </w:rPr>
        <w:t>スワップション満期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，権利行使価格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，レグはスワップと同様．</w:t>
      </w:r>
    </w:p>
    <w:p w14:paraId="5B2E64D0" w14:textId="6C394BC7" w:rsidR="00887FDD" w:rsidRDefault="00887FDD" w:rsidP="00887FDD">
      <w:r>
        <w:rPr>
          <w:rFonts w:hint="eastAsia"/>
        </w:rPr>
        <w:t>このとき，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におけるペイヤーズスワップションのペイオフは</w:t>
      </w:r>
    </w:p>
    <w:p w14:paraId="6D1D001C" w14:textId="14658002" w:rsidR="00887FDD" w:rsidRPr="00887FDD" w:rsidRDefault="006E61CE" w:rsidP="00887FD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j=c+1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14:paraId="14EC7F9B" w14:textId="466F2E06" w:rsidR="00887FDD" w:rsidRDefault="00887FDD" w:rsidP="00887FDD">
      <w:r>
        <w:rPr>
          <w:rFonts w:hint="eastAsia"/>
        </w:rPr>
        <w:t>なお，フォワードスワップレートはスワップにおける結果と同様．</w:t>
      </w:r>
    </w:p>
    <w:p w14:paraId="3245756C" w14:textId="2DB67BFD" w:rsidR="00191551" w:rsidRDefault="00191551" w:rsidP="00887FDD"/>
    <w:p w14:paraId="4CBF64E3" w14:textId="55D6F837" w:rsidR="00191551" w:rsidRDefault="00191551" w:rsidP="00191551">
      <w:pPr>
        <w:pStyle w:val="1"/>
        <w:spacing w:before="180" w:after="180"/>
      </w:pPr>
      <w:r>
        <w:rPr>
          <w:rFonts w:hint="eastAsia"/>
        </w:rPr>
        <w:t>【参考】</w:t>
      </w:r>
      <w:r w:rsidRPr="00191551">
        <w:t>The valuation of an RFR cap</w:t>
      </w:r>
    </w:p>
    <w:p w14:paraId="32FD3B5C" w14:textId="77777777" w:rsidR="00191551" w:rsidRPr="00191551" w:rsidRDefault="00191551" w:rsidP="00191551"/>
    <w:sectPr w:rsidR="00191551" w:rsidRPr="00191551" w:rsidSect="00426F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B7B6F"/>
    <w:multiLevelType w:val="multilevel"/>
    <w:tmpl w:val="739A538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83E51E2"/>
    <w:multiLevelType w:val="hybridMultilevel"/>
    <w:tmpl w:val="D706A4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EA647B"/>
    <w:multiLevelType w:val="hybridMultilevel"/>
    <w:tmpl w:val="E21040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FC0"/>
    <w:rsid w:val="000E514A"/>
    <w:rsid w:val="00164481"/>
    <w:rsid w:val="00191551"/>
    <w:rsid w:val="001C6192"/>
    <w:rsid w:val="001E17FC"/>
    <w:rsid w:val="002132F2"/>
    <w:rsid w:val="002C5121"/>
    <w:rsid w:val="002F4A71"/>
    <w:rsid w:val="0031192C"/>
    <w:rsid w:val="00345AAD"/>
    <w:rsid w:val="003B7A6C"/>
    <w:rsid w:val="00426FC0"/>
    <w:rsid w:val="004307CB"/>
    <w:rsid w:val="004F3252"/>
    <w:rsid w:val="005726BE"/>
    <w:rsid w:val="006757EE"/>
    <w:rsid w:val="006A4C03"/>
    <w:rsid w:val="008151DA"/>
    <w:rsid w:val="00854B85"/>
    <w:rsid w:val="00887FDD"/>
    <w:rsid w:val="009928C3"/>
    <w:rsid w:val="009B3692"/>
    <w:rsid w:val="00A00E2D"/>
    <w:rsid w:val="00AE77B6"/>
    <w:rsid w:val="00B92644"/>
    <w:rsid w:val="00BC180F"/>
    <w:rsid w:val="00BF4A69"/>
    <w:rsid w:val="00C52F21"/>
    <w:rsid w:val="00C738B4"/>
    <w:rsid w:val="00CB05B1"/>
    <w:rsid w:val="00CB5DA0"/>
    <w:rsid w:val="00D23FCC"/>
    <w:rsid w:val="00DE3754"/>
    <w:rsid w:val="00E90BEC"/>
    <w:rsid w:val="00E94705"/>
    <w:rsid w:val="00F9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0DF722"/>
  <w15:docId w15:val="{F641D918-DC0E-40C4-8296-2EDD5EDC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C738B4"/>
    <w:pPr>
      <w:numPr>
        <w:numId w:val="3"/>
      </w:numPr>
      <w:spacing w:beforeLines="50" w:before="50" w:afterLines="50" w:after="50"/>
      <w:ind w:leftChars="0" w:left="0"/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426FC0"/>
    <w:rPr>
      <w:color w:val="808080"/>
    </w:rPr>
  </w:style>
  <w:style w:type="paragraph" w:styleId="a0">
    <w:name w:val="List Paragraph"/>
    <w:basedOn w:val="a"/>
    <w:uiPriority w:val="34"/>
    <w:qFormat/>
    <w:rsid w:val="0031192C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C738B4"/>
    <w:rPr>
      <w:b/>
      <w:bCs/>
    </w:rPr>
  </w:style>
  <w:style w:type="table" w:styleId="a5">
    <w:name w:val="Table Grid"/>
    <w:basedOn w:val="a2"/>
    <w:uiPriority w:val="39"/>
    <w:rsid w:val="00C7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738B4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CAC1-C2F4-48C7-805C-9994BAD8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4060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柴原 聖大</dc:creator>
  <cp:keywords/>
  <dc:description/>
  <cp:lastModifiedBy>柴原 聖大</cp:lastModifiedBy>
  <cp:revision>11</cp:revision>
  <dcterms:created xsi:type="dcterms:W3CDTF">2021-06-07T14:24:00Z</dcterms:created>
  <dcterms:modified xsi:type="dcterms:W3CDTF">2021-06-23T00:25:00Z</dcterms:modified>
</cp:coreProperties>
</file>