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0AD63" w14:textId="23FDB4F4" w:rsidR="00252791" w:rsidRPr="00D823D2" w:rsidRDefault="00D823D2" w:rsidP="00D823D2">
      <w:pPr>
        <w:pStyle w:val="a4"/>
      </w:pPr>
      <w:r w:rsidRPr="00D823D2">
        <w:t>資産の価格付けと測度変換勉強会資料</w:t>
      </w:r>
    </w:p>
    <w:p w14:paraId="5713BB39" w14:textId="2B025798" w:rsidR="00D823D2" w:rsidRDefault="00D823D2"/>
    <w:p w14:paraId="13E72C8D" w14:textId="4068118D" w:rsidR="00D823D2" w:rsidRDefault="00D823D2" w:rsidP="00D823D2">
      <w:pPr>
        <w:pStyle w:val="1"/>
      </w:pPr>
      <w:r>
        <w:rPr>
          <w:rFonts w:hint="eastAsia"/>
        </w:rPr>
        <w:t>基準財と価格付け測度</w:t>
      </w:r>
    </w:p>
    <w:p w14:paraId="4F26CAAB" w14:textId="1B1AD6CD" w:rsidR="00D823D2" w:rsidRPr="00D823D2" w:rsidRDefault="00D823D2" w:rsidP="00D823D2">
      <w:pPr>
        <w:pStyle w:val="1"/>
        <w:numPr>
          <w:ilvl w:val="1"/>
          <w:numId w:val="1"/>
        </w:numPr>
        <w:rPr>
          <w:rFonts w:hint="eastAsia"/>
        </w:rPr>
      </w:pPr>
      <w:r>
        <w:rPr>
          <w:rFonts w:hint="eastAsia"/>
        </w:rPr>
        <w:t>二項モデルにおける基準財の変換</w:t>
      </w:r>
    </w:p>
    <w:p w14:paraId="2AF3C75C" w14:textId="075E85F0" w:rsidR="00D823D2" w:rsidRDefault="00C63C9C" w:rsidP="00C63C9C">
      <w:pPr>
        <w:pStyle w:val="a0"/>
        <w:numPr>
          <w:ilvl w:val="0"/>
          <w:numId w:val="4"/>
        </w:numPr>
        <w:ind w:leftChars="0"/>
      </w:pPr>
      <w:r>
        <w:rPr>
          <w:rFonts w:hint="eastAsia"/>
        </w:rPr>
        <w:t>無リスク預金を基準財とした場合</w:t>
      </w:r>
    </w:p>
    <w:p w14:paraId="4B447AC7" w14:textId="1ADDFD80" w:rsidR="00EF041A" w:rsidRDefault="00EF041A" w:rsidP="00D823D2"/>
    <w:p w14:paraId="1CF2897F" w14:textId="77777777" w:rsidR="00C63C9C" w:rsidRDefault="00C63C9C" w:rsidP="00C63C9C">
      <w:r>
        <w:rPr>
          <w:rFonts w:hint="eastAsia"/>
        </w:rPr>
        <w:t>裁定機会が存在しない</w:t>
      </w:r>
      <w:r>
        <w:rPr>
          <w:rFonts w:hint="eastAsia"/>
        </w:rPr>
        <w:t xml:space="preserve"> </w:t>
      </w:r>
      <m:oMath>
        <m:r>
          <w:rPr>
            <w:rFonts w:ascii="Cambria Math" w:hAnsi="Cambria Math"/>
          </w:rPr>
          <m:t>⇔</m:t>
        </m:r>
      </m:oMath>
      <w:r>
        <w:rPr>
          <w:rFonts w:hint="eastAsia"/>
        </w:rPr>
        <w:t xml:space="preserve"> </w:t>
      </w:r>
      <m:oMath>
        <m:r>
          <w:rPr>
            <w:rFonts w:ascii="Cambria Math" w:hAnsi="Cambria Math"/>
          </w:rPr>
          <m:t>d&lt;R&lt;u</m:t>
        </m:r>
      </m:oMath>
    </w:p>
    <w:p w14:paraId="37D0E2F9" w14:textId="1F9185C9" w:rsidR="00EF041A" w:rsidRDefault="00C63C9C" w:rsidP="00C63C9C">
      <w:pPr>
        <w:rPr>
          <w:rFonts w:hint="eastAsia"/>
        </w:rPr>
      </w:pPr>
      <w:r>
        <w:rPr>
          <w:rFonts w:hint="eastAsia"/>
        </w:rPr>
        <w:t>➡</w:t>
      </w:r>
      <w:r>
        <w:t xml:space="preserve"> </w:t>
      </w:r>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R-d</m:t>
            </m:r>
          </m:num>
          <m:den>
            <m:r>
              <w:rPr>
                <w:rFonts w:ascii="Cambria Math" w:hAnsi="Cambria Math"/>
              </w:rPr>
              <m:t>u-d</m:t>
            </m:r>
          </m:den>
        </m:f>
      </m:oMath>
      <w:r>
        <w:rPr>
          <w:rFonts w:hint="eastAsia"/>
        </w:rPr>
        <w:t>，</w:t>
      </w:r>
      <m:oMath>
        <m:d>
          <m:dPr>
            <m:ctrlPr>
              <w:rPr>
                <w:rFonts w:ascii="Cambria Math" w:hAnsi="Cambria Math"/>
                <w:i/>
              </w:rPr>
            </m:ctrlPr>
          </m:dPr>
          <m:e>
            <m:r>
              <w:rPr>
                <w:rFonts w:ascii="Cambria Math" w:hAnsi="Cambria Math"/>
              </w:rPr>
              <m:t>0&lt;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&lt;1</m:t>
            </m:r>
          </m:e>
        </m:d>
      </m:oMath>
      <w:r>
        <w:rPr>
          <w:rFonts w:hint="eastAsia"/>
        </w:rPr>
        <w:t>が存在し，確率</w:t>
      </w:r>
      <m:oMath>
        <m:sSub>
          <m:sSubPr>
            <m:ctrlPr>
              <w:rPr>
                <w:rFonts w:ascii="Cambria Math" w:hAnsi="Cambria Math"/>
                <w:i/>
              </w:rPr>
            </m:ctrlPr>
          </m:sSubPr>
          <m:e>
            <m:r>
              <w:rPr>
                <w:rFonts w:ascii="Cambria Math" w:hAnsi="Cambria Math"/>
              </w:rPr>
              <m:t>Q</m:t>
            </m:r>
          </m:e>
          <m:sub>
            <m:r>
              <w:rPr>
                <w:rFonts w:ascii="Cambria Math" w:hAnsi="Cambria Math"/>
              </w:rPr>
              <m:t>B</m:t>
            </m:r>
          </m:sub>
        </m:sSub>
      </m:oMath>
      <w:r>
        <w:rPr>
          <w:rFonts w:hint="eastAsia"/>
        </w:rPr>
        <w:t>を次のように定める．</w:t>
      </w:r>
    </w:p>
    <w:p w14:paraId="7D96BD02" w14:textId="77777777" w:rsidR="00EF041A" w:rsidRPr="00EF041A" w:rsidRDefault="00EF041A" w:rsidP="00D823D2">
      <w:pPr>
        <w:rPr>
          <w:rFonts w:hint="eastAsia"/>
        </w:rPr>
      </w:pPr>
    </w:p>
    <w:p w14:paraId="5365B154" w14:textId="2F1C9F61" w:rsidR="00D823D2" w:rsidRDefault="00EF041A" w:rsidP="00EF041A">
      <w:pPr>
        <w:pStyle w:val="a0"/>
        <w:numPr>
          <w:ilvl w:val="0"/>
          <w:numId w:val="3"/>
        </w:numPr>
        <w:ind w:leftChars="0"/>
      </w:pPr>
      <w:r>
        <w:rPr>
          <w:rFonts w:hint="eastAsia"/>
        </w:rPr>
        <w:t>資産価格の第一基本定理</w:t>
      </w:r>
    </w:p>
    <w:p w14:paraId="26D6EAC5" w14:textId="6B90BC1D" w:rsidR="00EF041A" w:rsidRDefault="00EF041A" w:rsidP="00D823D2">
      <w:r>
        <w:rPr>
          <w:rFonts w:hint="eastAsia"/>
        </w:rPr>
        <w:t>裁定機会が存在しない</w:t>
      </w:r>
      <w:r>
        <w:rPr>
          <w:rFonts w:hint="eastAsia"/>
        </w:rPr>
        <w:t xml:space="preserve"> </w:t>
      </w:r>
      <m:oMath>
        <m:r>
          <w:rPr>
            <w:rFonts w:ascii="Cambria Math" w:hAnsi="Cambria Math"/>
          </w:rPr>
          <m:t>⇔</m:t>
        </m:r>
      </m:oMath>
      <w:r>
        <w:rPr>
          <w:rFonts w:hint="eastAsia"/>
        </w:rPr>
        <w:t xml:space="preserve"> </w:t>
      </w:r>
      <w:r>
        <w:rPr>
          <w:rFonts w:hint="eastAsia"/>
        </w:rPr>
        <w:t>すべての証券の相対価格がマルチンゲールになる（正の）確率測度が存在</w:t>
      </w:r>
    </w:p>
    <w:p w14:paraId="2A8D959B" w14:textId="29B39182" w:rsidR="00EC098D" w:rsidRDefault="00EC098D" w:rsidP="00D823D2">
      <w:r>
        <w:rPr>
          <w:rFonts w:hint="eastAsia"/>
        </w:rPr>
        <w:t>⇓相対価格ではなく，元の通貨単位で考えると</w:t>
      </w:r>
    </w:p>
    <w:p w14:paraId="59F2A1FC" w14:textId="45810042" w:rsidR="00EC098D" w:rsidRDefault="00EC098D" w:rsidP="00D823D2"/>
    <w:p w14:paraId="00F3CF81" w14:textId="555E4C37" w:rsidR="00EC098D" w:rsidRDefault="00EC098D" w:rsidP="00D823D2">
      <w:r>
        <w:rPr>
          <w:rFonts w:hint="eastAsia"/>
        </w:rPr>
        <w:t>裁定機会が存在しない</w:t>
      </w:r>
      <w:r>
        <w:rPr>
          <w:rFonts w:hint="eastAsia"/>
        </w:rPr>
        <w:t xml:space="preserve"> </w:t>
      </w:r>
      <m:oMath>
        <m:r>
          <w:rPr>
            <w:rFonts w:ascii="Cambria Math" w:hAnsi="Cambria Math"/>
          </w:rPr>
          <m:t>⇔</m:t>
        </m:r>
      </m:oMath>
      <w:r>
        <w:rPr>
          <w:rFonts w:hint="eastAsia"/>
        </w:rPr>
        <w:t xml:space="preserve"> </w:t>
      </w:r>
      <w:r>
        <w:rPr>
          <w:rFonts w:hint="eastAsia"/>
        </w:rPr>
        <w:t>すべての証券の期待収益率が一致する確率が存在</w:t>
      </w:r>
    </w:p>
    <w:p w14:paraId="6530812B" w14:textId="2AB60768" w:rsidR="00EC098D" w:rsidRDefault="00C63C9C" w:rsidP="00D823D2">
      <w:pPr>
        <w:rPr>
          <w:rFonts w:hint="eastAsia"/>
        </w:rPr>
      </w:pPr>
      <w:r>
        <w:rPr>
          <w:rFonts w:hint="eastAsia"/>
        </w:rPr>
        <w:t>裁定機会が存在</w:t>
      </w:r>
      <w:r>
        <w:rPr>
          <w:rFonts w:hint="eastAsia"/>
        </w:rPr>
        <w:t xml:space="preserve">する　</w:t>
      </w:r>
      <w:r>
        <w:rPr>
          <w:rFonts w:hint="eastAsia"/>
        </w:rPr>
        <w:t xml:space="preserve"> </w:t>
      </w:r>
      <m:oMath>
        <m:r>
          <w:rPr>
            <w:rFonts w:ascii="Cambria Math" w:hAnsi="Cambria Math"/>
          </w:rPr>
          <m:t>⇔</m:t>
        </m:r>
      </m:oMath>
      <w:r>
        <w:rPr>
          <w:rFonts w:hint="eastAsia"/>
        </w:rPr>
        <w:t xml:space="preserve"> </w:t>
      </w:r>
      <w:r>
        <w:rPr>
          <w:rFonts w:hint="eastAsia"/>
        </w:rPr>
        <w:t>確率をどのように変換してもすべての証券の期待収益率は一致しない</w:t>
      </w:r>
    </w:p>
    <w:p w14:paraId="71965609" w14:textId="77777777" w:rsidR="00C63C9C" w:rsidRDefault="00C63C9C" w:rsidP="00D823D2">
      <w:pPr>
        <w:rPr>
          <w:rFonts w:hint="eastAsia"/>
        </w:rPr>
      </w:pPr>
    </w:p>
    <w:p w14:paraId="6820C039" w14:textId="355180ED" w:rsidR="00EC098D" w:rsidRDefault="00EC098D" w:rsidP="00D823D2">
      <w:pPr>
        <w:rPr>
          <w:b/>
          <w:bCs/>
        </w:rPr>
      </w:pPr>
      <w:r w:rsidRPr="00EC098D">
        <w:rPr>
          <w:rFonts w:hint="eastAsia"/>
          <w:b/>
          <w:bCs/>
        </w:rPr>
        <w:t>定義</w:t>
      </w:r>
      <w:r w:rsidRPr="00EC098D">
        <w:rPr>
          <w:rFonts w:hint="eastAsia"/>
          <w:b/>
          <w:bCs/>
        </w:rPr>
        <w:t>5.1</w:t>
      </w:r>
      <w:r>
        <w:rPr>
          <w:rFonts w:hint="eastAsia"/>
          <w:b/>
          <w:bCs/>
        </w:rPr>
        <w:t>：同値マルチンゲール測度</w:t>
      </w:r>
    </w:p>
    <w:p w14:paraId="12CBD70C" w14:textId="508DF004" w:rsidR="00EC098D" w:rsidRDefault="00EC098D" w:rsidP="00EC098D">
      <w:pPr>
        <w:ind w:leftChars="200" w:left="420"/>
      </w:pPr>
      <w:r>
        <w:rPr>
          <w:rFonts w:hint="eastAsia"/>
        </w:rPr>
        <w:t>基準財</w:t>
      </w:r>
      <m:oMath>
        <m:r>
          <w:rPr>
            <w:rFonts w:ascii="Cambria Math" w:hAnsi="Cambria Math"/>
          </w:rPr>
          <m:t>A(t)</m:t>
        </m:r>
      </m:oMath>
      <w:r>
        <w:rPr>
          <w:rFonts w:hint="eastAsia"/>
        </w:rPr>
        <w:t>に関する同値マルチンゲール測度</w:t>
      </w:r>
      <m:oMath>
        <m:sSup>
          <m:sSupPr>
            <m:ctrlPr>
              <w:rPr>
                <w:rFonts w:ascii="Cambria Math" w:hAnsi="Cambria Math"/>
                <w:i/>
              </w:rPr>
            </m:ctrlPr>
          </m:sSupPr>
          <m:e>
            <m:r>
              <w:rPr>
                <w:rFonts w:ascii="Cambria Math" w:hAnsi="Cambria Math"/>
              </w:rPr>
              <m:t>Q</m:t>
            </m:r>
          </m:e>
          <m:sup>
            <m:r>
              <w:rPr>
                <w:rFonts w:ascii="Cambria Math" w:hAnsi="Cambria Math"/>
              </w:rPr>
              <m:t>A</m:t>
            </m:r>
          </m:sup>
        </m:sSup>
      </m:oMath>
      <w:r>
        <w:rPr>
          <w:rFonts w:hint="eastAsia"/>
        </w:rPr>
        <w:t>とは，観測確率</w:t>
      </w:r>
      <m:oMath>
        <m:r>
          <w:rPr>
            <w:rFonts w:ascii="Cambria Math" w:hAnsi="Cambria Math"/>
          </w:rPr>
          <m:t>P</m:t>
        </m:r>
      </m:oMath>
      <w:r>
        <w:rPr>
          <w:rFonts w:hint="eastAsia"/>
        </w:rPr>
        <w:t>と同値な測度，かつすべての証券</w:t>
      </w:r>
      <m:oMath>
        <m:r>
          <w:rPr>
            <w:rFonts w:ascii="Cambria Math" w:hAnsi="Cambria Math"/>
          </w:rPr>
          <m:t>S(t)</m:t>
        </m:r>
      </m:oMath>
      <w:r>
        <w:rPr>
          <w:rFonts w:hint="eastAsia"/>
        </w:rPr>
        <w:t>の相対価格</w:t>
      </w:r>
      <m:oMath>
        <m:r>
          <w:rPr>
            <w:rFonts w:ascii="Cambria Math" w:hAnsi="Cambria Math"/>
          </w:rPr>
          <m:t>S(t)/A(t)</m:t>
        </m:r>
      </m:oMath>
      <w:r>
        <w:rPr>
          <w:rFonts w:hint="eastAsia"/>
        </w:rPr>
        <w:t>がマルチンゲールになる測度である．</w:t>
      </w:r>
    </w:p>
    <w:p w14:paraId="703D9DC8" w14:textId="06DAFF64" w:rsidR="00EC098D" w:rsidRDefault="00EC098D" w:rsidP="00EC098D"/>
    <w:p w14:paraId="1A844B04" w14:textId="5E3E01ED" w:rsidR="00EC098D" w:rsidRDefault="00C63C9C" w:rsidP="00C63C9C">
      <w:pPr>
        <w:pStyle w:val="a0"/>
        <w:numPr>
          <w:ilvl w:val="0"/>
          <w:numId w:val="4"/>
        </w:numPr>
        <w:ind w:leftChars="0"/>
        <w:jc w:val="left"/>
      </w:pPr>
      <w:r>
        <w:rPr>
          <w:rFonts w:hint="eastAsia"/>
        </w:rPr>
        <w:t>リスク証券を基準財とした場合</w:t>
      </w:r>
    </w:p>
    <w:p w14:paraId="7E19AA06" w14:textId="77777777" w:rsidR="00C63C9C" w:rsidRDefault="00C63C9C" w:rsidP="00C63C9C">
      <w:pPr>
        <w:pStyle w:val="a0"/>
        <w:ind w:leftChars="0" w:left="420"/>
      </w:pPr>
      <w:r>
        <w:rPr>
          <w:rFonts w:hint="eastAsia"/>
        </w:rPr>
        <w:t>裁定機会が存在しない</w:t>
      </w:r>
      <w:r>
        <w:rPr>
          <w:rFonts w:hint="eastAsia"/>
        </w:rPr>
        <w:t xml:space="preserve"> </w:t>
      </w:r>
      <m:oMath>
        <m:r>
          <w:rPr>
            <w:rFonts w:ascii="Cambria Math" w:hAnsi="Cambria Math"/>
          </w:rPr>
          <m:t>⇔</m:t>
        </m:r>
      </m:oMath>
      <w:r>
        <w:rPr>
          <w:rFonts w:hint="eastAsia"/>
        </w:rPr>
        <w:t xml:space="preserve"> </w:t>
      </w:r>
      <m:oMath>
        <m:r>
          <w:rPr>
            <w:rFonts w:ascii="Cambria Math" w:hAnsi="Cambria Math"/>
          </w:rPr>
          <m:t>d&lt;R&lt;u</m:t>
        </m:r>
      </m:oMath>
    </w:p>
    <w:p w14:paraId="0BDCCF65" w14:textId="20B46705" w:rsidR="00C63C9C" w:rsidRDefault="00C63C9C" w:rsidP="00C63C9C">
      <w:pPr>
        <w:pStyle w:val="a0"/>
        <w:ind w:leftChars="0" w:left="420"/>
        <w:jc w:val="left"/>
      </w:pPr>
      <w:r>
        <w:rPr>
          <w:rFonts w:hint="eastAsia"/>
        </w:rPr>
        <w:t>➡</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R-d</m:t>
                </m:r>
              </m:e>
            </m:d>
          </m:num>
          <m:den>
            <m:r>
              <w:rPr>
                <w:rFonts w:ascii="Cambria Math" w:hAnsi="Cambria Math"/>
              </w:rPr>
              <m:t>R</m:t>
            </m:r>
            <m:d>
              <m:dPr>
                <m:ctrlPr>
                  <w:rPr>
                    <w:rFonts w:ascii="Cambria Math" w:hAnsi="Cambria Math"/>
                    <w:i/>
                  </w:rPr>
                </m:ctrlPr>
              </m:dPr>
              <m:e>
                <m:r>
                  <w:rPr>
                    <w:rFonts w:ascii="Cambria Math" w:hAnsi="Cambria Math"/>
                  </w:rPr>
                  <m:t>u-d</m:t>
                </m:r>
              </m:e>
            </m:d>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sSub>
          <m:sSubPr>
            <m:ctrlPr>
              <w:rPr>
                <w:rFonts w:ascii="Cambria Math" w:hAnsi="Cambria Math"/>
                <w:i/>
              </w:rPr>
            </m:ctrlPr>
          </m:sSubPr>
          <m:e>
            <m:r>
              <w:rPr>
                <w:rFonts w:ascii="Cambria Math" w:hAnsi="Cambria Math"/>
              </w:rPr>
              <m:t>q</m:t>
            </m:r>
          </m:e>
          <m:sub>
            <m:r>
              <w:rPr>
                <w:rFonts w:ascii="Cambria Math" w:hAnsi="Cambria Math"/>
              </w:rPr>
              <m:t>B</m:t>
            </m:r>
          </m:sub>
        </m:sSub>
      </m:oMath>
      <w:r>
        <w:rPr>
          <w:rFonts w:hint="eastAsia"/>
        </w:rPr>
        <w:t>，</w:t>
      </w:r>
      <m:oMath>
        <m:d>
          <m:dPr>
            <m:ctrlPr>
              <w:rPr>
                <w:rFonts w:ascii="Cambria Math" w:hAnsi="Cambria Math"/>
                <w:i/>
              </w:rPr>
            </m:ctrlPr>
          </m:dPr>
          <m:e>
            <m:r>
              <w:rPr>
                <w:rFonts w:ascii="Cambria Math" w:hAnsi="Cambria Math"/>
              </w:rPr>
              <m:t>0&lt;</m:t>
            </m:r>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&lt;1</m:t>
            </m:r>
          </m:e>
        </m:d>
      </m:oMath>
      <w:r>
        <w:rPr>
          <w:rFonts w:hint="eastAsia"/>
        </w:rPr>
        <w:t>が存在し，確率</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hint="eastAsia"/>
        </w:rPr>
        <w:t>を次のように定める．</w:t>
      </w:r>
    </w:p>
    <w:p w14:paraId="5E4D6F76" w14:textId="778C5C2B" w:rsidR="00C63C9C" w:rsidRPr="00C63C9C" w:rsidRDefault="00C63C9C" w:rsidP="00C63C9C">
      <w:pPr>
        <w:pStyle w:val="a0"/>
        <w:ind w:leftChars="0" w:left="420"/>
        <w:jc w:val="left"/>
      </w:pPr>
      <m:oMath>
        <m:sSub>
          <m:sSubPr>
            <m:ctrlPr>
              <w:rPr>
                <w:rFonts w:ascii="Cambria Math" w:hAnsi="Cambria Math"/>
                <w:i/>
              </w:rPr>
            </m:ctrlPr>
          </m:sSubPr>
          <m:e>
            <m:r>
              <w:rPr>
                <w:rFonts w:ascii="Cambria Math" w:hAnsi="Cambria Math"/>
              </w:rPr>
              <m:t>Q</m:t>
            </m:r>
          </m:e>
          <m:sub>
            <m:r>
              <w:rPr>
                <w:rFonts w:ascii="Cambria Math" w:hAnsi="Cambria Math"/>
              </w:rPr>
              <m:t>B</m:t>
            </m:r>
          </m:sub>
        </m:sSub>
      </m:oMath>
      <w:r>
        <w:rPr>
          <w:rFonts w:hint="eastAsia"/>
        </w:rPr>
        <w:t>と</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hint="eastAsia"/>
        </w:rPr>
        <w:t>の関係は？</w:t>
      </w:r>
    </w:p>
    <w:p w14:paraId="06452860" w14:textId="648ED5DA" w:rsidR="00C63C9C" w:rsidRDefault="00875E66" w:rsidP="00C63C9C">
      <w:pPr>
        <w:pStyle w:val="a0"/>
        <w:ind w:leftChars="0" w:left="420"/>
        <w:jc w:val="left"/>
      </w:pPr>
      <w:r>
        <w:rPr>
          <w:rFonts w:hint="eastAsia"/>
        </w:rPr>
        <w:t>確率変数</w:t>
      </w:r>
      <m:oMath>
        <m:r>
          <w:rPr>
            <w:rFonts w:ascii="Cambria Math" w:hAnsi="Cambria Math"/>
          </w:rPr>
          <m:t>η</m:t>
        </m:r>
      </m:oMath>
      <w:r>
        <w:rPr>
          <w:rFonts w:hint="eastAsia"/>
        </w:rPr>
        <w:t>を</w:t>
      </w:r>
    </w:p>
    <w:p w14:paraId="17E73947" w14:textId="506A5329" w:rsidR="00875E66" w:rsidRPr="00EC098D" w:rsidRDefault="00875E66" w:rsidP="00875E66">
      <w:pPr>
        <w:pStyle w:val="a0"/>
        <w:ind w:leftChars="0" w:left="420"/>
        <w:jc w:val="left"/>
        <w:rPr>
          <w:rFonts w:hint="eastAsia"/>
        </w:rPr>
      </w:pPr>
      <m:oMathPara>
        <m:oMath>
          <m:r>
            <w:rPr>
              <w:rFonts w:ascii="Cambria Math" w:hAnsi="Cambria Math"/>
            </w:rPr>
            <m:t>η</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S</m:t>
                  </m:r>
                </m:sub>
              </m:sSub>
            </m:num>
            <m:den>
              <m:sSub>
                <m:sSubPr>
                  <m:ctrlPr>
                    <w:rPr>
                      <w:rFonts w:ascii="Cambria Math" w:hAnsi="Cambria Math"/>
                      <w:i/>
                    </w:rPr>
                  </m:ctrlPr>
                </m:sSubPr>
                <m:e>
                  <m:r>
                    <w:rPr>
                      <w:rFonts w:ascii="Cambria Math" w:hAnsi="Cambria Math"/>
                    </w:rPr>
                    <m:t>q</m:t>
                  </m:r>
                </m:e>
                <m:sub>
                  <m:r>
                    <w:rPr>
                      <w:rFonts w:ascii="Cambria Math" w:hAnsi="Cambria Math"/>
                    </w:rPr>
                    <m:t>B</m:t>
                  </m:r>
                </m:sub>
              </m:sSub>
            </m:den>
          </m:f>
          <m:r>
            <w:rPr>
              <w:rFonts w:ascii="Cambria Math" w:hAnsi="Cambria Math"/>
            </w:rPr>
            <m:t xml:space="preserve">,  </m:t>
          </m:r>
          <m:r>
            <w:rPr>
              <w:rFonts w:ascii="Cambria Math" w:hAnsi="Cambria Math"/>
            </w:rPr>
            <m:t>η</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B</m:t>
                  </m:r>
                </m:sub>
              </m:sSub>
            </m:den>
          </m:f>
        </m:oMath>
      </m:oMathPara>
    </w:p>
    <w:p w14:paraId="56AEF94A" w14:textId="3D5941FF" w:rsidR="00875E66" w:rsidRPr="00875E66" w:rsidRDefault="00875E66" w:rsidP="00C63C9C">
      <w:pPr>
        <w:pStyle w:val="a0"/>
        <w:ind w:leftChars="0" w:left="420"/>
        <w:jc w:val="left"/>
      </w:pPr>
      <m:oMathPara>
        <m:oMath>
          <m:sSup>
            <m:sSupPr>
              <m:ctrlPr>
                <w:rPr>
                  <w:rFonts w:ascii="Cambria Math" w:hAnsi="Cambria Math"/>
                  <w:i/>
                </w:rPr>
              </m:ctrlPr>
            </m:sSupPr>
            <m:e>
              <m:r>
                <w:rPr>
                  <w:rFonts w:ascii="Cambria Math" w:hAnsi="Cambria Math"/>
                </w:rPr>
                <m:t>Q</m:t>
              </m:r>
            </m:e>
            <m:sup>
              <m:r>
                <w:rPr>
                  <w:rFonts w:ascii="Cambria Math" w:hAnsi="Cambria Math"/>
                </w:rPr>
                <m:t>S</m:t>
              </m:r>
            </m:sup>
          </m:sSup>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Q</m:t>
                  </m:r>
                </m:e>
                <m:sup>
                  <m:r>
                    <w:rPr>
                      <w:rFonts w:ascii="Cambria Math" w:hAnsi="Cambria Math"/>
                    </w:rPr>
                    <m:t>B</m:t>
                  </m:r>
                </m:sup>
              </m:sSup>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A</m:t>
                  </m:r>
                </m:sub>
              </m:sSub>
              <m:r>
                <w:rPr>
                  <w:rFonts w:ascii="Cambria Math" w:hAnsi="Cambria Math"/>
                </w:rPr>
                <m:t>η</m:t>
              </m:r>
            </m:e>
          </m:d>
        </m:oMath>
      </m:oMathPara>
    </w:p>
    <w:p w14:paraId="244596D9" w14:textId="05C41D5F" w:rsidR="00875E66" w:rsidRPr="00EC098D" w:rsidRDefault="00875E66" w:rsidP="00C63C9C">
      <w:pPr>
        <w:pStyle w:val="a0"/>
        <w:ind w:leftChars="0" w:left="420"/>
        <w:jc w:val="left"/>
        <w:rPr>
          <w:rFonts w:hint="eastAsia"/>
        </w:rPr>
      </w:pPr>
      <m:oMathPara>
        <m:oMath>
          <m:f>
            <m:fPr>
              <m:ctrlPr>
                <w:rPr>
                  <w:rFonts w:ascii="Cambria Math" w:hAnsi="Cambria Math"/>
                  <w:i/>
                </w:rPr>
              </m:ctrlPr>
            </m:fPr>
            <m:num>
              <m:r>
                <m:rPr>
                  <m:sty m:val="p"/>
                </m:rPr>
                <w:rPr>
                  <w:rFonts w:ascii="Cambria Math" w:hAnsi="Cambria Math"/>
                </w:rPr>
                <m:t>d</m:t>
              </m:r>
              <m:sSup>
                <m:sSupPr>
                  <m:ctrlPr>
                    <w:rPr>
                      <w:rFonts w:ascii="Cambria Math" w:hAnsi="Cambria Math"/>
                      <w:i/>
                    </w:rPr>
                  </m:ctrlPr>
                </m:sSupPr>
                <m:e>
                  <m:r>
                    <w:rPr>
                      <w:rFonts w:ascii="Cambria Math" w:hAnsi="Cambria Math"/>
                    </w:rPr>
                    <m:t>Q</m:t>
                  </m:r>
                </m:e>
                <m:sup>
                  <m:r>
                    <w:rPr>
                      <w:rFonts w:ascii="Cambria Math" w:hAnsi="Cambria Math"/>
                    </w:rPr>
                    <m:t>S</m:t>
                  </m:r>
                </m:sup>
              </m:sSup>
            </m:num>
            <m:den>
              <m:r>
                <m:rPr>
                  <m:sty m:val="p"/>
                </m:rPr>
                <w:rPr>
                  <w:rFonts w:ascii="Cambria Math" w:hAnsi="Cambria Math"/>
                </w:rPr>
                <m:t>d</m:t>
              </m:r>
              <m:sSup>
                <m:sSupPr>
                  <m:ctrlPr>
                    <w:rPr>
                      <w:rFonts w:ascii="Cambria Math" w:hAnsi="Cambria Math"/>
                      <w:i/>
                    </w:rPr>
                  </m:ctrlPr>
                </m:sSupPr>
                <m:e>
                  <m:r>
                    <w:rPr>
                      <w:rFonts w:ascii="Cambria Math" w:hAnsi="Cambria Math"/>
                    </w:rPr>
                    <m:t>Q</m:t>
                  </m:r>
                </m:e>
                <m:sup>
                  <m:r>
                    <w:rPr>
                      <w:rFonts w:ascii="Cambria Math" w:hAnsi="Cambria Math"/>
                    </w:rPr>
                    <m:t>B</m:t>
                  </m:r>
                </m:sup>
              </m:sSup>
            </m:den>
          </m:f>
          <m:r>
            <w:rPr>
              <w:rFonts w:ascii="Cambria Math" w:hAnsi="Cambria Math"/>
            </w:rPr>
            <m:t>=η=</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1</m:t>
                  </m:r>
                </m:e>
              </m:d>
            </m:num>
            <m:den>
              <m:r>
                <w:rPr>
                  <w:rFonts w:ascii="Cambria Math" w:hAnsi="Cambria Math"/>
                </w:rPr>
                <m:t>B</m:t>
              </m:r>
              <m:d>
                <m:dPr>
                  <m:ctrlPr>
                    <w:rPr>
                      <w:rFonts w:ascii="Cambria Math" w:hAnsi="Cambria Math"/>
                      <w:i/>
                    </w:rPr>
                  </m:ctrlPr>
                </m:dPr>
                <m:e>
                  <m:r>
                    <w:rPr>
                      <w:rFonts w:ascii="Cambria Math" w:hAnsi="Cambria Math"/>
                    </w:rPr>
                    <m:t>1</m:t>
                  </m:r>
                </m:e>
              </m:d>
            </m:den>
          </m:f>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0</m:t>
                  </m:r>
                </m:e>
              </m:d>
            </m:num>
            <m:den>
              <m:r>
                <w:rPr>
                  <w:rFonts w:ascii="Cambria Math" w:hAnsi="Cambria Math"/>
                </w:rPr>
                <m:t>S(0)</m:t>
              </m:r>
            </m:den>
          </m:f>
          <m:r>
            <w:rPr>
              <w:rFonts w:ascii="Cambria Math" w:hAnsi="Cambria Math"/>
            </w:rPr>
            <m:t xml:space="preserve"> </m:t>
          </m:r>
        </m:oMath>
      </m:oMathPara>
    </w:p>
    <w:sectPr w:rsidR="00875E66" w:rsidRPr="00EC098D" w:rsidSect="00D823D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671FA"/>
    <w:multiLevelType w:val="hybridMultilevel"/>
    <w:tmpl w:val="30CEDDD2"/>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4875951"/>
    <w:multiLevelType w:val="multilevel"/>
    <w:tmpl w:val="35AC8544"/>
    <w:lvl w:ilvl="0">
      <w:start w:val="5"/>
      <w:numFmt w:val="decimal"/>
      <w:pStyle w:val="1"/>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C77467A"/>
    <w:multiLevelType w:val="hybridMultilevel"/>
    <w:tmpl w:val="01406C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F4842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D2"/>
    <w:rsid w:val="002F4A71"/>
    <w:rsid w:val="003B7A6C"/>
    <w:rsid w:val="004F3252"/>
    <w:rsid w:val="00875E66"/>
    <w:rsid w:val="00AE77B6"/>
    <w:rsid w:val="00BC180F"/>
    <w:rsid w:val="00BF4A69"/>
    <w:rsid w:val="00C63C9C"/>
    <w:rsid w:val="00CB5DA0"/>
    <w:rsid w:val="00D823D2"/>
    <w:rsid w:val="00EC098D"/>
    <w:rsid w:val="00EF04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3685E22"/>
  <w15:chartTrackingRefBased/>
  <w15:docId w15:val="{CC7B2D56-346B-41E9-81D6-E7EF2713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D823D2"/>
    <w:pPr>
      <w:numPr>
        <w:numId w:val="1"/>
      </w:numPr>
      <w:ind w:leftChars="0"/>
      <w:outlineLvl w:val="0"/>
    </w:pPr>
    <w:rPr>
      <w:b/>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D823D2"/>
    <w:pPr>
      <w:jc w:val="center"/>
    </w:pPr>
    <w:rPr>
      <w:b/>
      <w:bCs/>
      <w:sz w:val="28"/>
      <w:szCs w:val="32"/>
    </w:rPr>
  </w:style>
  <w:style w:type="character" w:customStyle="1" w:styleId="a5">
    <w:name w:val="表題 (文字)"/>
    <w:basedOn w:val="a1"/>
    <w:link w:val="a4"/>
    <w:uiPriority w:val="10"/>
    <w:rsid w:val="00D823D2"/>
    <w:rPr>
      <w:b/>
      <w:bCs/>
      <w:sz w:val="28"/>
      <w:szCs w:val="32"/>
    </w:rPr>
  </w:style>
  <w:style w:type="paragraph" w:styleId="a0">
    <w:name w:val="List Paragraph"/>
    <w:basedOn w:val="a"/>
    <w:uiPriority w:val="34"/>
    <w:qFormat/>
    <w:rsid w:val="00D823D2"/>
    <w:pPr>
      <w:ind w:leftChars="400" w:left="840"/>
    </w:pPr>
  </w:style>
  <w:style w:type="character" w:customStyle="1" w:styleId="10">
    <w:name w:val="見出し 1 (文字)"/>
    <w:basedOn w:val="a1"/>
    <w:link w:val="1"/>
    <w:uiPriority w:val="9"/>
    <w:rsid w:val="00D823D2"/>
    <w:rPr>
      <w:b/>
      <w:bCs/>
      <w:sz w:val="24"/>
      <w:szCs w:val="28"/>
    </w:rPr>
  </w:style>
  <w:style w:type="character" w:styleId="a6">
    <w:name w:val="Placeholder Text"/>
    <w:basedOn w:val="a1"/>
    <w:uiPriority w:val="99"/>
    <w:semiHidden/>
    <w:rsid w:val="00EF04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108</Words>
  <Characters>621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柴原 聖大</dc:creator>
  <cp:keywords/>
  <dc:description/>
  <cp:lastModifiedBy>柴原 聖大</cp:lastModifiedBy>
  <cp:revision>1</cp:revision>
  <dcterms:created xsi:type="dcterms:W3CDTF">2022-02-10T12:06:00Z</dcterms:created>
  <dcterms:modified xsi:type="dcterms:W3CDTF">2022-02-10T12:31:00Z</dcterms:modified>
</cp:coreProperties>
</file>