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0752" w14:textId="7F3A6F0F" w:rsidR="00F647B9" w:rsidRDefault="008410D4" w:rsidP="0093764F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「</w:t>
      </w:r>
      <w:r w:rsidR="0093764F" w:rsidRPr="0093764F">
        <w:rPr>
          <w:rFonts w:hint="eastAsia"/>
          <w:sz w:val="28"/>
          <w:szCs w:val="32"/>
        </w:rPr>
        <w:t>長期投資の理論と実践</w:t>
      </w:r>
      <w:r>
        <w:rPr>
          <w:rFonts w:hint="eastAsia"/>
          <w:sz w:val="28"/>
          <w:szCs w:val="32"/>
        </w:rPr>
        <w:t>」</w:t>
      </w:r>
      <w:r w:rsidR="0093764F" w:rsidRPr="0093764F">
        <w:rPr>
          <w:rFonts w:hint="eastAsia"/>
          <w:sz w:val="28"/>
          <w:szCs w:val="32"/>
        </w:rPr>
        <w:t>勉強会</w:t>
      </w:r>
      <w:r>
        <w:rPr>
          <w:rFonts w:hint="eastAsia"/>
          <w:sz w:val="28"/>
          <w:szCs w:val="32"/>
        </w:rPr>
        <w:t>要約資料</w:t>
      </w:r>
    </w:p>
    <w:p w14:paraId="2A8903BA" w14:textId="0E4FBCAA" w:rsidR="0093764F" w:rsidRDefault="0093764F" w:rsidP="00B95357">
      <w:pPr>
        <w:jc w:val="right"/>
      </w:pPr>
      <w:r>
        <w:rPr>
          <w:rFonts w:hint="eastAsia"/>
        </w:rPr>
        <w:t>2021</w:t>
      </w:r>
      <w:r>
        <w:rPr>
          <w:rFonts w:hint="eastAsia"/>
        </w:rPr>
        <w:t>年</w:t>
      </w:r>
      <w:r w:rsidR="00C63B9B">
        <w:t>3</w:t>
      </w:r>
      <w:r>
        <w:rPr>
          <w:rFonts w:hint="eastAsia"/>
        </w:rPr>
        <w:t>月</w:t>
      </w:r>
      <w:r w:rsidR="00C63B9B">
        <w:t>10</w:t>
      </w:r>
      <w:r>
        <w:rPr>
          <w:rFonts w:hint="eastAsia"/>
        </w:rPr>
        <w:t>日</w:t>
      </w:r>
    </w:p>
    <w:p w14:paraId="24057377" w14:textId="002B6E6E" w:rsidR="00C63B9B" w:rsidRDefault="00C63B9B" w:rsidP="00B95357">
      <w:pPr>
        <w:jc w:val="right"/>
      </w:pPr>
    </w:p>
    <w:p w14:paraId="1C0A789B" w14:textId="55A03E91" w:rsidR="002457A4" w:rsidRPr="002457A4" w:rsidRDefault="00C63B9B" w:rsidP="002457A4">
      <w:pPr>
        <w:pStyle w:val="2"/>
      </w:pPr>
      <w:r>
        <w:rPr>
          <w:rFonts w:hint="eastAsia"/>
        </w:rPr>
        <w:t>インフレ連動債の導入と最適消費・最適投資の決定：数値実験</w:t>
      </w:r>
    </w:p>
    <w:p w14:paraId="0DC09218" w14:textId="3E3B6E79" w:rsidR="002457A4" w:rsidRDefault="002457A4" w:rsidP="002457A4">
      <w:pPr>
        <w:pStyle w:val="3"/>
      </w:pPr>
      <w:r>
        <w:rPr>
          <w:rFonts w:hint="eastAsia"/>
        </w:rPr>
        <w:t>数値実験の</w:t>
      </w:r>
      <w:r>
        <w:rPr>
          <w:rFonts w:hint="eastAsia"/>
        </w:rPr>
        <w:t>3</w:t>
      </w:r>
      <w:r>
        <w:rPr>
          <w:rFonts w:hint="eastAsia"/>
        </w:rPr>
        <w:t>つのケース</w:t>
      </w:r>
    </w:p>
    <w:p w14:paraId="0909DC85" w14:textId="5D4E2A62" w:rsidR="00B415DB" w:rsidRDefault="00B415DB" w:rsidP="00B415DB">
      <w:r>
        <w:rPr>
          <w:rFonts w:hint="eastAsia"/>
        </w:rPr>
        <w:t xml:space="preserve"> </w:t>
      </w:r>
      <w:r>
        <w:rPr>
          <w:rFonts w:hint="eastAsia"/>
        </w:rPr>
        <w:t>日本の金融市場への提言という観点から</w:t>
      </w:r>
      <w:r>
        <w:rPr>
          <w:rFonts w:hint="eastAsia"/>
        </w:rPr>
        <w:t>3</w:t>
      </w:r>
      <w:r>
        <w:rPr>
          <w:rFonts w:hint="eastAsia"/>
        </w:rPr>
        <w:t>つのケースで数値実験を行う．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969"/>
        <w:gridCol w:w="2268"/>
        <w:gridCol w:w="2835"/>
      </w:tblGrid>
      <w:tr w:rsidR="00B415DB" w14:paraId="1A8B6060" w14:textId="7B6C902B" w:rsidTr="00B4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52791CE4" w14:textId="77777777" w:rsidR="00B415DB" w:rsidRDefault="00B415DB" w:rsidP="009A13F1">
            <w:pPr>
              <w:pStyle w:val="a5"/>
              <w:ind w:leftChars="0" w:left="0"/>
              <w:jc w:val="left"/>
            </w:pPr>
          </w:p>
        </w:tc>
        <w:tc>
          <w:tcPr>
            <w:tcW w:w="3969" w:type="dxa"/>
          </w:tcPr>
          <w:p w14:paraId="0B5635FE" w14:textId="77777777" w:rsidR="00B415DB" w:rsidRDefault="00B415DB" w:rsidP="009A13F1">
            <w:pPr>
              <w:pStyle w:val="a5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投資可能な資産</w:t>
            </w:r>
          </w:p>
        </w:tc>
        <w:tc>
          <w:tcPr>
            <w:tcW w:w="2268" w:type="dxa"/>
          </w:tcPr>
          <w:p w14:paraId="0561F89D" w14:textId="77777777" w:rsidR="00B415DB" w:rsidRDefault="00B415DB" w:rsidP="009A13F1">
            <w:pPr>
              <w:pStyle w:val="a5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ベンチマーク資産</w:t>
            </w:r>
          </w:p>
        </w:tc>
        <w:tc>
          <w:tcPr>
            <w:tcW w:w="2835" w:type="dxa"/>
          </w:tcPr>
          <w:p w14:paraId="0EE3C56C" w14:textId="637E2A94" w:rsidR="00B415DB" w:rsidRDefault="001F2C01" w:rsidP="009A13F1">
            <w:pPr>
              <w:pStyle w:val="a5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想定</w:t>
            </w:r>
          </w:p>
        </w:tc>
      </w:tr>
      <w:tr w:rsidR="00B415DB" w14:paraId="7E66C3A6" w14:textId="418B5058" w:rsidTr="00B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D0555" w14:textId="77777777" w:rsidR="00B415DB" w:rsidRDefault="00B415DB" w:rsidP="009A13F1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14:paraId="58C29280" w14:textId="77777777" w:rsidR="00B415DB" w:rsidRDefault="00B415DB" w:rsidP="009A13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①株式，②長期名目債，③短期名目債</w:t>
            </w:r>
          </w:p>
        </w:tc>
        <w:tc>
          <w:tcPr>
            <w:tcW w:w="2268" w:type="dxa"/>
            <w:vMerge w:val="restart"/>
            <w:vAlign w:val="center"/>
          </w:tcPr>
          <w:p w14:paraId="3B7B25D2" w14:textId="77777777" w:rsidR="00B415DB" w:rsidRDefault="00B415DB" w:rsidP="009A13F1">
            <w:pPr>
              <w:pStyle w:val="a5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短期名目債</w:t>
            </w:r>
          </w:p>
        </w:tc>
        <w:tc>
          <w:tcPr>
            <w:tcW w:w="2835" w:type="dxa"/>
          </w:tcPr>
          <w:p w14:paraId="189622E0" w14:textId="00B148F9" w:rsidR="00B415DB" w:rsidRDefault="00B415DB" w:rsidP="009A13F1">
            <w:pPr>
              <w:pStyle w:val="a5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現状</w:t>
            </w:r>
          </w:p>
        </w:tc>
      </w:tr>
      <w:tr w:rsidR="00B415DB" w14:paraId="5408311D" w14:textId="1DF45D2E" w:rsidTr="00B415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6CB9C1" w14:textId="77777777" w:rsidR="00B415DB" w:rsidRDefault="00B415DB" w:rsidP="009A13F1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14:paraId="311F0418" w14:textId="77777777" w:rsidR="00B415DB" w:rsidRDefault="00B415DB" w:rsidP="009A13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1</w:t>
            </w:r>
            <w:r>
              <w:t xml:space="preserve"> + </w:t>
            </w:r>
            <w:r>
              <w:rPr>
                <w:rFonts w:hint="eastAsia"/>
              </w:rPr>
              <w:t>④長期インフレ連動債</w:t>
            </w:r>
          </w:p>
        </w:tc>
        <w:tc>
          <w:tcPr>
            <w:tcW w:w="2268" w:type="dxa"/>
            <w:vMerge/>
          </w:tcPr>
          <w:p w14:paraId="0DECE48A" w14:textId="77777777" w:rsidR="00B415DB" w:rsidRDefault="00B415DB" w:rsidP="009A13F1">
            <w:pPr>
              <w:pStyle w:val="a5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2A77558" w14:textId="29F1B061" w:rsidR="00B415DB" w:rsidRDefault="00B415DB" w:rsidP="009A13F1">
            <w:pPr>
              <w:pStyle w:val="a5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現状可能な設定</w:t>
            </w:r>
          </w:p>
        </w:tc>
      </w:tr>
      <w:tr w:rsidR="00B415DB" w14:paraId="1C675CEC" w14:textId="391FE815" w:rsidTr="00B41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FB1A" w14:textId="77777777" w:rsidR="00B415DB" w:rsidRDefault="00B415DB" w:rsidP="009A13F1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12BDFEEC" w14:textId="77777777" w:rsidR="00B415DB" w:rsidRDefault="00B415DB" w:rsidP="009A13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2</w:t>
            </w:r>
            <w:r>
              <w:t xml:space="preserve"> + </w:t>
            </w:r>
            <w:r>
              <w:rPr>
                <w:rFonts w:hint="eastAsia"/>
              </w:rPr>
              <w:t>⑤短期インフレ連動債</w:t>
            </w:r>
          </w:p>
        </w:tc>
        <w:tc>
          <w:tcPr>
            <w:tcW w:w="2268" w:type="dxa"/>
          </w:tcPr>
          <w:p w14:paraId="1DE95B7C" w14:textId="77777777" w:rsidR="00B415DB" w:rsidRDefault="00B415DB" w:rsidP="009A13F1">
            <w:pPr>
              <w:pStyle w:val="a5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短期インフレ連動債</w:t>
            </w:r>
          </w:p>
        </w:tc>
        <w:tc>
          <w:tcPr>
            <w:tcW w:w="2835" w:type="dxa"/>
          </w:tcPr>
          <w:p w14:paraId="18174526" w14:textId="480B4D05" w:rsidR="00B415DB" w:rsidRDefault="00B415DB" w:rsidP="009A13F1">
            <w:pPr>
              <w:pStyle w:val="a5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理想（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年ごろ実現）</w:t>
            </w:r>
          </w:p>
        </w:tc>
      </w:tr>
    </w:tbl>
    <w:p w14:paraId="5F68CC79" w14:textId="77777777" w:rsidR="00B415DB" w:rsidRPr="00B415DB" w:rsidRDefault="00B415DB" w:rsidP="00B415DB">
      <w:pPr>
        <w:rPr>
          <w:rFonts w:hint="eastAsia"/>
        </w:rPr>
      </w:pPr>
    </w:p>
    <w:p w14:paraId="12175A4D" w14:textId="131604EC" w:rsidR="002457A4" w:rsidRDefault="002457A4" w:rsidP="002457A4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最適投資比率の決定</w:t>
      </w:r>
    </w:p>
    <w:p w14:paraId="4EC78416" w14:textId="1D842079" w:rsidR="002A0CF0" w:rsidRDefault="002A0CF0" w:rsidP="002A0CF0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実質無リスク資産が存在しないケース</w:t>
      </w:r>
    </w:p>
    <w:p w14:paraId="29E1843E" w14:textId="70DE7EB9" w:rsidR="002457A4" w:rsidRDefault="002457A4" w:rsidP="002457A4">
      <w:pPr>
        <w:jc w:val="center"/>
      </w:pPr>
      <w:r>
        <w:rPr>
          <w:noProof/>
        </w:rPr>
        <w:drawing>
          <wp:inline distT="0" distB="0" distL="0" distR="0" wp14:anchorId="1AFCB3C3" wp14:editId="36941E49">
            <wp:extent cx="3535200" cy="1370160"/>
            <wp:effectExtent l="19050" t="19050" r="27305" b="209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137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064F6" w14:textId="1B99DA6B" w:rsidR="002A0CF0" w:rsidRDefault="002A0CF0" w:rsidP="002A0CF0">
      <w:pPr>
        <w:pStyle w:val="a5"/>
        <w:numPr>
          <w:ilvl w:val="0"/>
          <w:numId w:val="18"/>
        </w:numPr>
        <w:ind w:leftChars="0"/>
        <w:jc w:val="left"/>
      </w:pPr>
      <w:r>
        <w:rPr>
          <w:rFonts w:hint="eastAsia"/>
        </w:rPr>
        <w:t>実質無リスク資産が存在するケース</w:t>
      </w:r>
    </w:p>
    <w:p w14:paraId="785D032C" w14:textId="0AA20B94" w:rsidR="002A0CF0" w:rsidRDefault="003B0207" w:rsidP="003B0207">
      <w:pPr>
        <w:ind w:left="840"/>
        <w:jc w:val="left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(</w:t>
      </w:r>
      <w:r>
        <w:t>4.17d)</w:t>
      </w:r>
      <w:r>
        <w:rPr>
          <w:rFonts w:hint="eastAsia"/>
        </w:rPr>
        <w:t>が不要，②</w:t>
      </w:r>
      <w:r>
        <w:rPr>
          <w:rFonts w:hint="eastAsia"/>
        </w:rPr>
        <w:t>(4.19</w:t>
      </w:r>
      <w:r>
        <w:t>)</w:t>
      </w:r>
      <w:r>
        <w:rPr>
          <w:rFonts w:hint="eastAsia"/>
        </w:rPr>
        <w:t>は</w:t>
      </w:r>
      <w:r>
        <w:rPr>
          <w:rFonts w:hint="eastAsia"/>
        </w:rPr>
        <w:t>(</w:t>
      </w:r>
      <w:r>
        <w:t>4.20a)</w:t>
      </w:r>
      <w:r>
        <w:rPr>
          <w:rFonts w:hint="eastAsia"/>
        </w:rPr>
        <w:t>，③</w:t>
      </w:r>
      <w:r>
        <w:rPr>
          <w:rFonts w:hint="eastAsia"/>
        </w:rPr>
        <w:t>(</w:t>
      </w:r>
      <w:r>
        <w:t>4.17c)</w:t>
      </w:r>
      <w:r>
        <w:rPr>
          <w:rFonts w:hint="eastAsia"/>
        </w:rPr>
        <w:t>は</w:t>
      </w:r>
      <w:r>
        <w:rPr>
          <w:rFonts w:hint="eastAsia"/>
        </w:rPr>
        <w:t>(4.20b)</w:t>
      </w:r>
    </w:p>
    <w:p w14:paraId="44A1635B" w14:textId="7E6D83B4" w:rsidR="002A0CF0" w:rsidRDefault="002A0CF0" w:rsidP="002A0CF0">
      <w:pPr>
        <w:pStyle w:val="a5"/>
        <w:ind w:leftChars="0" w:left="0"/>
        <w:jc w:val="left"/>
      </w:pPr>
    </w:p>
    <w:p w14:paraId="4A6294F0" w14:textId="60058376" w:rsidR="002A0CF0" w:rsidRDefault="001F2C01" w:rsidP="001F2C01">
      <w:pPr>
        <w:pStyle w:val="3"/>
      </w:pPr>
      <w:r>
        <w:rPr>
          <w:rFonts w:hint="eastAsia"/>
        </w:rPr>
        <w:t>最適消費・富比率の決定</w:t>
      </w:r>
    </w:p>
    <w:p w14:paraId="6FC7B47B" w14:textId="77777777" w:rsidR="00081581" w:rsidRDefault="003B0207" w:rsidP="001F2C01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目的</w:t>
      </w:r>
    </w:p>
    <w:p w14:paraId="4E912853" w14:textId="70DD2B01" w:rsidR="001F2C01" w:rsidRDefault="001F2C01" w:rsidP="00081581">
      <w:pPr>
        <w:pStyle w:val="a5"/>
        <w:ind w:leftChars="0" w:left="420"/>
      </w:pPr>
      <w:r>
        <w:rPr>
          <w:rFonts w:hint="eastAsia"/>
        </w:rPr>
        <w:t>ケース</w:t>
      </w:r>
      <w:r>
        <w:rPr>
          <w:rFonts w:hint="eastAsia"/>
        </w:rPr>
        <w:t>3</w:t>
      </w:r>
      <w:r>
        <w:rPr>
          <w:rFonts w:hint="eastAsia"/>
        </w:rPr>
        <w:t>について，</w:t>
      </w:r>
      <w:r w:rsidR="003B0207">
        <w:rPr>
          <w:rFonts w:hint="eastAsia"/>
        </w:rPr>
        <w:t>Epstein</w:t>
      </w:r>
      <w:r w:rsidR="003B0207">
        <w:rPr>
          <w:rFonts w:hint="eastAsia"/>
        </w:rPr>
        <w:t>＝</w:t>
      </w:r>
      <w:r w:rsidR="003B0207">
        <w:rPr>
          <w:rFonts w:hint="eastAsia"/>
        </w:rPr>
        <w:t>Zin</w:t>
      </w:r>
      <w:r w:rsidR="003B0207">
        <w:rPr>
          <w:rFonts w:hint="eastAsia"/>
        </w:rPr>
        <w:t>効用のもと，</w:t>
      </w:r>
      <w:r>
        <w:rPr>
          <w:rFonts w:hint="eastAsia"/>
        </w:rPr>
        <w:t>相対的リスク回避度</w:t>
      </w:r>
      <m:oMath>
        <m:r>
          <w:rPr>
            <w:rFonts w:ascii="Cambria Math" w:hAnsi="Cambria Math"/>
          </w:rPr>
          <m:t>γ</m:t>
        </m:r>
      </m:oMath>
      <w:r w:rsidR="0043180D">
        <w:rPr>
          <w:rFonts w:hint="eastAsia"/>
        </w:rPr>
        <w:t>，</w:t>
      </w:r>
      <w:r>
        <w:rPr>
          <w:rFonts w:hint="eastAsia"/>
        </w:rPr>
        <w:t>異時点間代替弾力性</w:t>
      </w:r>
      <m:oMath>
        <m:r>
          <w:rPr>
            <w:rFonts w:ascii="Cambria Math" w:hAnsi="Cambria Math"/>
          </w:rPr>
          <m:t>ψ</m:t>
        </m:r>
      </m:oMath>
      <w:r w:rsidR="0043180D">
        <w:rPr>
          <w:rFonts w:hint="eastAsia"/>
        </w:rPr>
        <w:t>の様々な組み合わせで分析する</w:t>
      </w:r>
      <w:r w:rsidR="003B0207">
        <w:rPr>
          <w:rFonts w:hint="eastAsia"/>
        </w:rPr>
        <w:t>ことで最適投資比率と最適消費・富の決定がどのように意思決定されるか確認する</w:t>
      </w:r>
    </w:p>
    <w:p w14:paraId="6B48432D" w14:textId="169BD404" w:rsidR="0043180D" w:rsidRDefault="0043180D" w:rsidP="0043180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導出の流れ</w:t>
      </w:r>
    </w:p>
    <w:p w14:paraId="03889EE0" w14:textId="38423AF7" w:rsidR="0043180D" w:rsidRDefault="0043180D" w:rsidP="00081581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無リスク利子率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f,t</m:t>
            </m:r>
          </m:sub>
        </m:sSub>
      </m:oMath>
      <w:r>
        <w:rPr>
          <w:rFonts w:hint="eastAsia"/>
        </w:rPr>
        <w:t>を設定</w:t>
      </w:r>
      <w:r>
        <w:rPr>
          <w:rFonts w:hint="eastAsia"/>
        </w:rPr>
        <w:t xml:space="preserve"> </w:t>
      </w:r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t>(4.56a)</w:t>
      </w:r>
      <w:r>
        <w:rPr>
          <w:rFonts w:hint="eastAsia"/>
        </w:rPr>
        <w:t>を解いて対数線形化パラメータ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⇒</w:t>
      </w:r>
      <w:r>
        <w:t xml:space="preserve"> </w:t>
      </w:r>
      <w:r>
        <w:rPr>
          <w:rFonts w:hint="eastAsia"/>
        </w:rPr>
        <w:t>(4.57)</w:t>
      </w:r>
      <w:r>
        <w:rPr>
          <w:rFonts w:hint="eastAsia"/>
        </w:rPr>
        <w:t>式より最適消費・富比率算出（状態変数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は無条件期待値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とする）</w:t>
      </w:r>
    </w:p>
    <w:p w14:paraId="5C40B2E9" w14:textId="0BB8F04A" w:rsidR="0043180D" w:rsidRDefault="0043180D" w:rsidP="0043180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考察まとめ</w:t>
      </w:r>
    </w:p>
    <w:p w14:paraId="50E6FAA8" w14:textId="272CA55E" w:rsidR="00263CF4" w:rsidRDefault="00263CF4" w:rsidP="00263CF4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結論</w:t>
      </w:r>
    </w:p>
    <w:p w14:paraId="76D0D239" w14:textId="45FAB7EB" w:rsidR="00263CF4" w:rsidRDefault="00526C1A" w:rsidP="00526C1A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最適消費・富比率</w:t>
      </w:r>
      <w:r w:rsidR="00263CF4">
        <w:rPr>
          <w:rFonts w:hint="eastAsia"/>
        </w:rPr>
        <w:t>は</w:t>
      </w:r>
      <w:r w:rsidR="00263CF4" w:rsidRPr="00B60E70">
        <w:rPr>
          <w:rFonts w:hint="eastAsia"/>
        </w:rPr>
        <w:t>相対的リスク回避度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263CF4" w:rsidRPr="00263CF4">
        <w:rPr>
          <w:rFonts w:hint="eastAsia"/>
        </w:rPr>
        <w:t>と</w:t>
      </w:r>
      <w:r w:rsidR="00263CF4">
        <w:rPr>
          <w:rFonts w:hint="eastAsia"/>
        </w:rPr>
        <w:t>異時点間代替弾力性</w:t>
      </w:r>
      <m:oMath>
        <m:r>
          <w:rPr>
            <w:rFonts w:ascii="Cambria Math" w:hAnsi="Cambria Math"/>
          </w:rPr>
          <m:t>ψ</m:t>
        </m:r>
      </m:oMath>
      <w:r w:rsidR="00263CF4">
        <w:rPr>
          <w:rFonts w:hint="eastAsia"/>
        </w:rPr>
        <w:t>に大きく影響を受ける</w:t>
      </w:r>
    </w:p>
    <w:p w14:paraId="15CD79C9" w14:textId="663E8482" w:rsidR="00526C1A" w:rsidRDefault="00526C1A" w:rsidP="00526C1A">
      <w:pPr>
        <w:pStyle w:val="a5"/>
        <w:numPr>
          <w:ilvl w:val="0"/>
          <w:numId w:val="36"/>
        </w:numPr>
        <w:ind w:leftChars="0"/>
      </w:pPr>
      <w:r>
        <w:rPr>
          <w:rFonts w:hint="eastAsia"/>
        </w:rPr>
        <w:t>異時点間代替弾力性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の水準に応じて，最適消費・富比率と無リスク利子率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f,t</m:t>
            </m:r>
          </m:sub>
        </m:sSub>
      </m:oMath>
      <w:r>
        <w:rPr>
          <w:rFonts w:hint="eastAsia"/>
        </w:rPr>
        <w:t>の関係が変化</w:t>
      </w:r>
    </w:p>
    <w:p w14:paraId="5084E898" w14:textId="6FB43B7C" w:rsidR="00263CF4" w:rsidRDefault="00263CF4" w:rsidP="00263CF4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各指標の復習</w:t>
      </w:r>
    </w:p>
    <w:p w14:paraId="10138C09" w14:textId="05DF4DFA" w:rsidR="00B60E70" w:rsidRDefault="00B60E70" w:rsidP="00263CF4">
      <w:pPr>
        <w:pStyle w:val="a5"/>
        <w:numPr>
          <w:ilvl w:val="0"/>
          <w:numId w:val="34"/>
        </w:numPr>
        <w:ind w:left="1260"/>
      </w:pPr>
      <w:r w:rsidRPr="00B60E70">
        <w:rPr>
          <w:rFonts w:hint="eastAsia"/>
        </w:rPr>
        <w:t>相対的リスク回避度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ab/>
      </w:r>
      <w:r>
        <w:rPr>
          <w:rFonts w:hint="eastAsia"/>
        </w:rPr>
        <w:t>；大きいほど異なる状態間のリスクを避ける</w:t>
      </w:r>
    </w:p>
    <w:p w14:paraId="18F754E5" w14:textId="62BF2385" w:rsidR="00B60E70" w:rsidRDefault="00B60E70" w:rsidP="00263CF4">
      <w:pPr>
        <w:pStyle w:val="a5"/>
        <w:numPr>
          <w:ilvl w:val="0"/>
          <w:numId w:val="34"/>
        </w:numPr>
        <w:ind w:left="1260"/>
      </w:pPr>
      <w:r>
        <w:rPr>
          <w:rFonts w:hint="eastAsia"/>
        </w:rPr>
        <w:t>異時点間代替弾力性</w:t>
      </w:r>
      <m:oMath>
        <m:r>
          <w:rPr>
            <w:rFonts w:ascii="Cambria Math" w:hAnsi="Cambria Math"/>
          </w:rPr>
          <m:t>ψ</m:t>
        </m:r>
      </m:oMath>
      <w:r>
        <w:tab/>
      </w:r>
      <w:r>
        <w:rPr>
          <w:rFonts w:hint="eastAsia"/>
        </w:rPr>
        <w:t>：大きいほど異なる時点間の消費変動リスクを許容</w:t>
      </w:r>
    </w:p>
    <w:p w14:paraId="14BFF156" w14:textId="79C4E92B" w:rsidR="00B60E70" w:rsidRDefault="00B60E70" w:rsidP="00263CF4">
      <w:pPr>
        <w:pStyle w:val="a5"/>
        <w:numPr>
          <w:ilvl w:val="0"/>
          <w:numId w:val="34"/>
        </w:numPr>
        <w:ind w:left="1260"/>
      </w:pPr>
      <w:r>
        <w:rPr>
          <w:rFonts w:hint="eastAsia"/>
        </w:rPr>
        <w:lastRenderedPageBreak/>
        <w:t>無リスク利子率</w:t>
      </w:r>
      <w:r>
        <w:tab/>
      </w:r>
    </w:p>
    <w:p w14:paraId="123203DF" w14:textId="4AF618AF" w:rsidR="00920FE6" w:rsidRDefault="00920FE6" w:rsidP="00263CF4">
      <w:pPr>
        <w:ind w:leftChars="400" w:left="840"/>
      </w:pPr>
      <w:r>
        <w:tab/>
      </w:r>
      <w:r>
        <w:rPr>
          <w:rFonts w:hint="eastAsia"/>
        </w:rPr>
        <w:t>所得効果</w:t>
      </w:r>
      <w:r>
        <w:tab/>
      </w:r>
      <w:r>
        <w:rPr>
          <w:rFonts w:hint="eastAsia"/>
        </w:rPr>
        <w:t>：将来消費，現在消費どちらも増やす</w:t>
      </w:r>
    </w:p>
    <w:p w14:paraId="5E1DE0FE" w14:textId="4E6A5248" w:rsidR="00920FE6" w:rsidRPr="00B60E70" w:rsidRDefault="00920FE6" w:rsidP="00263CF4">
      <w:pPr>
        <w:ind w:leftChars="400" w:left="840"/>
      </w:pPr>
      <w:r>
        <w:tab/>
      </w:r>
      <w:r>
        <w:rPr>
          <w:rFonts w:hint="eastAsia"/>
        </w:rPr>
        <w:t>代替効果</w:t>
      </w:r>
      <w:r>
        <w:tab/>
      </w:r>
      <w:r>
        <w:rPr>
          <w:rFonts w:hint="eastAsia"/>
        </w:rPr>
        <w:t>：将来消費が現在消費よりも割安に</w:t>
      </w:r>
    </w:p>
    <w:p w14:paraId="113BDA48" w14:textId="77777777" w:rsidR="00B60E70" w:rsidRDefault="00B60E70" w:rsidP="00263CF4">
      <w:pPr>
        <w:ind w:leftChars="200" w:left="420"/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B60E70" w14:paraId="5C3C76E5" w14:textId="77777777" w:rsidTr="00D4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14:paraId="09389F1B" w14:textId="6D6F304F" w:rsidR="00B60E70" w:rsidRPr="00B60E70" w:rsidRDefault="00B60E70" w:rsidP="00B60E70">
            <w:r w:rsidRPr="00B60E70">
              <w:rPr>
                <w:rFonts w:hint="eastAsia"/>
              </w:rPr>
              <w:t>相対的リスク回避度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oMath>
            <w:r w:rsidRPr="00B60E70">
              <w:rPr>
                <w:rFonts w:hint="eastAsia"/>
              </w:rPr>
              <w:t>について</w:t>
            </w:r>
          </w:p>
        </w:tc>
      </w:tr>
      <w:tr w:rsidR="00B60E70" w14:paraId="42003035" w14:textId="77777777" w:rsidTr="00B6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AA0FDA" w14:textId="006B0F29" w:rsidR="00B60E70" w:rsidRDefault="00B60E70" w:rsidP="00B60E7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γ≤2</m:t>
                </m:r>
              </m:oMath>
            </m:oMathPara>
          </w:p>
        </w:tc>
        <w:tc>
          <w:tcPr>
            <w:tcW w:w="7484" w:type="dxa"/>
          </w:tcPr>
          <w:p w14:paraId="152EDDD0" w14:textId="6137B9E7" w:rsidR="00B60E70" w:rsidRDefault="00B60E70" w:rsidP="00B6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消費・富比率は異時点間代替弾力性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の減少関数</w:t>
            </w:r>
          </w:p>
        </w:tc>
      </w:tr>
      <w:tr w:rsidR="00B60E70" w14:paraId="1F31F9E6" w14:textId="77777777" w:rsidTr="00B60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462B36" w14:textId="4FE0B16D" w:rsidR="00B60E70" w:rsidRDefault="00B60E70" w:rsidP="00B60E7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γ≥5</m:t>
                </m:r>
              </m:oMath>
            </m:oMathPara>
          </w:p>
        </w:tc>
        <w:tc>
          <w:tcPr>
            <w:tcW w:w="7484" w:type="dxa"/>
          </w:tcPr>
          <w:p w14:paraId="4AF474CF" w14:textId="7BA95EAB" w:rsidR="00B60E70" w:rsidRDefault="00B60E70" w:rsidP="00B6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消費・富比率は異時点間代替弾力性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の増加関数</w:t>
            </w:r>
          </w:p>
        </w:tc>
      </w:tr>
      <w:tr w:rsidR="00B60E70" w14:paraId="6B66E20E" w14:textId="77777777" w:rsidTr="00B6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4CB815" w14:textId="27597578" w:rsidR="00B60E70" w:rsidRDefault="00B60E70" w:rsidP="00B60E7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γ=2.89964</m:t>
                </m:r>
              </m:oMath>
            </m:oMathPara>
          </w:p>
        </w:tc>
        <w:tc>
          <w:tcPr>
            <w:tcW w:w="7484" w:type="dxa"/>
          </w:tcPr>
          <w:p w14:paraId="293EDB11" w14:textId="33D4F232" w:rsidR="00B60E70" w:rsidRDefault="00B60E70" w:rsidP="00B6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消費・富比率が一定（数値解析によって一定になるように求めたもの）</w:t>
            </w:r>
          </w:p>
        </w:tc>
      </w:tr>
      <w:tr w:rsidR="0048566A" w14:paraId="118BDBC7" w14:textId="77777777" w:rsidTr="00970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B0CEC52" w14:textId="35B29B87" w:rsidR="0048566A" w:rsidRDefault="0048566A" w:rsidP="00182B40">
            <w:pPr>
              <w:pStyle w:val="a5"/>
              <w:numPr>
                <w:ilvl w:val="0"/>
                <w:numId w:val="39"/>
              </w:numPr>
              <w:ind w:leftChars="0"/>
              <w:rPr>
                <w:b w:val="0"/>
                <w:bCs w:val="0"/>
              </w:rPr>
            </w:pPr>
            <w:r w:rsidRPr="00182B40">
              <w:rPr>
                <w:rFonts w:hint="eastAsia"/>
              </w:rPr>
              <w:t>個人的考察</w:t>
            </w:r>
          </w:p>
          <w:p w14:paraId="2F5B82F4" w14:textId="232AA317" w:rsidR="0048566A" w:rsidRPr="00182B40" w:rsidRDefault="0048566A" w:rsidP="00B60E70">
            <w:pPr>
              <w:rPr>
                <w:b w:val="0"/>
                <w:bCs w:val="0"/>
              </w:rPr>
            </w:pPr>
            <w:r w:rsidRPr="00182B40">
              <w:rPr>
                <w:rFonts w:hint="eastAsia"/>
                <w:b w:val="0"/>
                <w:bCs w:val="0"/>
              </w:rPr>
              <w:t>・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182B40">
              <w:rPr>
                <w:rFonts w:hint="eastAsia"/>
                <w:b w:val="0"/>
                <w:bCs w:val="0"/>
              </w:rPr>
              <w:t>が小さいときはリスク資産に多く投資でき，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Pr="00182B40">
              <w:rPr>
                <w:rFonts w:hint="eastAsia"/>
                <w:b w:val="0"/>
                <w:bCs w:val="0"/>
              </w:rPr>
              <w:t>が大きい</w:t>
            </w:r>
            <w:r w:rsidRPr="00182B40">
              <w:rPr>
                <w:rFonts w:hint="eastAsia"/>
                <w:b w:val="0"/>
                <w:bCs w:val="0"/>
              </w:rPr>
              <w:t>(</w:t>
            </w:r>
            <w:r w:rsidRPr="00182B40">
              <w:rPr>
                <w:rFonts w:hint="eastAsia"/>
                <w:b w:val="0"/>
                <w:bCs w:val="0"/>
              </w:rPr>
              <w:t>＝許容度大</w:t>
            </w:r>
            <w:r w:rsidRPr="00182B40">
              <w:rPr>
                <w:rFonts w:hint="eastAsia"/>
                <w:b w:val="0"/>
                <w:bCs w:val="0"/>
              </w:rPr>
              <w:t>)</w:t>
            </w:r>
            <w:r w:rsidRPr="00182B40">
              <w:rPr>
                <w:rFonts w:hint="eastAsia"/>
                <w:b w:val="0"/>
                <w:bCs w:val="0"/>
              </w:rPr>
              <w:t>ほどより多く投資するので，減少関数</w:t>
            </w:r>
          </w:p>
          <w:p w14:paraId="13251B0F" w14:textId="49DD61F4" w:rsidR="0048566A" w:rsidRPr="0048566A" w:rsidRDefault="0048566A" w:rsidP="00B60E70">
            <w:pPr>
              <w:rPr>
                <w:rFonts w:hint="eastAsia"/>
              </w:rPr>
            </w:pPr>
            <w:r w:rsidRPr="00182B40">
              <w:rPr>
                <w:rFonts w:hint="eastAsia"/>
                <w:b w:val="0"/>
                <w:bCs w:val="0"/>
              </w:rPr>
              <w:t>・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 w:rsidRPr="00182B40">
              <w:rPr>
                <w:rFonts w:hint="eastAsia"/>
                <w:b w:val="0"/>
                <w:bCs w:val="0"/>
              </w:rPr>
              <w:t>が大きいときは無リスク資産に投資し，リターンが期待できないので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="00182B40" w:rsidRPr="00182B40">
              <w:rPr>
                <w:rFonts w:hint="eastAsia"/>
                <w:b w:val="0"/>
                <w:bCs w:val="0"/>
              </w:rPr>
              <w:t>が小さいほど，</w:t>
            </w:r>
            <w:r w:rsidRPr="00182B40">
              <w:rPr>
                <w:rFonts w:hint="eastAsia"/>
                <w:b w:val="0"/>
                <w:bCs w:val="0"/>
              </w:rPr>
              <w:t>現在で多くの消費を行うことができない．</w:t>
            </w:r>
            <w:r w:rsidR="00182B40" w:rsidRPr="00182B40">
              <w:rPr>
                <w:rFonts w:hint="eastAsia"/>
                <w:b w:val="0"/>
                <w:bCs w:val="0"/>
              </w:rPr>
              <w:t>その結果，増加関数？</w:t>
            </w:r>
          </w:p>
        </w:tc>
      </w:tr>
      <w:tr w:rsidR="00B60E70" w14:paraId="053FF3FC" w14:textId="77777777" w:rsidTr="00B6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14:paraId="57BCE8E8" w14:textId="0E3B9D2F" w:rsidR="00B60E70" w:rsidRPr="00B60E70" w:rsidRDefault="00B60E70" w:rsidP="00C43C58">
            <w:r>
              <w:rPr>
                <w:rFonts w:hint="eastAsia"/>
              </w:rPr>
              <w:t>異時点間代替弾力性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について</w:t>
            </w:r>
          </w:p>
        </w:tc>
      </w:tr>
      <w:tr w:rsidR="00B60E70" w14:paraId="5DE7E7B8" w14:textId="77777777" w:rsidTr="00C43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7FCD03" w14:textId="072C3D68" w:rsidR="00B60E70" w:rsidRDefault="00B60E70" w:rsidP="00C43C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ψ&lt;1</m:t>
                </m:r>
              </m:oMath>
            </m:oMathPara>
          </w:p>
        </w:tc>
        <w:tc>
          <w:tcPr>
            <w:tcW w:w="7484" w:type="dxa"/>
          </w:tcPr>
          <w:p w14:paraId="1EE8A3FD" w14:textId="65ED735A" w:rsidR="00B60E70" w:rsidRDefault="00B60E70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消費・富比率は相対的リスク回避度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hint="eastAsia"/>
              </w:rPr>
              <w:t>の減少関数</w:t>
            </w:r>
          </w:p>
        </w:tc>
      </w:tr>
      <w:tr w:rsidR="00B60E70" w14:paraId="6D5A9C20" w14:textId="77777777" w:rsidTr="00C4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B155C6" w14:textId="74E120AE" w:rsidR="00B60E70" w:rsidRDefault="00B60E70" w:rsidP="00C43C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ψ&gt;1</m:t>
                </m:r>
              </m:oMath>
            </m:oMathPara>
          </w:p>
        </w:tc>
        <w:tc>
          <w:tcPr>
            <w:tcW w:w="7484" w:type="dxa"/>
          </w:tcPr>
          <w:p w14:paraId="42345982" w14:textId="38EA3488" w:rsidR="00B60E70" w:rsidRDefault="00B60E70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消費・富比率は相対的リスク回避度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hint="eastAsia"/>
              </w:rPr>
              <w:t>の増加関数</w:t>
            </w:r>
          </w:p>
        </w:tc>
      </w:tr>
      <w:tr w:rsidR="00B60E70" w14:paraId="60609037" w14:textId="77777777" w:rsidTr="00C43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2477E7" w14:textId="1498AB9E" w:rsidR="00B60E70" w:rsidRDefault="00B60E70" w:rsidP="00C43C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ψ=1</m:t>
                </m:r>
              </m:oMath>
            </m:oMathPara>
          </w:p>
        </w:tc>
        <w:tc>
          <w:tcPr>
            <w:tcW w:w="7484" w:type="dxa"/>
          </w:tcPr>
          <w:p w14:paraId="3A18B18F" w14:textId="02836A9A" w:rsidR="00B60E70" w:rsidRDefault="00B60E70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費・富比率が一定（</w:t>
            </w:r>
            <w:r>
              <w:rPr>
                <w:rFonts w:hint="eastAsia"/>
              </w:rPr>
              <w:t>(</w:t>
            </w:r>
            <w:r>
              <w:t>4.58)</w:t>
            </w:r>
            <w:r>
              <w:rPr>
                <w:rFonts w:hint="eastAsia"/>
              </w:rPr>
              <w:t>より，相対的リスク回避度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hint="eastAsia"/>
              </w:rPr>
              <w:t>と独立に決定）</w:t>
            </w:r>
          </w:p>
        </w:tc>
      </w:tr>
      <w:tr w:rsidR="00B60E70" w:rsidRPr="00B60E70" w14:paraId="3AC53403" w14:textId="77777777" w:rsidTr="00C4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14:paraId="0353A3F2" w14:textId="6E24F9E7" w:rsidR="00B60E70" w:rsidRPr="00B60E70" w:rsidRDefault="00B60E70" w:rsidP="00C43C58">
            <w:r>
              <w:rPr>
                <w:rFonts w:hint="eastAsia"/>
              </w:rPr>
              <w:t>無リスク利子率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f,t</m:t>
                  </m:r>
                </m:sub>
              </m:sSub>
            </m:oMath>
            <w:r>
              <w:rPr>
                <w:rFonts w:hint="eastAsia"/>
              </w:rPr>
              <w:t>と異時点間代替弾力性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の関係</w:t>
            </w:r>
          </w:p>
        </w:tc>
      </w:tr>
      <w:tr w:rsidR="00920FE6" w14:paraId="6F7F3B0E" w14:textId="77777777" w:rsidTr="0092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A691A4E" w14:textId="06D14A06" w:rsidR="00920FE6" w:rsidRDefault="00920FE6" w:rsidP="00920FE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ψ&lt;1</m:t>
                </m:r>
              </m:oMath>
            </m:oMathPara>
          </w:p>
        </w:tc>
        <w:tc>
          <w:tcPr>
            <w:tcW w:w="7484" w:type="dxa"/>
          </w:tcPr>
          <w:p w14:paraId="6D22EA31" w14:textId="04F7EE3C" w:rsidR="00920FE6" w:rsidRDefault="00920FE6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消費・富比率は無リスク利子率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f,t</m:t>
                  </m:r>
                </m:sub>
              </m:sSub>
            </m:oMath>
            <w:r>
              <w:rPr>
                <w:rFonts w:hint="eastAsia"/>
              </w:rPr>
              <w:t>の増加関数</w:t>
            </w:r>
          </w:p>
        </w:tc>
      </w:tr>
      <w:tr w:rsidR="00920FE6" w14:paraId="4F471D66" w14:textId="77777777" w:rsidTr="00C4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B8BF1D0" w14:textId="77777777" w:rsidR="00920FE6" w:rsidRDefault="00920FE6" w:rsidP="00C43C58">
            <w:pPr>
              <w:rPr>
                <w:rFonts w:cs="Times New Roman"/>
              </w:rPr>
            </w:pPr>
          </w:p>
        </w:tc>
        <w:tc>
          <w:tcPr>
            <w:tcW w:w="7484" w:type="dxa"/>
          </w:tcPr>
          <w:p w14:paraId="32C87541" w14:textId="424D4E22" w:rsidR="00920FE6" w:rsidRPr="00920FE6" w:rsidRDefault="00920FE6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20FE6">
              <w:rPr>
                <w:rFonts w:hint="eastAsia"/>
                <w:b/>
                <w:bCs/>
                <w:u w:val="single"/>
              </w:rPr>
              <w:t>所得効果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&gt;</m:t>
              </m:r>
            </m:oMath>
            <w:r w:rsidRPr="00920FE6">
              <w:rPr>
                <w:rFonts w:hint="eastAsia"/>
                <w:b/>
                <w:bCs/>
                <w:u w:val="single"/>
              </w:rPr>
              <w:t>代替効果</w:t>
            </w:r>
            <w:r w:rsidRPr="00920FE6">
              <w:rPr>
                <w:rFonts w:hint="eastAsia"/>
                <w:b/>
                <w:bCs/>
                <w:u w:val="single"/>
              </w:rPr>
              <w:t xml:space="preserve"> </w:t>
            </w:r>
            <w:r w:rsidRPr="00920FE6">
              <w:rPr>
                <w:rFonts w:hint="eastAsia"/>
                <w:b/>
                <w:bCs/>
                <w:u w:val="single"/>
              </w:rPr>
              <w:t>⇒</w:t>
            </w:r>
            <w:r w:rsidRPr="00920FE6">
              <w:rPr>
                <w:rFonts w:hint="eastAsia"/>
                <w:b/>
                <w:bCs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f,t</m:t>
                  </m:r>
                </m:sub>
              </m:sSub>
            </m:oMath>
            <w:r w:rsidRPr="00920FE6">
              <w:rPr>
                <w:rFonts w:hint="eastAsia"/>
                <w:b/>
                <w:bCs/>
                <w:u w:val="single"/>
              </w:rPr>
              <w:t>の増加によって現在消費を増やす</w:t>
            </w:r>
            <w:r w:rsidR="00263CF4">
              <w:rPr>
                <w:rFonts w:hint="eastAsia"/>
                <w:b/>
                <w:bCs/>
                <w:u w:val="single"/>
              </w:rPr>
              <w:t>（</w:t>
            </w:r>
            <w:r w:rsidR="00263CF4">
              <w:rPr>
                <w:rFonts w:hint="eastAsia"/>
                <w:b/>
                <w:bCs/>
                <w:u w:val="single"/>
              </w:rPr>
              <w:t>(4</w:t>
            </w:r>
            <w:r w:rsidR="00263CF4">
              <w:rPr>
                <w:b/>
                <w:bCs/>
                <w:u w:val="single"/>
              </w:rPr>
              <w:t>.59</w:t>
            </w:r>
            <w:r w:rsidR="00263CF4">
              <w:rPr>
                <w:rFonts w:hint="eastAsia"/>
                <w:b/>
                <w:bCs/>
                <w:u w:val="single"/>
              </w:rPr>
              <w:t>)</w:t>
            </w:r>
            <w:r w:rsidR="00263CF4">
              <w:rPr>
                <w:rFonts w:hint="eastAsia"/>
                <w:b/>
                <w:bCs/>
                <w:u w:val="single"/>
              </w:rPr>
              <w:t>より）</w:t>
            </w:r>
          </w:p>
        </w:tc>
      </w:tr>
      <w:tr w:rsidR="00920FE6" w14:paraId="4740159B" w14:textId="77777777" w:rsidTr="0092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F097F98" w14:textId="090F1EB4" w:rsidR="00920FE6" w:rsidRDefault="00920FE6" w:rsidP="00920FE6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ψ&gt;1</m:t>
                </m:r>
              </m:oMath>
            </m:oMathPara>
          </w:p>
        </w:tc>
        <w:tc>
          <w:tcPr>
            <w:tcW w:w="7484" w:type="dxa"/>
          </w:tcPr>
          <w:p w14:paraId="2A70DFA2" w14:textId="6FF823A2" w:rsidR="00920FE6" w:rsidRDefault="00920FE6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消費・富比率は無リスク利子率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f,t</m:t>
                  </m:r>
                </m:sub>
              </m:sSub>
            </m:oMath>
            <w:r>
              <w:rPr>
                <w:rFonts w:hint="eastAsia"/>
              </w:rPr>
              <w:t>の減少関数</w:t>
            </w:r>
          </w:p>
        </w:tc>
      </w:tr>
      <w:tr w:rsidR="00920FE6" w14:paraId="6C417F2A" w14:textId="77777777" w:rsidTr="00C43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D3227E1" w14:textId="77777777" w:rsidR="00920FE6" w:rsidRDefault="00920FE6" w:rsidP="00C43C58">
            <w:pPr>
              <w:rPr>
                <w:rFonts w:cs="Times New Roman"/>
              </w:rPr>
            </w:pPr>
          </w:p>
        </w:tc>
        <w:tc>
          <w:tcPr>
            <w:tcW w:w="7484" w:type="dxa"/>
          </w:tcPr>
          <w:p w14:paraId="28309E9C" w14:textId="0303753C" w:rsidR="00920FE6" w:rsidRPr="00920FE6" w:rsidRDefault="00920FE6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20FE6">
              <w:rPr>
                <w:rFonts w:hint="eastAsia"/>
                <w:b/>
                <w:bCs/>
                <w:u w:val="single"/>
              </w:rPr>
              <w:t>代替効果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&gt;</m:t>
              </m:r>
              <m:r>
                <m:rPr>
                  <m:sty m:val="b"/>
                </m:rPr>
                <w:rPr>
                  <w:rFonts w:ascii="Cambria Math" w:hAnsi="Cambria Math" w:hint="eastAsia"/>
                  <w:u w:val="single"/>
                </w:rPr>
                <m:t>所得効果</m:t>
              </m:r>
            </m:oMath>
            <w:r w:rsidRPr="00920FE6">
              <w:rPr>
                <w:rFonts w:hint="eastAsia"/>
                <w:b/>
                <w:bCs/>
                <w:u w:val="single"/>
              </w:rPr>
              <w:t xml:space="preserve"> </w:t>
            </w:r>
            <w:r w:rsidRPr="00920FE6">
              <w:rPr>
                <w:rFonts w:hint="eastAsia"/>
                <w:b/>
                <w:bCs/>
                <w:u w:val="single"/>
              </w:rPr>
              <w:t>⇒</w:t>
            </w:r>
            <w:r w:rsidRPr="00920FE6">
              <w:rPr>
                <w:rFonts w:hint="eastAsia"/>
                <w:b/>
                <w:bCs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f,t</m:t>
                  </m:r>
                </m:sub>
              </m:sSub>
            </m:oMath>
            <w:r w:rsidRPr="00920FE6">
              <w:rPr>
                <w:rFonts w:hint="eastAsia"/>
                <w:b/>
                <w:bCs/>
                <w:u w:val="single"/>
              </w:rPr>
              <w:t>の増加によって現在消費を減らす</w:t>
            </w:r>
          </w:p>
        </w:tc>
      </w:tr>
    </w:tbl>
    <w:p w14:paraId="15B5BBB4" w14:textId="45371865" w:rsidR="00B60E70" w:rsidRDefault="00182B40" w:rsidP="00182B40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71021" wp14:editId="61019753">
                <wp:simplePos x="0" y="0"/>
                <wp:positionH relativeFrom="column">
                  <wp:posOffset>3305908</wp:posOffset>
                </wp:positionH>
                <wp:positionV relativeFrom="paragraph">
                  <wp:posOffset>372501</wp:posOffset>
                </wp:positionV>
                <wp:extent cx="597877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77389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29.35pt" to="307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" strokecolor="red" strokeweight="1.5pt">
                <v:stroke joinstyle="miter"/>
              </v:line>
            </w:pict>
          </mc:Fallback>
        </mc:AlternateContent>
      </w:r>
      <w:r w:rsidR="00263CF4">
        <w:rPr>
          <w:noProof/>
        </w:rPr>
        <w:drawing>
          <wp:inline distT="0" distB="0" distL="0" distR="0" wp14:anchorId="57707A70" wp14:editId="2697A0A8">
            <wp:extent cx="3426840" cy="311040"/>
            <wp:effectExtent l="19050" t="19050" r="21590" b="133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840" cy="31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F350E" w14:textId="5A6BDDE4" w:rsidR="00263CF4" w:rsidRDefault="007B5CEC" w:rsidP="00263CF4">
      <w:pPr>
        <w:pStyle w:val="3"/>
      </w:pPr>
      <w:r>
        <w:rPr>
          <w:rFonts w:hint="eastAsia"/>
        </w:rPr>
        <w:t>4</w:t>
      </w:r>
      <w:r>
        <w:t xml:space="preserve">.6.4.  4.6.5.  </w:t>
      </w:r>
      <w:r w:rsidR="00263CF4">
        <w:rPr>
          <w:rFonts w:hint="eastAsia"/>
        </w:rPr>
        <w:t>最適ポートフォリオ</w:t>
      </w:r>
      <w:r>
        <w:rPr>
          <w:rFonts w:hint="eastAsia"/>
        </w:rPr>
        <w:t>：ケース</w:t>
      </w:r>
      <w:r>
        <w:rPr>
          <w:rFonts w:hint="eastAsia"/>
        </w:rPr>
        <w:t>1,2,3</w:t>
      </w:r>
    </w:p>
    <w:p w14:paraId="36E2C384" w14:textId="77777777" w:rsidR="004766D6" w:rsidRDefault="004766D6" w:rsidP="004766D6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考察まとめ</w:t>
      </w:r>
    </w:p>
    <w:p w14:paraId="6613B852" w14:textId="34FDF0E4" w:rsidR="00D10A5D" w:rsidRDefault="004766D6" w:rsidP="00F8508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結論</w:t>
      </w:r>
    </w:p>
    <w:p w14:paraId="4913E1C7" w14:textId="0396E553" w:rsidR="004766D6" w:rsidRDefault="004766D6" w:rsidP="00F850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最適ポートフォリオは</w:t>
      </w:r>
      <w:r w:rsidRPr="00B60E70">
        <w:rPr>
          <w:rFonts w:hint="eastAsia"/>
        </w:rPr>
        <w:t>相対的リスク回避度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に大きく影響を受けるが，異時点間代替弾力性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には</w:t>
      </w:r>
      <w:r w:rsidR="00F85089">
        <w:rPr>
          <w:rFonts w:hint="eastAsia"/>
        </w:rPr>
        <w:t>ほとんど</w:t>
      </w:r>
      <w:r>
        <w:rPr>
          <w:rFonts w:hint="eastAsia"/>
        </w:rPr>
        <w:t>影響を受けない</w:t>
      </w:r>
      <w:r w:rsidR="00F85089">
        <w:rPr>
          <w:rFonts w:hint="eastAsia"/>
        </w:rPr>
        <w:t>（</w:t>
      </w:r>
      <m:oMath>
        <m:r>
          <w:rPr>
            <w:rFonts w:ascii="Cambria Math" w:hAnsi="Cambria Math"/>
          </w:rPr>
          <m:t>γ=1,000</m:t>
        </m:r>
      </m:oMath>
      <w:r w:rsidR="00F85089">
        <w:rPr>
          <w:rFonts w:hint="eastAsia"/>
        </w:rPr>
        <w:t>など非現実的に高い場合を除く）</w:t>
      </w:r>
    </w:p>
    <w:p w14:paraId="368C512B" w14:textId="4EE86663" w:rsidR="00F85089" w:rsidRDefault="00F85089" w:rsidP="00F850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長期および短期実質債を考慮した場合，</w:t>
      </w:r>
      <m:oMath>
        <m:r>
          <w:rPr>
            <w:rFonts w:ascii="Cambria Math" w:hAnsi="Cambria Math"/>
          </w:rPr>
          <m:t>γ&lt;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の一部を除いて名目債はほとんど需要しなくなる</w:t>
      </w:r>
    </w:p>
    <w:p w14:paraId="44ACB783" w14:textId="41B5F3C9" w:rsidR="00F85089" w:rsidRDefault="00F85089" w:rsidP="00F85089">
      <w:pPr>
        <w:pStyle w:val="a5"/>
        <w:ind w:leftChars="0" w:left="1260"/>
      </w:pPr>
      <w:r>
        <w:rPr>
          <w:rFonts w:hint="eastAsia"/>
        </w:rPr>
        <w:t>（今後，名目債が暴落する可能性）</w:t>
      </w:r>
    </w:p>
    <w:p w14:paraId="769D4DA7" w14:textId="745B7879" w:rsidR="00263CF4" w:rsidRDefault="00263CF4" w:rsidP="00B60E70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71"/>
        <w:gridCol w:w="1693"/>
        <w:gridCol w:w="6492"/>
      </w:tblGrid>
      <w:tr w:rsidR="000620AC" w:rsidRPr="00B60E70" w14:paraId="04CB32D8" w14:textId="77777777" w:rsidTr="00FC7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3"/>
          </w:tcPr>
          <w:p w14:paraId="7F5BEE20" w14:textId="751BCC7A" w:rsidR="000620AC" w:rsidRPr="00B60E70" w:rsidRDefault="000620AC" w:rsidP="00C43C58">
            <w:r w:rsidRPr="00B60E70">
              <w:rPr>
                <w:rFonts w:hint="eastAsia"/>
              </w:rPr>
              <w:t>相対的リスク回避度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oMath>
            <w:r w:rsidRPr="00B60E70">
              <w:rPr>
                <w:rFonts w:hint="eastAsia"/>
              </w:rPr>
              <w:t>について</w:t>
            </w:r>
          </w:p>
        </w:tc>
      </w:tr>
      <w:tr w:rsidR="00643878" w14:paraId="45F6E615" w14:textId="77777777" w:rsidTr="00F85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 w:val="restart"/>
            <w:vAlign w:val="center"/>
          </w:tcPr>
          <w:p w14:paraId="267E1732" w14:textId="4BC4785B" w:rsidR="00643878" w:rsidRPr="00B60E70" w:rsidRDefault="00643878" w:rsidP="0064387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ケース</w:t>
            </w:r>
            <w:r>
              <w:rPr>
                <w:rFonts w:cs="Times New Roman" w:hint="eastAsia"/>
              </w:rPr>
              <w:t>1</w:t>
            </w:r>
          </w:p>
        </w:tc>
        <w:tc>
          <w:tcPr>
            <w:tcW w:w="1693" w:type="dxa"/>
          </w:tcPr>
          <w:p w14:paraId="026A4DA2" w14:textId="1AE266B5" w:rsidR="00643878" w:rsidRDefault="006210BF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γ=0.75</m:t>
                </m:r>
              </m:oMath>
            </m:oMathPara>
          </w:p>
        </w:tc>
        <w:tc>
          <w:tcPr>
            <w:tcW w:w="6492" w:type="dxa"/>
          </w:tcPr>
          <w:p w14:paraId="4330E611" w14:textId="6D18E9D4" w:rsidR="00643878" w:rsidRPr="004766D6" w:rsidRDefault="00643878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643878">
              <w:rPr>
                <w:rFonts w:hint="eastAsia"/>
                <w:iCs/>
              </w:rPr>
              <w:t>短期名目債</w:t>
            </w:r>
            <w:r>
              <w:rPr>
                <w:rFonts w:hint="eastAsia"/>
                <w:iCs/>
              </w:rPr>
              <w:t>を空売り（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500%</w:t>
            </w:r>
            <w:r>
              <w:rPr>
                <w:rFonts w:hint="eastAsia"/>
                <w:iCs/>
              </w:rPr>
              <w:t>近く）し，株式と長期名目債を購入</w:t>
            </w:r>
          </w:p>
        </w:tc>
      </w:tr>
      <w:tr w:rsidR="00643878" w14:paraId="4AEDD666" w14:textId="77777777" w:rsidTr="00F8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7DD2C516" w14:textId="77777777" w:rsidR="00643878" w:rsidRPr="00B60E70" w:rsidRDefault="00643878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2BE57E2F" w14:textId="1ECB71A0" w:rsidR="00643878" w:rsidRDefault="00643878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γ=1</m:t>
                </m:r>
              </m:oMath>
            </m:oMathPara>
          </w:p>
        </w:tc>
        <w:tc>
          <w:tcPr>
            <w:tcW w:w="6492" w:type="dxa"/>
          </w:tcPr>
          <w:p w14:paraId="0DECB183" w14:textId="777FC4DD" w:rsidR="00F933A3" w:rsidRDefault="00643878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によらず投資率は同一</w:t>
            </w:r>
            <w:r w:rsidR="00F933A3">
              <w:rPr>
                <w:rFonts w:hint="eastAsia"/>
              </w:rPr>
              <w:t>，株式</w:t>
            </w:r>
            <w:r w:rsidR="00F933A3">
              <w:rPr>
                <w:rFonts w:hint="eastAsia"/>
              </w:rPr>
              <w:t>350%</w:t>
            </w:r>
            <w:r w:rsidR="00F933A3">
              <w:rPr>
                <w:rFonts w:hint="eastAsia"/>
              </w:rPr>
              <w:t>，長期名目債</w:t>
            </w:r>
            <w:r w:rsidR="00F933A3">
              <w:rPr>
                <w:rFonts w:hint="eastAsia"/>
              </w:rPr>
              <w:t>1</w:t>
            </w:r>
            <w:r w:rsidR="00F933A3">
              <w:t>13%</w:t>
            </w:r>
          </w:p>
          <w:p w14:paraId="1E26A0A7" w14:textId="3F0A6C62" w:rsidR="00643878" w:rsidRDefault="00643878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（ヘッジ需要を要しない近視眼的投資家）</w:t>
            </w:r>
          </w:p>
        </w:tc>
      </w:tr>
      <w:tr w:rsidR="00643878" w14:paraId="02D6BC30" w14:textId="77777777" w:rsidTr="00F85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2F3537DE" w14:textId="77777777" w:rsidR="00643878" w:rsidRPr="00B60E70" w:rsidRDefault="00643878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2146D595" w14:textId="3FC2CCBD" w:rsidR="00643878" w:rsidRDefault="00643878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γ=5</m:t>
                </m:r>
              </m:oMath>
            </m:oMathPara>
          </w:p>
        </w:tc>
        <w:tc>
          <w:tcPr>
            <w:tcW w:w="6492" w:type="dxa"/>
          </w:tcPr>
          <w:p w14:paraId="357C7664" w14:textId="29FE93B6" w:rsidR="00643878" w:rsidRDefault="00643878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空売りは</w:t>
            </w:r>
            <w:r w:rsidRPr="00F933A3">
              <w:rPr>
                <w:rFonts w:hint="eastAsia"/>
                <w:b/>
                <w:bCs/>
                <w:u w:val="single"/>
              </w:rPr>
              <w:t>せず</w:t>
            </w:r>
            <w:r>
              <w:rPr>
                <w:rFonts w:hint="eastAsia"/>
              </w:rPr>
              <w:t>，株式約</w:t>
            </w:r>
            <w:r>
              <w:rPr>
                <w:rFonts w:hint="eastAsia"/>
              </w:rPr>
              <w:t>69%</w:t>
            </w:r>
            <w:r>
              <w:rPr>
                <w:rFonts w:hint="eastAsia"/>
              </w:rPr>
              <w:t>，長期名目</w:t>
            </w:r>
            <w:r w:rsidRPr="00F933A3">
              <w:rPr>
                <w:rFonts w:hint="eastAsia"/>
                <w:b/>
                <w:bCs/>
                <w:u w:val="single"/>
              </w:rPr>
              <w:t>25~27</w:t>
            </w:r>
            <w:r>
              <w:rPr>
                <w:rFonts w:hint="eastAsia"/>
              </w:rPr>
              <w:t>%</w:t>
            </w:r>
          </w:p>
        </w:tc>
      </w:tr>
      <w:tr w:rsidR="004C00AC" w14:paraId="455B93D7" w14:textId="77777777" w:rsidTr="00F8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 w:val="restart"/>
            <w:vAlign w:val="center"/>
          </w:tcPr>
          <w:p w14:paraId="67EFDCA1" w14:textId="6035C104" w:rsidR="004C00AC" w:rsidRPr="00B60E70" w:rsidRDefault="004C00AC" w:rsidP="004C00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ケース</w:t>
            </w:r>
            <w:r>
              <w:rPr>
                <w:rFonts w:cs="Times New Roman" w:hint="eastAsia"/>
              </w:rPr>
              <w:t>2</w:t>
            </w:r>
          </w:p>
        </w:tc>
        <w:tc>
          <w:tcPr>
            <w:tcW w:w="1693" w:type="dxa"/>
            <w:vMerge w:val="restart"/>
            <w:vAlign w:val="center"/>
          </w:tcPr>
          <w:p w14:paraId="77F00951" w14:textId="36F03CE7" w:rsidR="004C00AC" w:rsidRPr="00B60E70" w:rsidRDefault="004C00AC" w:rsidP="00F8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γ=1</m:t>
                </m:r>
              </m:oMath>
            </m:oMathPara>
          </w:p>
        </w:tc>
        <w:tc>
          <w:tcPr>
            <w:tcW w:w="6492" w:type="dxa"/>
          </w:tcPr>
          <w:p w14:paraId="3D12EF71" w14:textId="77777777" w:rsidR="004C00AC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によらず投資率は同一，</w:t>
            </w:r>
          </w:p>
          <w:p w14:paraId="4EA259CB" w14:textId="4E877150" w:rsidR="004C00AC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株式</w:t>
            </w:r>
            <w:r>
              <w:rPr>
                <w:rFonts w:hint="eastAsia"/>
              </w:rPr>
              <w:t>3</w:t>
            </w:r>
            <w:r>
              <w:t>60%</w:t>
            </w:r>
            <w:r>
              <w:rPr>
                <w:rFonts w:hint="eastAsia"/>
              </w:rPr>
              <w:t>，長期名目</w:t>
            </w:r>
            <w:r w:rsidRPr="00F933A3">
              <w:rPr>
                <w:rFonts w:hint="eastAsia"/>
                <w:b/>
                <w:bCs/>
                <w:u w:val="single"/>
              </w:rPr>
              <w:t>5</w:t>
            </w:r>
            <w:r w:rsidRPr="00F933A3">
              <w:rPr>
                <w:b/>
                <w:bCs/>
                <w:u w:val="single"/>
              </w:rPr>
              <w:t>8%</w:t>
            </w:r>
            <w:r>
              <w:rPr>
                <w:rFonts w:hint="eastAsia"/>
              </w:rPr>
              <w:t>，長期実質</w:t>
            </w:r>
            <w:r w:rsidRPr="00F933A3">
              <w:rPr>
                <w:rFonts w:hint="eastAsia"/>
                <w:b/>
                <w:bCs/>
                <w:u w:val="single"/>
              </w:rPr>
              <w:t>5</w:t>
            </w:r>
            <w:r w:rsidRPr="00F933A3">
              <w:rPr>
                <w:b/>
                <w:bCs/>
                <w:u w:val="single"/>
              </w:rPr>
              <w:t>61%</w:t>
            </w:r>
          </w:p>
        </w:tc>
      </w:tr>
      <w:tr w:rsidR="004C00AC" w14:paraId="1B542884" w14:textId="77777777" w:rsidTr="00F85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7F9F9773" w14:textId="77777777" w:rsidR="004C00AC" w:rsidRPr="00B60E70" w:rsidRDefault="004C00AC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  <w:vMerge/>
          </w:tcPr>
          <w:p w14:paraId="28822644" w14:textId="77777777" w:rsidR="004C00AC" w:rsidRPr="00B60E70" w:rsidRDefault="004C00AC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6492" w:type="dxa"/>
          </w:tcPr>
          <w:p w14:paraId="09DBE8E7" w14:textId="143B5F74" w:rsidR="004C00AC" w:rsidRDefault="004C00AC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spm</w:t>
            </w:r>
            <w:proofErr w:type="spellEnd"/>
            <w:r>
              <w:rPr>
                <w:rFonts w:cs="Times New Roman" w:hint="eastAsia"/>
              </w:rPr>
              <w:t>は株式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0.601)</w:t>
            </w:r>
            <w:r w:rsidR="00052DD7">
              <w:rPr>
                <w:rFonts w:cs="Times New Roman"/>
              </w:rPr>
              <w:t>&gt;</w:t>
            </w:r>
            <w:r>
              <w:rPr>
                <w:rFonts w:cs="Times New Roman" w:hint="eastAsia"/>
              </w:rPr>
              <w:t>長期実質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0.326)</w:t>
            </w:r>
          </w:p>
          <w:p w14:paraId="2402D28D" w14:textId="56B6A16E" w:rsidR="004C00AC" w:rsidRDefault="004C00AC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投資比率は</w:t>
            </w:r>
            <w:proofErr w:type="spellStart"/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pm</w:t>
            </w:r>
            <w:proofErr w:type="spellEnd"/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標準偏差で決まるので，株式</w:t>
            </w:r>
            <w:r>
              <w:rPr>
                <w:rFonts w:cs="Times New Roman" w:hint="eastAsia"/>
              </w:rPr>
              <w:t>&lt;</w:t>
            </w:r>
            <w:r>
              <w:rPr>
                <w:rFonts w:cs="Times New Roman" w:hint="eastAsia"/>
              </w:rPr>
              <w:t>長期実質</w:t>
            </w:r>
          </w:p>
        </w:tc>
      </w:tr>
      <w:tr w:rsidR="004C00AC" w14:paraId="368A289F" w14:textId="77777777" w:rsidTr="00F8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66B32359" w14:textId="77777777" w:rsidR="004C00AC" w:rsidRPr="00B60E70" w:rsidRDefault="004C00AC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015FF8DC" w14:textId="51B4B7F5" w:rsidR="004C00AC" w:rsidRPr="00B60E70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γ=5</m:t>
                </m:r>
              </m:oMath>
            </m:oMathPara>
          </w:p>
        </w:tc>
        <w:tc>
          <w:tcPr>
            <w:tcW w:w="6492" w:type="dxa"/>
          </w:tcPr>
          <w:p w14:paraId="59DAB622" w14:textId="563F5A7E" w:rsidR="004C00AC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空売り</w:t>
            </w:r>
            <w:r w:rsidRPr="00F933A3">
              <w:rPr>
                <w:rFonts w:hint="eastAsia"/>
                <w:b/>
                <w:bCs/>
                <w:u w:val="single"/>
              </w:rPr>
              <w:t>して</w:t>
            </w:r>
            <w:r w:rsidRPr="00F933A3">
              <w:rPr>
                <w:rFonts w:hint="eastAsia"/>
              </w:rPr>
              <w:t>，</w:t>
            </w:r>
            <w:r>
              <w:rPr>
                <w:rFonts w:hint="eastAsia"/>
              </w:rPr>
              <w:t>長期実質</w:t>
            </w:r>
            <w:r w:rsidRPr="00F933A3">
              <w:rPr>
                <w:rFonts w:hint="eastAsia"/>
                <w:b/>
                <w:bCs/>
                <w:u w:val="single"/>
              </w:rPr>
              <w:t>160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，株式</w:t>
            </w:r>
            <w:r>
              <w:rPr>
                <w:rFonts w:hint="eastAsia"/>
              </w:rPr>
              <w:t>7</w:t>
            </w:r>
            <w:r>
              <w:t>0%</w:t>
            </w:r>
            <w:r>
              <w:rPr>
                <w:rFonts w:hint="eastAsia"/>
              </w:rPr>
              <w:t>，長期名目</w:t>
            </w:r>
            <w:r w:rsidRPr="00F933A3">
              <w:rPr>
                <w:rFonts w:hint="eastAsia"/>
                <w:b/>
                <w:bCs/>
                <w:u w:val="single"/>
              </w:rPr>
              <w:t>1</w:t>
            </w:r>
            <w:r w:rsidRPr="00F933A3">
              <w:rPr>
                <w:b/>
                <w:bCs/>
                <w:u w:val="single"/>
              </w:rPr>
              <w:t>0</w:t>
            </w:r>
            <w:r>
              <w:t>%</w:t>
            </w:r>
          </w:p>
        </w:tc>
      </w:tr>
      <w:tr w:rsidR="004C00AC" w14:paraId="0892254A" w14:textId="77777777" w:rsidTr="00F85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539D6F04" w14:textId="77777777" w:rsidR="004C00AC" w:rsidRPr="00B60E70" w:rsidRDefault="004C00AC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59B8D953" w14:textId="2EAB760B" w:rsidR="004C00AC" w:rsidRPr="00B60E70" w:rsidRDefault="004C00AC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γ=0.75</m:t>
                </m:r>
              </m:oMath>
            </m:oMathPara>
          </w:p>
        </w:tc>
        <w:tc>
          <w:tcPr>
            <w:tcW w:w="6492" w:type="dxa"/>
          </w:tcPr>
          <w:p w14:paraId="23763313" w14:textId="28A2F187" w:rsidR="004C00AC" w:rsidRDefault="004C00AC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長期実質</w:t>
            </w:r>
            <w:r>
              <w:rPr>
                <w:rFonts w:hint="eastAsia"/>
              </w:rPr>
              <w:t>7</w:t>
            </w:r>
            <w:r>
              <w:t>40%</w:t>
            </w:r>
            <w:r>
              <w:rPr>
                <w:rFonts w:hint="eastAsia"/>
              </w:rPr>
              <w:t>，株式</w:t>
            </w:r>
            <w:r>
              <w:rPr>
                <w:rFonts w:hint="eastAsia"/>
              </w:rPr>
              <w:t>4</w:t>
            </w:r>
            <w:r>
              <w:t>80%</w:t>
            </w:r>
            <w:r>
              <w:rPr>
                <w:rFonts w:hint="eastAsia"/>
              </w:rPr>
              <w:t>，長期名目</w:t>
            </w:r>
            <w:r>
              <w:rPr>
                <w:rFonts w:hint="eastAsia"/>
              </w:rPr>
              <w:t>7</w:t>
            </w:r>
            <w:r>
              <w:t>8%</w:t>
            </w:r>
          </w:p>
        </w:tc>
      </w:tr>
      <w:tr w:rsidR="004C00AC" w14:paraId="62861E19" w14:textId="77777777" w:rsidTr="00F8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72C35754" w14:textId="77777777" w:rsidR="004C00AC" w:rsidRPr="00B60E70" w:rsidRDefault="004C00AC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4AFA22CF" w14:textId="7FDB81C1" w:rsidR="004C00AC" w:rsidRPr="00B60E70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γ=1,000</m:t>
                </m:r>
              </m:oMath>
            </m:oMathPara>
          </w:p>
        </w:tc>
        <w:tc>
          <w:tcPr>
            <w:tcW w:w="6492" w:type="dxa"/>
          </w:tcPr>
          <w:p w14:paraId="79162B40" w14:textId="03C09EA9" w:rsidR="004C00AC" w:rsidRDefault="004C00AC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長期実質，短期名目に占められる，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ψ</m:t>
              </m:r>
            </m:oMath>
            <w:r w:rsidRPr="004C00AC">
              <w:rPr>
                <w:rFonts w:hint="eastAsia"/>
                <w:b/>
                <w:bCs/>
                <w:u w:val="single"/>
              </w:rPr>
              <w:t>の影響を受ける</w:t>
            </w:r>
          </w:p>
        </w:tc>
      </w:tr>
      <w:tr w:rsidR="002A6FB7" w:rsidRPr="00F85089" w14:paraId="25CCBAED" w14:textId="77777777" w:rsidTr="002A6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 w:val="restart"/>
            <w:vAlign w:val="center"/>
          </w:tcPr>
          <w:p w14:paraId="3F684F25" w14:textId="68E576A8" w:rsidR="002A6FB7" w:rsidRPr="00B60E70" w:rsidRDefault="002A6FB7" w:rsidP="002A6FB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ケース</w:t>
            </w:r>
            <w:r>
              <w:rPr>
                <w:rFonts w:cs="Times New Roman" w:hint="eastAsia"/>
              </w:rPr>
              <w:t>3</w:t>
            </w:r>
          </w:p>
        </w:tc>
        <w:tc>
          <w:tcPr>
            <w:tcW w:w="1693" w:type="dxa"/>
            <w:vAlign w:val="center"/>
          </w:tcPr>
          <w:p w14:paraId="1FB11B5B" w14:textId="665A51AA" w:rsidR="002A6FB7" w:rsidRPr="00B60E70" w:rsidRDefault="002A6FB7" w:rsidP="00F85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γ=1</m:t>
                </m:r>
              </m:oMath>
            </m:oMathPara>
          </w:p>
        </w:tc>
        <w:tc>
          <w:tcPr>
            <w:tcW w:w="6492" w:type="dxa"/>
          </w:tcPr>
          <w:p w14:paraId="35985E59" w14:textId="77777777" w:rsidR="002A6FB7" w:rsidRDefault="002A6FB7" w:rsidP="004C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hint="eastAsia"/>
              </w:rPr>
              <w:t>によらず投資率は同一，</w:t>
            </w:r>
          </w:p>
          <w:p w14:paraId="68732E86" w14:textId="2FC8DE05" w:rsidR="002A6FB7" w:rsidRDefault="002A6FB7" w:rsidP="004C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株式</w:t>
            </w:r>
            <w:r>
              <w:rPr>
                <w:rFonts w:hint="eastAsia"/>
              </w:rPr>
              <w:t>3</w:t>
            </w:r>
            <w:r>
              <w:t>47%</w:t>
            </w:r>
            <w:r>
              <w:rPr>
                <w:rFonts w:hint="eastAsia"/>
              </w:rPr>
              <w:t>，長期名目</w:t>
            </w:r>
            <w:r w:rsidRPr="00F85089">
              <w:rPr>
                <w:rFonts w:hint="eastAsia"/>
                <w:b/>
                <w:bCs/>
                <w:u w:val="single"/>
              </w:rPr>
              <w:t>2</w:t>
            </w:r>
            <w:r w:rsidRPr="00F933A3">
              <w:rPr>
                <w:b/>
                <w:bCs/>
                <w:u w:val="single"/>
              </w:rPr>
              <w:t>%</w:t>
            </w:r>
            <w:r>
              <w:rPr>
                <w:rFonts w:hint="eastAsia"/>
              </w:rPr>
              <w:t>，長期実質</w:t>
            </w:r>
            <w:r w:rsidRPr="00F85089">
              <w:rPr>
                <w:rFonts w:hint="eastAsia"/>
                <w:b/>
                <w:bCs/>
                <w:u w:val="single"/>
              </w:rPr>
              <w:t>7</w:t>
            </w:r>
            <w:r w:rsidRPr="00F85089">
              <w:rPr>
                <w:b/>
                <w:bCs/>
                <w:u w:val="single"/>
              </w:rPr>
              <w:t>14</w:t>
            </w:r>
            <w:r w:rsidRPr="00F933A3">
              <w:rPr>
                <w:b/>
                <w:bCs/>
                <w:u w:val="single"/>
              </w:rPr>
              <w:t>%</w:t>
            </w:r>
            <w:r w:rsidRPr="00F85089">
              <w:rPr>
                <w:rFonts w:hint="eastAsia"/>
              </w:rPr>
              <w:t>，短期名目</w:t>
            </w:r>
            <w:r w:rsidRPr="00F85089">
              <w:rPr>
                <w:rFonts w:hint="eastAsia"/>
              </w:rPr>
              <w:t>1</w:t>
            </w:r>
            <w:r w:rsidRPr="00F85089">
              <w:t>.52</w:t>
            </w:r>
          </w:p>
        </w:tc>
      </w:tr>
      <w:tr w:rsidR="002A6FB7" w14:paraId="554DAF53" w14:textId="77777777" w:rsidTr="00F8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5B93AD9C" w14:textId="77777777" w:rsidR="002A6FB7" w:rsidRPr="00B60E70" w:rsidRDefault="002A6FB7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  <w:vAlign w:val="center"/>
          </w:tcPr>
          <w:p w14:paraId="4B781529" w14:textId="2D61B184" w:rsidR="002A6FB7" w:rsidRPr="00B60E70" w:rsidRDefault="002A6FB7" w:rsidP="00F8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γ=5</m:t>
                </m:r>
              </m:oMath>
            </m:oMathPara>
          </w:p>
        </w:tc>
        <w:tc>
          <w:tcPr>
            <w:tcW w:w="6492" w:type="dxa"/>
          </w:tcPr>
          <w:p w14:paraId="3134CD5C" w14:textId="77777777" w:rsidR="002A6FB7" w:rsidRDefault="002A6FB7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短期実質</w:t>
            </w:r>
            <w:r>
              <w:rPr>
                <w:rFonts w:hint="eastAsia"/>
              </w:rPr>
              <w:t>-</w:t>
            </w:r>
            <w:r>
              <w:t>160%</w:t>
            </w:r>
            <w:r>
              <w:rPr>
                <w:rFonts w:hint="eastAsia"/>
              </w:rPr>
              <w:t>，長期実質</w:t>
            </w:r>
            <w:r>
              <w:rPr>
                <w:rFonts w:hint="eastAsia"/>
              </w:rPr>
              <w:t>1</w:t>
            </w:r>
            <w:r>
              <w:t>90%</w:t>
            </w:r>
            <w:r>
              <w:rPr>
                <w:rFonts w:hint="eastAsia"/>
              </w:rPr>
              <w:t>，株式</w:t>
            </w:r>
            <w:r>
              <w:rPr>
                <w:rFonts w:hint="eastAsia"/>
              </w:rPr>
              <w:t>6</w:t>
            </w:r>
            <w:r>
              <w:t>9%</w:t>
            </w:r>
            <w:r>
              <w:rPr>
                <w:rFonts w:hint="eastAsia"/>
              </w:rPr>
              <w:t>，</w:t>
            </w:r>
            <w:r w:rsidRPr="00F85089">
              <w:rPr>
                <w:rFonts w:hint="eastAsia"/>
                <w:b/>
                <w:bCs/>
                <w:u w:val="single"/>
              </w:rPr>
              <w:t>名目債ほぼなし</w:t>
            </w:r>
          </w:p>
          <w:p w14:paraId="58D0976A" w14:textId="11AB736F" w:rsidR="002A6FB7" w:rsidRPr="00F85089" w:rsidRDefault="002A6FB7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089">
              <w:rPr>
                <w:rFonts w:hint="eastAsia"/>
              </w:rPr>
              <w:t>長期実質はヘッジ需要に</w:t>
            </w:r>
            <w:r w:rsidRPr="00F85089">
              <w:rPr>
                <w:rFonts w:hint="eastAsia"/>
              </w:rPr>
              <w:t>5</w:t>
            </w:r>
            <w:r w:rsidRPr="00F85089">
              <w:t>0%</w:t>
            </w:r>
          </w:p>
        </w:tc>
      </w:tr>
      <w:tr w:rsidR="002A6FB7" w14:paraId="0C1A361A" w14:textId="77777777" w:rsidTr="00F85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Merge/>
          </w:tcPr>
          <w:p w14:paraId="353EE370" w14:textId="77777777" w:rsidR="002A6FB7" w:rsidRPr="00B60E70" w:rsidRDefault="002A6FB7" w:rsidP="00C43C58">
            <w:pPr>
              <w:rPr>
                <w:rFonts w:cs="Times New Roman"/>
              </w:rPr>
            </w:pPr>
          </w:p>
        </w:tc>
        <w:tc>
          <w:tcPr>
            <w:tcW w:w="1693" w:type="dxa"/>
          </w:tcPr>
          <w:p w14:paraId="48A81076" w14:textId="65A3A655" w:rsidR="002A6FB7" w:rsidRPr="00B60E70" w:rsidRDefault="002A6FB7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γ=1,000</m:t>
                </m:r>
              </m:oMath>
            </m:oMathPara>
          </w:p>
        </w:tc>
        <w:tc>
          <w:tcPr>
            <w:tcW w:w="6492" w:type="dxa"/>
          </w:tcPr>
          <w:p w14:paraId="728C515C" w14:textId="76444BAD" w:rsidR="002A6FB7" w:rsidRDefault="002A6FB7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長期短期実質がほとんど（ヘッジ需要から）</w:t>
            </w:r>
          </w:p>
        </w:tc>
      </w:tr>
      <w:tr w:rsidR="000620AC" w:rsidRPr="00B60E70" w14:paraId="0D5E3283" w14:textId="77777777" w:rsidTr="002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000000" w:themeFill="text1"/>
          </w:tcPr>
          <w:p w14:paraId="688D3CB1" w14:textId="4C94217B" w:rsidR="000620AC" w:rsidRPr="00B60E70" w:rsidRDefault="000620AC" w:rsidP="00C43C58">
            <w:r>
              <w:rPr>
                <w:rFonts w:hint="eastAsia"/>
              </w:rPr>
              <w:t>名目債と実質債について</w:t>
            </w:r>
          </w:p>
        </w:tc>
      </w:tr>
      <w:tr w:rsidR="00643878" w14:paraId="5582D9B0" w14:textId="77777777" w:rsidTr="0064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27AA15CF" w14:textId="09F60321" w:rsidR="00643878" w:rsidRDefault="00F933A3" w:rsidP="00C43C58">
            <w:pPr>
              <w:rPr>
                <w:iCs/>
              </w:rPr>
            </w:pPr>
            <w:r>
              <w:rPr>
                <w:rFonts w:hint="eastAsia"/>
                <w:iCs/>
              </w:rPr>
              <w:t>ケース</w:t>
            </w:r>
            <w:r>
              <w:rPr>
                <w:rFonts w:hint="eastAsia"/>
                <w:iCs/>
              </w:rPr>
              <w:t>1</w:t>
            </w:r>
          </w:p>
        </w:tc>
        <w:tc>
          <w:tcPr>
            <w:tcW w:w="8185" w:type="dxa"/>
            <w:gridSpan w:val="2"/>
          </w:tcPr>
          <w:p w14:paraId="075DF401" w14:textId="77777777" w:rsidR="00D10A5D" w:rsidRDefault="00643878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  <w:r>
              <w:rPr>
                <w:rFonts w:hint="eastAsia"/>
                <w:iCs/>
              </w:rPr>
              <w:t>資産の場合には長期名目債の役割も無視できない</w:t>
            </w:r>
          </w:p>
          <w:p w14:paraId="1B98F1D9" w14:textId="215E3ACA" w:rsidR="00643878" w:rsidRPr="004766D6" w:rsidRDefault="00D10A5D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eastAsia"/>
                <w:iCs/>
              </w:rPr>
              <w:t>（リスク回避的投資家が消極的ながら</w:t>
            </w:r>
            <w:r>
              <w:rPr>
                <w:rFonts w:hint="eastAsia"/>
                <w:iCs/>
              </w:rPr>
              <w:t>(</w:t>
            </w:r>
            <w:r w:rsidRPr="004C00AC">
              <w:rPr>
                <w:b/>
                <w:bCs/>
                <w:iCs/>
                <w:u w:val="single"/>
              </w:rPr>
              <w:t>5%</w:t>
            </w:r>
            <w:r>
              <w:rPr>
                <w:rFonts w:hint="eastAsia"/>
                <w:iCs/>
              </w:rPr>
              <w:t>程度</w:t>
            </w:r>
            <w:r>
              <w:rPr>
                <w:iCs/>
              </w:rPr>
              <w:t>)</w:t>
            </w:r>
            <w:r>
              <w:rPr>
                <w:rFonts w:hint="eastAsia"/>
                <w:iCs/>
              </w:rPr>
              <w:t>ヘッジ需要としても利用）</w:t>
            </w:r>
          </w:p>
        </w:tc>
      </w:tr>
      <w:tr w:rsidR="00D10A5D" w14:paraId="0113054D" w14:textId="77777777" w:rsidTr="00104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04ECE32" w14:textId="1F477C03" w:rsidR="00D10A5D" w:rsidRDefault="000620AC" w:rsidP="00C43C58"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2</w:t>
            </w:r>
          </w:p>
        </w:tc>
        <w:tc>
          <w:tcPr>
            <w:tcW w:w="8185" w:type="dxa"/>
            <w:gridSpan w:val="2"/>
          </w:tcPr>
          <w:p w14:paraId="4F88878B" w14:textId="77777777" w:rsidR="00D10A5D" w:rsidRDefault="00D10A5D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資産の場合には長期実質債の役割が大きく，長期名目債の役割劇的に減少</w:t>
            </w:r>
          </w:p>
          <w:p w14:paraId="70EE4D29" w14:textId="0155E654" w:rsidR="00D10A5D" w:rsidRDefault="00D10A5D" w:rsidP="00C43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（インフレに対するヘッジ効率</w:t>
            </w:r>
            <w:r w:rsidR="004C00AC">
              <w:rPr>
                <w:rFonts w:hint="eastAsia"/>
              </w:rPr>
              <w:t>（</w:t>
            </w:r>
            <w:r w:rsidR="004C00AC" w:rsidRPr="004C00AC">
              <w:rPr>
                <w:rFonts w:hint="eastAsia"/>
                <w:b/>
                <w:bCs/>
                <w:u w:val="single"/>
              </w:rPr>
              <w:t>ヘッジ需要</w:t>
            </w:r>
            <w:r w:rsidR="004C00AC" w:rsidRPr="004C00AC">
              <w:rPr>
                <w:rFonts w:hint="eastAsia"/>
                <w:b/>
                <w:bCs/>
                <w:u w:val="single"/>
              </w:rPr>
              <w:t>5</w:t>
            </w:r>
            <w:r w:rsidR="004C00AC" w:rsidRPr="004C00AC">
              <w:rPr>
                <w:b/>
                <w:bCs/>
                <w:u w:val="single"/>
              </w:rPr>
              <w:t>0%</w:t>
            </w:r>
            <w:r w:rsidR="004C00AC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t>spm</w:t>
            </w:r>
            <w:proofErr w:type="spellEnd"/>
            <w:r>
              <w:rPr>
                <w:rFonts w:hint="eastAsia"/>
              </w:rPr>
              <w:t>においても高い値）</w:t>
            </w:r>
          </w:p>
        </w:tc>
      </w:tr>
      <w:tr w:rsidR="00526C1A" w14:paraId="01FFB271" w14:textId="77777777" w:rsidTr="00262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1440CA0" w14:textId="31AEA59B" w:rsidR="00526C1A" w:rsidRDefault="00526C1A" w:rsidP="00C43C58">
            <w:r>
              <w:rPr>
                <w:rFonts w:hint="eastAsia"/>
              </w:rPr>
              <w:t>ケース</w:t>
            </w:r>
            <w:r>
              <w:rPr>
                <w:rFonts w:hint="eastAsia"/>
              </w:rPr>
              <w:t>3</w:t>
            </w:r>
          </w:p>
        </w:tc>
        <w:tc>
          <w:tcPr>
            <w:tcW w:w="8185" w:type="dxa"/>
            <w:gridSpan w:val="2"/>
          </w:tcPr>
          <w:p w14:paraId="27ABB9B2" w14:textId="1AED5341" w:rsidR="00526C1A" w:rsidRDefault="00526C1A" w:rsidP="00C43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資産の場合には，実質債の役割が大きく，名目債の役割劇的に減少</w:t>
            </w:r>
          </w:p>
        </w:tc>
      </w:tr>
    </w:tbl>
    <w:p w14:paraId="7429B6EF" w14:textId="77777777" w:rsidR="004766D6" w:rsidRPr="00643878" w:rsidRDefault="004766D6" w:rsidP="00B60E70"/>
    <w:p w14:paraId="16D33854" w14:textId="77777777" w:rsidR="00B60E70" w:rsidRPr="004565E4" w:rsidRDefault="00B60E70" w:rsidP="00B60E70">
      <w:pPr>
        <w:pStyle w:val="a5"/>
        <w:ind w:leftChars="0" w:left="1260"/>
      </w:pPr>
    </w:p>
    <w:sectPr w:rsidR="00B60E70" w:rsidRPr="004565E4" w:rsidSect="0093764F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2F977" w14:textId="77777777" w:rsidR="003F6850" w:rsidRDefault="003F6850" w:rsidP="00001D38">
      <w:r>
        <w:separator/>
      </w:r>
    </w:p>
  </w:endnote>
  <w:endnote w:type="continuationSeparator" w:id="0">
    <w:p w14:paraId="000D604A" w14:textId="77777777" w:rsidR="003F6850" w:rsidRDefault="003F6850" w:rsidP="0000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107116"/>
      <w:docPartObj>
        <w:docPartGallery w:val="Page Numbers (Bottom of Page)"/>
        <w:docPartUnique/>
      </w:docPartObj>
    </w:sdtPr>
    <w:sdtEndPr/>
    <w:sdtContent>
      <w:p w14:paraId="3ABE99E0" w14:textId="5AF96077" w:rsidR="00C176D6" w:rsidRDefault="00C176D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A634B17" w14:textId="77777777" w:rsidR="00C176D6" w:rsidRDefault="00C176D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FF84E" w14:textId="77777777" w:rsidR="003F6850" w:rsidRDefault="003F6850" w:rsidP="00001D38">
      <w:r>
        <w:separator/>
      </w:r>
    </w:p>
  </w:footnote>
  <w:footnote w:type="continuationSeparator" w:id="0">
    <w:p w14:paraId="73107777" w14:textId="77777777" w:rsidR="003F6850" w:rsidRDefault="003F6850" w:rsidP="0000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C56"/>
    <w:multiLevelType w:val="hybridMultilevel"/>
    <w:tmpl w:val="C55E3562"/>
    <w:lvl w:ilvl="0" w:tplc="66F43F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506061"/>
    <w:multiLevelType w:val="hybridMultilevel"/>
    <w:tmpl w:val="4EBAA0C6"/>
    <w:lvl w:ilvl="0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A940822"/>
    <w:multiLevelType w:val="hybridMultilevel"/>
    <w:tmpl w:val="46BE73F0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377796"/>
    <w:multiLevelType w:val="hybridMultilevel"/>
    <w:tmpl w:val="3E245028"/>
    <w:lvl w:ilvl="0" w:tplc="FA96114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14E19C7"/>
    <w:multiLevelType w:val="hybridMultilevel"/>
    <w:tmpl w:val="1F6CC324"/>
    <w:lvl w:ilvl="0" w:tplc="64B8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91172D"/>
    <w:multiLevelType w:val="hybridMultilevel"/>
    <w:tmpl w:val="93A2358E"/>
    <w:lvl w:ilvl="0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B8C1228"/>
    <w:multiLevelType w:val="hybridMultilevel"/>
    <w:tmpl w:val="6C5EB42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D546711"/>
    <w:multiLevelType w:val="hybridMultilevel"/>
    <w:tmpl w:val="2A566B5E"/>
    <w:lvl w:ilvl="0" w:tplc="5688126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DF31B3B"/>
    <w:multiLevelType w:val="hybridMultilevel"/>
    <w:tmpl w:val="86362BD2"/>
    <w:lvl w:ilvl="0" w:tplc="6E2031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0050774"/>
    <w:multiLevelType w:val="hybridMultilevel"/>
    <w:tmpl w:val="79763C70"/>
    <w:lvl w:ilvl="0" w:tplc="1FF0913E">
      <w:start w:val="1"/>
      <w:numFmt w:val="bullet"/>
      <w:lvlText w:val="◆"/>
      <w:lvlJc w:val="left"/>
      <w:pPr>
        <w:ind w:left="360" w:hanging="360"/>
      </w:pPr>
      <w:rPr>
        <w:rFonts w:ascii="ＭＳ 明朝" w:eastAsia="ＭＳ 明朝" w:hAnsi="ＭＳ 明朝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816F1B"/>
    <w:multiLevelType w:val="hybridMultilevel"/>
    <w:tmpl w:val="F7CC1498"/>
    <w:lvl w:ilvl="0" w:tplc="FA96114C">
      <w:start w:val="1"/>
      <w:numFmt w:val="decimal"/>
      <w:lvlText w:val="(%1)."/>
      <w:lvlJc w:val="left"/>
      <w:pPr>
        <w:ind w:left="16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25224961"/>
    <w:multiLevelType w:val="hybridMultilevel"/>
    <w:tmpl w:val="677C6AD4"/>
    <w:lvl w:ilvl="0" w:tplc="3B5A62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9DA56D9"/>
    <w:multiLevelType w:val="hybridMultilevel"/>
    <w:tmpl w:val="521419BA"/>
    <w:lvl w:ilvl="0" w:tplc="3878D7C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2A2A5745"/>
    <w:multiLevelType w:val="hybridMultilevel"/>
    <w:tmpl w:val="9C841E5A"/>
    <w:lvl w:ilvl="0" w:tplc="5D6A11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BAB01B3"/>
    <w:multiLevelType w:val="hybridMultilevel"/>
    <w:tmpl w:val="BA8625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5B28F1"/>
    <w:multiLevelType w:val="hybridMultilevel"/>
    <w:tmpl w:val="E65023E6"/>
    <w:lvl w:ilvl="0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5E601D3"/>
    <w:multiLevelType w:val="hybridMultilevel"/>
    <w:tmpl w:val="791240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D8693D"/>
    <w:multiLevelType w:val="hybridMultilevel"/>
    <w:tmpl w:val="541ACD26"/>
    <w:lvl w:ilvl="0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D4D6CEB"/>
    <w:multiLevelType w:val="hybridMultilevel"/>
    <w:tmpl w:val="7FCA10C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3FA97450"/>
    <w:multiLevelType w:val="hybridMultilevel"/>
    <w:tmpl w:val="F148E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0401E99"/>
    <w:multiLevelType w:val="hybridMultilevel"/>
    <w:tmpl w:val="07A47AA6"/>
    <w:lvl w:ilvl="0" w:tplc="AA8688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5A634D1"/>
    <w:multiLevelType w:val="hybridMultilevel"/>
    <w:tmpl w:val="9F9CAE84"/>
    <w:lvl w:ilvl="0" w:tplc="4B600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6196E91"/>
    <w:multiLevelType w:val="hybridMultilevel"/>
    <w:tmpl w:val="402646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DA3FF6"/>
    <w:multiLevelType w:val="hybridMultilevel"/>
    <w:tmpl w:val="EF005BC2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0B4E3F"/>
    <w:multiLevelType w:val="hybridMultilevel"/>
    <w:tmpl w:val="0F2694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B24E5B"/>
    <w:multiLevelType w:val="hybridMultilevel"/>
    <w:tmpl w:val="FE5221E8"/>
    <w:lvl w:ilvl="0" w:tplc="B09E34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42309C4"/>
    <w:multiLevelType w:val="hybridMultilevel"/>
    <w:tmpl w:val="CBAC22E2"/>
    <w:lvl w:ilvl="0" w:tplc="BC126E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2E0764A"/>
    <w:multiLevelType w:val="hybridMultilevel"/>
    <w:tmpl w:val="0480EDF2"/>
    <w:lvl w:ilvl="0" w:tplc="8E607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5A07F3E"/>
    <w:multiLevelType w:val="multilevel"/>
    <w:tmpl w:val="BF2A51B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DF23EA9"/>
    <w:multiLevelType w:val="hybridMultilevel"/>
    <w:tmpl w:val="3E245028"/>
    <w:lvl w:ilvl="0" w:tplc="FA96114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0" w15:restartNumberingAfterBreak="0">
    <w:nsid w:val="6F0E461C"/>
    <w:multiLevelType w:val="hybridMultilevel"/>
    <w:tmpl w:val="5C44FF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23F1A17"/>
    <w:multiLevelType w:val="multilevel"/>
    <w:tmpl w:val="B3C4FE92"/>
    <w:lvl w:ilvl="0">
      <w:start w:val="4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78134297"/>
    <w:multiLevelType w:val="hybridMultilevel"/>
    <w:tmpl w:val="6FA2FB3E"/>
    <w:lvl w:ilvl="0" w:tplc="50541C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6263EB"/>
    <w:multiLevelType w:val="multilevel"/>
    <w:tmpl w:val="1A104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7C6C11CE"/>
    <w:multiLevelType w:val="hybridMultilevel"/>
    <w:tmpl w:val="5A6A0AE8"/>
    <w:lvl w:ilvl="0" w:tplc="50541C38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D154FD4"/>
    <w:multiLevelType w:val="hybridMultilevel"/>
    <w:tmpl w:val="58122F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D1C76B0"/>
    <w:multiLevelType w:val="hybridMultilevel"/>
    <w:tmpl w:val="2020EC36"/>
    <w:lvl w:ilvl="0" w:tplc="3CAAD3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FE00E7A"/>
    <w:multiLevelType w:val="hybridMultilevel"/>
    <w:tmpl w:val="1CC4EA12"/>
    <w:lvl w:ilvl="0" w:tplc="0816AE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3"/>
  </w:num>
  <w:num w:numId="5">
    <w:abstractNumId w:val="32"/>
  </w:num>
  <w:num w:numId="6">
    <w:abstractNumId w:val="10"/>
  </w:num>
  <w:num w:numId="7">
    <w:abstractNumId w:val="34"/>
  </w:num>
  <w:num w:numId="8">
    <w:abstractNumId w:val="29"/>
  </w:num>
  <w:num w:numId="9">
    <w:abstractNumId w:val="33"/>
  </w:num>
  <w:num w:numId="10">
    <w:abstractNumId w:val="6"/>
  </w:num>
  <w:num w:numId="11">
    <w:abstractNumId w:val="19"/>
  </w:num>
  <w:num w:numId="12">
    <w:abstractNumId w:val="31"/>
  </w:num>
  <w:num w:numId="13">
    <w:abstractNumId w:val="14"/>
  </w:num>
  <w:num w:numId="14">
    <w:abstractNumId w:val="30"/>
  </w:num>
  <w:num w:numId="1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2"/>
  </w:num>
  <w:num w:numId="18">
    <w:abstractNumId w:val="35"/>
  </w:num>
  <w:num w:numId="19">
    <w:abstractNumId w:val="20"/>
  </w:num>
  <w:num w:numId="20">
    <w:abstractNumId w:val="25"/>
  </w:num>
  <w:num w:numId="21">
    <w:abstractNumId w:val="21"/>
  </w:num>
  <w:num w:numId="22">
    <w:abstractNumId w:val="8"/>
  </w:num>
  <w:num w:numId="23">
    <w:abstractNumId w:val="0"/>
  </w:num>
  <w:num w:numId="24">
    <w:abstractNumId w:val="26"/>
  </w:num>
  <w:num w:numId="25">
    <w:abstractNumId w:val="4"/>
  </w:num>
  <w:num w:numId="26">
    <w:abstractNumId w:val="27"/>
  </w:num>
  <w:num w:numId="27">
    <w:abstractNumId w:val="11"/>
  </w:num>
  <w:num w:numId="28">
    <w:abstractNumId w:val="13"/>
  </w:num>
  <w:num w:numId="29">
    <w:abstractNumId w:val="36"/>
  </w:num>
  <w:num w:numId="30">
    <w:abstractNumId w:val="37"/>
  </w:num>
  <w:num w:numId="31">
    <w:abstractNumId w:val="5"/>
  </w:num>
  <w:num w:numId="32">
    <w:abstractNumId w:val="24"/>
  </w:num>
  <w:num w:numId="33">
    <w:abstractNumId w:val="17"/>
  </w:num>
  <w:num w:numId="34">
    <w:abstractNumId w:val="23"/>
  </w:num>
  <w:num w:numId="35">
    <w:abstractNumId w:val="15"/>
  </w:num>
  <w:num w:numId="36">
    <w:abstractNumId w:val="1"/>
  </w:num>
  <w:num w:numId="37">
    <w:abstractNumId w:val="12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74"/>
    <w:rsid w:val="00001D38"/>
    <w:rsid w:val="000153CE"/>
    <w:rsid w:val="00017D45"/>
    <w:rsid w:val="00024DFA"/>
    <w:rsid w:val="00052DD7"/>
    <w:rsid w:val="000620AC"/>
    <w:rsid w:val="00081581"/>
    <w:rsid w:val="00090506"/>
    <w:rsid w:val="000B01EC"/>
    <w:rsid w:val="000C2C9F"/>
    <w:rsid w:val="000C3F62"/>
    <w:rsid w:val="000E5AC2"/>
    <w:rsid w:val="001432D9"/>
    <w:rsid w:val="00182B40"/>
    <w:rsid w:val="00196BC8"/>
    <w:rsid w:val="001B2B1F"/>
    <w:rsid w:val="001F2C01"/>
    <w:rsid w:val="002202C2"/>
    <w:rsid w:val="00237C4A"/>
    <w:rsid w:val="002457A4"/>
    <w:rsid w:val="00254230"/>
    <w:rsid w:val="00263CF4"/>
    <w:rsid w:val="002A0CF0"/>
    <w:rsid w:val="002A2036"/>
    <w:rsid w:val="002A6FB7"/>
    <w:rsid w:val="002B0DFD"/>
    <w:rsid w:val="002E2C6D"/>
    <w:rsid w:val="002F321D"/>
    <w:rsid w:val="00314DB4"/>
    <w:rsid w:val="00316037"/>
    <w:rsid w:val="00317E4A"/>
    <w:rsid w:val="0032687B"/>
    <w:rsid w:val="00342F02"/>
    <w:rsid w:val="00344A67"/>
    <w:rsid w:val="0036356E"/>
    <w:rsid w:val="00374AE1"/>
    <w:rsid w:val="00392A40"/>
    <w:rsid w:val="003B0207"/>
    <w:rsid w:val="003E323B"/>
    <w:rsid w:val="003F6850"/>
    <w:rsid w:val="0043180D"/>
    <w:rsid w:val="00435117"/>
    <w:rsid w:val="004442E3"/>
    <w:rsid w:val="004565E4"/>
    <w:rsid w:val="00463E08"/>
    <w:rsid w:val="004766D6"/>
    <w:rsid w:val="0048084D"/>
    <w:rsid w:val="0048566A"/>
    <w:rsid w:val="004C00AC"/>
    <w:rsid w:val="004D74C0"/>
    <w:rsid w:val="004F3252"/>
    <w:rsid w:val="00526C1A"/>
    <w:rsid w:val="005649DF"/>
    <w:rsid w:val="005D2DB8"/>
    <w:rsid w:val="005F010D"/>
    <w:rsid w:val="00600AD0"/>
    <w:rsid w:val="006210BF"/>
    <w:rsid w:val="00624548"/>
    <w:rsid w:val="00643878"/>
    <w:rsid w:val="00657015"/>
    <w:rsid w:val="006B2E34"/>
    <w:rsid w:val="006E105A"/>
    <w:rsid w:val="006F7AD5"/>
    <w:rsid w:val="007139F5"/>
    <w:rsid w:val="007B5CEC"/>
    <w:rsid w:val="007F33DD"/>
    <w:rsid w:val="008063BC"/>
    <w:rsid w:val="0081308E"/>
    <w:rsid w:val="008239D3"/>
    <w:rsid w:val="008410D4"/>
    <w:rsid w:val="008544F0"/>
    <w:rsid w:val="008873ED"/>
    <w:rsid w:val="008A3D2B"/>
    <w:rsid w:val="00920FE6"/>
    <w:rsid w:val="0093764F"/>
    <w:rsid w:val="00956A80"/>
    <w:rsid w:val="00977D14"/>
    <w:rsid w:val="009811D2"/>
    <w:rsid w:val="009D52A4"/>
    <w:rsid w:val="009E09EC"/>
    <w:rsid w:val="009F2E1D"/>
    <w:rsid w:val="00A1201A"/>
    <w:rsid w:val="00A22872"/>
    <w:rsid w:val="00A3198B"/>
    <w:rsid w:val="00A52E74"/>
    <w:rsid w:val="00A727E2"/>
    <w:rsid w:val="00AE77B6"/>
    <w:rsid w:val="00B15273"/>
    <w:rsid w:val="00B17FE1"/>
    <w:rsid w:val="00B415DB"/>
    <w:rsid w:val="00B60E70"/>
    <w:rsid w:val="00B95357"/>
    <w:rsid w:val="00BC267C"/>
    <w:rsid w:val="00BC5B8C"/>
    <w:rsid w:val="00BE136B"/>
    <w:rsid w:val="00BF4A69"/>
    <w:rsid w:val="00C00B21"/>
    <w:rsid w:val="00C02D19"/>
    <w:rsid w:val="00C104FF"/>
    <w:rsid w:val="00C15905"/>
    <w:rsid w:val="00C176D6"/>
    <w:rsid w:val="00C63B9B"/>
    <w:rsid w:val="00C712A5"/>
    <w:rsid w:val="00C744A9"/>
    <w:rsid w:val="00C93A18"/>
    <w:rsid w:val="00CB4624"/>
    <w:rsid w:val="00CE1693"/>
    <w:rsid w:val="00D10A5D"/>
    <w:rsid w:val="00D27B1B"/>
    <w:rsid w:val="00D4509E"/>
    <w:rsid w:val="00D528A2"/>
    <w:rsid w:val="00D557FB"/>
    <w:rsid w:val="00DB0E4F"/>
    <w:rsid w:val="00DB7888"/>
    <w:rsid w:val="00DC40CA"/>
    <w:rsid w:val="00EC7207"/>
    <w:rsid w:val="00EE559E"/>
    <w:rsid w:val="00EF4524"/>
    <w:rsid w:val="00F0138B"/>
    <w:rsid w:val="00F53B0B"/>
    <w:rsid w:val="00F542C9"/>
    <w:rsid w:val="00F647B9"/>
    <w:rsid w:val="00F67E56"/>
    <w:rsid w:val="00F85089"/>
    <w:rsid w:val="00F933A3"/>
    <w:rsid w:val="00FE6A0E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B5E93F"/>
  <w15:chartTrackingRefBased/>
  <w15:docId w15:val="{DDDA6BE7-1722-427E-A4E2-6E7B4BC8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7E2"/>
    <w:pPr>
      <w:numPr>
        <w:numId w:val="12"/>
      </w:numPr>
      <w:spacing w:beforeLines="50" w:before="180" w:afterLines="50" w:after="180"/>
      <w:jc w:val="left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727E2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647B9"/>
    <w:pPr>
      <w:numPr>
        <w:ilvl w:val="2"/>
      </w:numPr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3764F"/>
  </w:style>
  <w:style w:type="character" w:customStyle="1" w:styleId="a4">
    <w:name w:val="日付 (文字)"/>
    <w:basedOn w:val="a0"/>
    <w:link w:val="a3"/>
    <w:uiPriority w:val="99"/>
    <w:semiHidden/>
    <w:rsid w:val="0093764F"/>
  </w:style>
  <w:style w:type="paragraph" w:styleId="a5">
    <w:name w:val="List Paragraph"/>
    <w:basedOn w:val="a"/>
    <w:uiPriority w:val="34"/>
    <w:qFormat/>
    <w:rsid w:val="0093764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727E2"/>
    <w:rPr>
      <w:b/>
      <w:sz w:val="24"/>
    </w:rPr>
  </w:style>
  <w:style w:type="character" w:styleId="a6">
    <w:name w:val="annotation reference"/>
    <w:basedOn w:val="a0"/>
    <w:uiPriority w:val="99"/>
    <w:semiHidden/>
    <w:unhideWhenUsed/>
    <w:rsid w:val="00CB4624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CB4624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CB4624"/>
  </w:style>
  <w:style w:type="paragraph" w:styleId="a9">
    <w:name w:val="annotation subject"/>
    <w:basedOn w:val="a7"/>
    <w:next w:val="a7"/>
    <w:link w:val="aa"/>
    <w:uiPriority w:val="99"/>
    <w:semiHidden/>
    <w:unhideWhenUsed/>
    <w:rsid w:val="00CB4624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CB462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B4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B4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A727E2"/>
    <w:rPr>
      <w:b/>
      <w:sz w:val="24"/>
    </w:rPr>
  </w:style>
  <w:style w:type="character" w:customStyle="1" w:styleId="30">
    <w:name w:val="見出し 3 (文字)"/>
    <w:basedOn w:val="a0"/>
    <w:link w:val="3"/>
    <w:uiPriority w:val="9"/>
    <w:rsid w:val="00F647B9"/>
    <w:rPr>
      <w:b/>
      <w:sz w:val="22"/>
    </w:rPr>
  </w:style>
  <w:style w:type="character" w:styleId="ad">
    <w:name w:val="Placeholder Text"/>
    <w:basedOn w:val="a0"/>
    <w:uiPriority w:val="99"/>
    <w:semiHidden/>
    <w:rsid w:val="006E105A"/>
    <w:rPr>
      <w:color w:val="808080"/>
    </w:rPr>
  </w:style>
  <w:style w:type="paragraph" w:styleId="ae">
    <w:name w:val="header"/>
    <w:basedOn w:val="a"/>
    <w:link w:val="af"/>
    <w:uiPriority w:val="99"/>
    <w:unhideWhenUsed/>
    <w:rsid w:val="00001D38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001D38"/>
  </w:style>
  <w:style w:type="paragraph" w:styleId="af0">
    <w:name w:val="footer"/>
    <w:basedOn w:val="a"/>
    <w:link w:val="af1"/>
    <w:uiPriority w:val="99"/>
    <w:unhideWhenUsed/>
    <w:rsid w:val="00001D3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001D38"/>
  </w:style>
  <w:style w:type="character" w:styleId="af2">
    <w:name w:val="Hyperlink"/>
    <w:basedOn w:val="a0"/>
    <w:uiPriority w:val="99"/>
    <w:semiHidden/>
    <w:unhideWhenUsed/>
    <w:rsid w:val="00DB0E4F"/>
    <w:rPr>
      <w:color w:val="0000FF"/>
      <w:u w:val="single"/>
    </w:rPr>
  </w:style>
  <w:style w:type="table" w:styleId="af3">
    <w:name w:val="Table Grid"/>
    <w:basedOn w:val="a1"/>
    <w:uiPriority w:val="39"/>
    <w:rsid w:val="00B9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List Table 3"/>
    <w:basedOn w:val="a1"/>
    <w:uiPriority w:val="48"/>
    <w:rsid w:val="00B953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75DA-B465-4E85-92C6-ABB990D9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5283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58</cp:revision>
  <dcterms:created xsi:type="dcterms:W3CDTF">2020-12-22T11:02:00Z</dcterms:created>
  <dcterms:modified xsi:type="dcterms:W3CDTF">2021-03-10T15:32:00Z</dcterms:modified>
</cp:coreProperties>
</file>