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B060" w14:textId="63AB66AD" w:rsidR="00E24A66" w:rsidRPr="00275D33" w:rsidRDefault="00E24A66" w:rsidP="00E24A66">
      <w:pPr>
        <w:jc w:val="center"/>
        <w:rPr>
          <w:sz w:val="28"/>
          <w:szCs w:val="28"/>
          <w:lang w:val="es-ES_tradnl"/>
        </w:rPr>
      </w:pPr>
      <w:r w:rsidRPr="00275D33">
        <w:rPr>
          <w:sz w:val="28"/>
          <w:szCs w:val="28"/>
          <w:lang w:val="es-ES_tradnl"/>
        </w:rPr>
        <w:t>Autómatas finitos</w:t>
      </w:r>
      <w:r w:rsidR="00275D33" w:rsidRPr="00275D33">
        <w:rPr>
          <w:sz w:val="28"/>
          <w:szCs w:val="28"/>
          <w:lang w:val="es-ES_tradnl"/>
        </w:rPr>
        <w:t xml:space="preserve"> no deterministas</w:t>
      </w:r>
    </w:p>
    <w:p w14:paraId="5CB5C33C" w14:textId="23FC8275" w:rsidR="00E24A66" w:rsidRPr="00E24A66" w:rsidRDefault="00E24A66" w:rsidP="00E24A66">
      <w:pPr>
        <w:rPr>
          <w:rFonts w:eastAsiaTheme="minorEastAsia"/>
          <w:lang w:val="es-ES_tradnl"/>
        </w:rPr>
      </w:pPr>
      <w:r w:rsidRPr="00E24A66">
        <w:rPr>
          <w:rFonts w:eastAsiaTheme="minorEastAsia"/>
          <w:noProof/>
          <w:lang w:val="es-ES_tradnl"/>
        </w:rPr>
        <w:drawing>
          <wp:inline distT="0" distB="0" distL="0" distR="0" wp14:anchorId="292597A0" wp14:editId="590099B1">
            <wp:extent cx="3873500" cy="2527300"/>
            <wp:effectExtent l="0" t="0" r="0" b="0"/>
            <wp:docPr id="16699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7656" name=""/>
                    <pic:cNvPicPr/>
                  </pic:nvPicPr>
                  <pic:blipFill rotWithShape="1">
                    <a:blip r:embed="rId4"/>
                    <a:srcRect l="22436" t="23362" r="12393" b="19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B6FF9" w14:textId="35D58E02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 xml:space="preserve">M=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q1,q2,q3</m:t>
                  </m:r>
                </m:e>
              </m:d>
              <m:r>
                <w:rPr>
                  <w:rFonts w:ascii="Cambria Math" w:hAnsi="Cambria Math"/>
                  <w:lang w:val="es-ES_tradnl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  <w:lang w:val="es-ES_tradnl"/>
                </w:rPr>
                <m:t>Σ</m:t>
              </m:r>
              <m:r>
                <w:rPr>
                  <w:rFonts w:ascii="Cambria Math" w:hAnsi="Cambria Math"/>
                  <w:lang w:val="es-ES_tradnl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0,1</m:t>
                  </m:r>
                </m:e>
              </m:d>
              <m:r>
                <w:rPr>
                  <w:rFonts w:ascii="Cambria Math" w:hAnsi="Cambria Math"/>
                  <w:lang w:val="es-ES_tradnl"/>
                </w:rPr>
                <m:t>, δ,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_tradnl"/>
                </w:rPr>
                <m:t>=q1,F=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q1,q3</m:t>
                  </m:r>
                </m:e>
              </m:d>
            </m:e>
          </m:d>
        </m:oMath>
      </m:oMathPara>
    </w:p>
    <w:p w14:paraId="03DE6270" w14:textId="48310FFD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q1,0</m:t>
              </m:r>
            </m:e>
          </m:d>
          <m:r>
            <w:rPr>
              <w:rFonts w:ascii="Cambria Math" w:hAnsi="Cambria Math"/>
              <w:lang w:val="es-ES_tradnl"/>
            </w:rPr>
            <m:t>=q1,q2</m:t>
          </m:r>
        </m:oMath>
      </m:oMathPara>
    </w:p>
    <w:p w14:paraId="6F754D64" w14:textId="082B07F0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q2,0</m:t>
              </m:r>
            </m:e>
          </m:d>
          <m:r>
            <w:rPr>
              <w:rFonts w:ascii="Cambria Math" w:hAnsi="Cambria Math"/>
              <w:lang w:val="es-ES_tradnl"/>
            </w:rPr>
            <m:t>=q2, q1</m:t>
          </m:r>
        </m:oMath>
      </m:oMathPara>
    </w:p>
    <w:p w14:paraId="0D386F0C" w14:textId="79C4311D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q2,1</m:t>
              </m:r>
            </m:e>
          </m:d>
          <m:r>
            <w:rPr>
              <w:rFonts w:ascii="Cambria Math" w:hAnsi="Cambria Math"/>
              <w:lang w:val="es-ES_tradnl"/>
            </w:rPr>
            <m:t>=q3</m:t>
          </m:r>
        </m:oMath>
      </m:oMathPara>
    </w:p>
    <w:p w14:paraId="769D27C2" w14:textId="2D4CF4FC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q3,0</m:t>
              </m:r>
            </m:e>
          </m:d>
          <m:r>
            <w:rPr>
              <w:rFonts w:ascii="Cambria Math" w:hAnsi="Cambria Math"/>
              <w:lang w:val="es-ES_tradnl"/>
            </w:rPr>
            <m:t>=q2</m:t>
          </m:r>
        </m:oMath>
      </m:oMathPara>
    </w:p>
    <w:p w14:paraId="037BDEBB" w14:textId="62D8E4FC" w:rsidR="00E24A66" w:rsidRPr="00E24A66" w:rsidRDefault="00E24A6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q3,1</m:t>
              </m:r>
            </m:e>
          </m:d>
          <m:r>
            <w:rPr>
              <w:rFonts w:ascii="Cambria Math" w:hAnsi="Cambria Math"/>
              <w:lang w:val="es-ES_tradnl"/>
            </w:rPr>
            <m:t>=q3</m:t>
          </m:r>
        </m:oMath>
      </m:oMathPara>
    </w:p>
    <w:p w14:paraId="47041A90" w14:textId="77777777" w:rsidR="00E24A66" w:rsidRDefault="00E24A66" w:rsidP="00E24A66">
      <w:pPr>
        <w:rPr>
          <w:rFonts w:eastAsiaTheme="minorEastAsia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</w:tblGrid>
      <w:tr w:rsidR="00E24A66" w14:paraId="1B13B59E" w14:textId="77777777" w:rsidTr="00275D33">
        <w:tc>
          <w:tcPr>
            <w:tcW w:w="1413" w:type="dxa"/>
          </w:tcPr>
          <w:p w14:paraId="21B17C5C" w14:textId="77777777" w:rsidR="00E24A66" w:rsidRDefault="00E24A66" w:rsidP="00E24A66">
            <w:pPr>
              <w:rPr>
                <w:rFonts w:eastAsiaTheme="minorEastAsia"/>
                <w:lang w:val="es-ES_tradnl"/>
              </w:rPr>
            </w:pPr>
          </w:p>
        </w:tc>
        <w:tc>
          <w:tcPr>
            <w:tcW w:w="1559" w:type="dxa"/>
          </w:tcPr>
          <w:p w14:paraId="30FCA6F2" w14:textId="190CE7A9" w:rsidR="00E24A66" w:rsidRDefault="00E24A66" w:rsidP="00E24A66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0</w:t>
            </w:r>
          </w:p>
        </w:tc>
        <w:tc>
          <w:tcPr>
            <w:tcW w:w="1701" w:type="dxa"/>
          </w:tcPr>
          <w:p w14:paraId="679D5D5D" w14:textId="1F20061A" w:rsidR="00E24A66" w:rsidRDefault="00E24A66" w:rsidP="00E24A66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1</w:t>
            </w:r>
          </w:p>
        </w:tc>
      </w:tr>
      <w:tr w:rsidR="00E24A66" w14:paraId="56B644A5" w14:textId="77777777" w:rsidTr="00275D33">
        <w:tc>
          <w:tcPr>
            <w:tcW w:w="1413" w:type="dxa"/>
          </w:tcPr>
          <w:p w14:paraId="1DA50026" w14:textId="77777777" w:rsidR="00275D33" w:rsidRDefault="00275D33" w:rsidP="00E24A66">
            <w:pPr>
              <w:rPr>
                <w:rFonts w:eastAsiaTheme="minorEastAsia"/>
                <w:lang w:val="es-ES_tradnl"/>
              </w:rPr>
            </w:pPr>
            <m:oMath>
              <m:r>
                <w:rPr>
                  <w:rFonts w:ascii="Cambria Math" w:eastAsiaTheme="minorEastAsia" w:hAnsi="Cambria Math"/>
                  <w:lang w:val="es-ES_tradnl"/>
                </w:rPr>
                <m:t>←</m:t>
              </m:r>
            </m:oMath>
            <w:r>
              <w:rPr>
                <w:rFonts w:eastAsiaTheme="minorEastAsia"/>
                <w:lang w:val="es-ES_tradnl"/>
              </w:rPr>
              <w:t xml:space="preserve"> </w:t>
            </w:r>
            <w:r w:rsidR="00E24A66">
              <w:rPr>
                <w:rFonts w:eastAsiaTheme="minorEastAsia"/>
                <w:lang w:val="es-ES_tradnl"/>
              </w:rPr>
              <w:t>Q1</w:t>
            </w:r>
          </w:p>
          <w:p w14:paraId="5E2B3966" w14:textId="152DA320" w:rsidR="00275D33" w:rsidRPr="00275D33" w:rsidRDefault="00275D33" w:rsidP="00E24A66">
            <w:pPr>
              <w:rPr>
                <w:rFonts w:eastAsiaTheme="minorEastAsia"/>
                <w:lang w:val="es-ES_tradnl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/>
                  </w:rPr>
                  <m:t xml:space="preserve">→                  </m:t>
                </m:r>
              </m:oMath>
            </m:oMathPara>
          </w:p>
        </w:tc>
        <w:tc>
          <w:tcPr>
            <w:tcW w:w="1559" w:type="dxa"/>
          </w:tcPr>
          <w:p w14:paraId="3B45F770" w14:textId="12D7B0DC" w:rsidR="00E24A66" w:rsidRDefault="00275D33" w:rsidP="00E24A66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q2}</w:t>
            </w:r>
          </w:p>
        </w:tc>
        <w:tc>
          <w:tcPr>
            <w:tcW w:w="1701" w:type="dxa"/>
          </w:tcPr>
          <w:p w14:paraId="0632676C" w14:textId="6E5BA117" w:rsidR="00E24A66" w:rsidRDefault="00275D33" w:rsidP="00E24A66">
            <w:pPr>
              <w:rPr>
                <w:rFonts w:eastAsiaTheme="minorEastAsia"/>
                <w:lang w:val="es-ES_tradnl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/>
                  </w:rPr>
                  <m:t>λ</m:t>
                </m:r>
              </m:oMath>
            </m:oMathPara>
          </w:p>
        </w:tc>
      </w:tr>
      <w:tr w:rsidR="00275D33" w14:paraId="44282EB6" w14:textId="77777777" w:rsidTr="00275D33">
        <w:tc>
          <w:tcPr>
            <w:tcW w:w="1413" w:type="dxa"/>
          </w:tcPr>
          <w:p w14:paraId="29744070" w14:textId="1AC8C4F2" w:rsidR="00275D33" w:rsidRDefault="00275D33" w:rsidP="00275D33">
            <w:pPr>
              <w:rPr>
                <w:rFonts w:eastAsiaTheme="minorEastAsia"/>
                <w:lang w:val="es-ES_tradnl"/>
              </w:rPr>
            </w:pPr>
            <m:oMath>
              <m:r>
                <w:rPr>
                  <w:rFonts w:ascii="Cambria Math" w:eastAsiaTheme="minorEastAsia" w:hAnsi="Cambria Math"/>
                  <w:lang w:val="es-ES_tradnl"/>
                </w:rPr>
                <m:t>←</m:t>
              </m:r>
            </m:oMath>
            <w:r>
              <w:rPr>
                <w:rFonts w:eastAsiaTheme="minorEastAsia"/>
                <w:lang w:val="es-ES_tradnl"/>
              </w:rPr>
              <w:t xml:space="preserve"> {q1, q2}</w:t>
            </w:r>
          </w:p>
        </w:tc>
        <w:tc>
          <w:tcPr>
            <w:tcW w:w="1559" w:type="dxa"/>
          </w:tcPr>
          <w:p w14:paraId="6BD8E200" w14:textId="77A89E2B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q2}</w:t>
            </w:r>
          </w:p>
        </w:tc>
        <w:tc>
          <w:tcPr>
            <w:tcW w:w="1701" w:type="dxa"/>
          </w:tcPr>
          <w:p w14:paraId="7A63079E" w14:textId="4244B28B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Q3</w:t>
            </w:r>
          </w:p>
        </w:tc>
      </w:tr>
      <w:tr w:rsidR="00275D33" w14:paraId="5C8DBDFE" w14:textId="77777777" w:rsidTr="00275D33">
        <w:tc>
          <w:tcPr>
            <w:tcW w:w="1413" w:type="dxa"/>
          </w:tcPr>
          <w:p w14:paraId="5494CEC3" w14:textId="22AB9C11" w:rsidR="00275D33" w:rsidRDefault="00275D33" w:rsidP="00275D33">
            <w:pPr>
              <w:rPr>
                <w:rFonts w:eastAsiaTheme="minorEastAsia"/>
                <w:lang w:val="es-ES_tradnl"/>
              </w:rPr>
            </w:pPr>
            <m:oMath>
              <m:r>
                <w:rPr>
                  <w:rFonts w:ascii="Cambria Math" w:eastAsiaTheme="minorEastAsia" w:hAnsi="Cambria Math"/>
                  <w:lang w:val="es-ES_tradnl"/>
                </w:rPr>
                <m:t xml:space="preserve">← </m:t>
              </m:r>
            </m:oMath>
            <w:r>
              <w:rPr>
                <w:rFonts w:eastAsiaTheme="minorEastAsia"/>
                <w:lang w:val="es-ES_tradnl"/>
              </w:rPr>
              <w:t>Q3</w:t>
            </w:r>
          </w:p>
        </w:tc>
        <w:tc>
          <w:tcPr>
            <w:tcW w:w="1559" w:type="dxa"/>
          </w:tcPr>
          <w:p w14:paraId="6BCCF617" w14:textId="1CAF78BB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Q2</w:t>
            </w:r>
          </w:p>
        </w:tc>
        <w:tc>
          <w:tcPr>
            <w:tcW w:w="1701" w:type="dxa"/>
          </w:tcPr>
          <w:p w14:paraId="3109B5BC" w14:textId="6AEE7227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Q3</w:t>
            </w:r>
          </w:p>
        </w:tc>
      </w:tr>
      <w:tr w:rsidR="00275D33" w14:paraId="1BDE3722" w14:textId="77777777" w:rsidTr="00275D33">
        <w:tc>
          <w:tcPr>
            <w:tcW w:w="1413" w:type="dxa"/>
          </w:tcPr>
          <w:p w14:paraId="53DD402C" w14:textId="6087BF66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Q2</w:t>
            </w:r>
          </w:p>
        </w:tc>
        <w:tc>
          <w:tcPr>
            <w:tcW w:w="1559" w:type="dxa"/>
          </w:tcPr>
          <w:p w14:paraId="69F3C5FA" w14:textId="23382BFE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q2}</w:t>
            </w:r>
          </w:p>
        </w:tc>
        <w:tc>
          <w:tcPr>
            <w:tcW w:w="1701" w:type="dxa"/>
          </w:tcPr>
          <w:p w14:paraId="47FEFA89" w14:textId="3E9F0A08" w:rsidR="00275D33" w:rsidRDefault="00275D33" w:rsidP="00275D33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Q3</w:t>
            </w:r>
          </w:p>
        </w:tc>
      </w:tr>
    </w:tbl>
    <w:p w14:paraId="4D68B115" w14:textId="77777777" w:rsidR="00E24A66" w:rsidRDefault="00E24A66" w:rsidP="00E24A66">
      <w:pPr>
        <w:rPr>
          <w:rFonts w:eastAsiaTheme="minorEastAsia"/>
          <w:lang w:val="es-ES_tradnl"/>
        </w:rPr>
      </w:pPr>
    </w:p>
    <w:p w14:paraId="549B498D" w14:textId="11A34EA1" w:rsidR="00275D33" w:rsidRDefault="00275D33" w:rsidP="00E24A66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Todo autómata finito no determinista puede convertirse en un finito determinista.</w:t>
      </w:r>
    </w:p>
    <w:p w14:paraId="615D1FCA" w14:textId="77777777" w:rsidR="00B67B0E" w:rsidRDefault="00B67B0E" w:rsidP="00E24A66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Cualquier cadena es válida siempre y cuando su penúltimo carácter no sea 1.</w:t>
      </w:r>
    </w:p>
    <w:p w14:paraId="3650D43D" w14:textId="77777777" w:rsidR="00B67B0E" w:rsidRDefault="00B67B0E" w:rsidP="00E24A66">
      <w:pPr>
        <w:rPr>
          <w:rFonts w:eastAsiaTheme="minorEastAsia"/>
          <w:lang w:val="es-ES_tradnl"/>
        </w:rPr>
      </w:pPr>
    </w:p>
    <w:p w14:paraId="36330004" w14:textId="77777777" w:rsidR="00B67B0E" w:rsidRDefault="00B67B0E" w:rsidP="00E24A66">
      <w:pPr>
        <w:rPr>
          <w:rFonts w:eastAsiaTheme="minorEastAsia"/>
          <w:b/>
          <w:bCs/>
          <w:lang w:val="es-ES_tradnl"/>
        </w:rPr>
      </w:pPr>
    </w:p>
    <w:p w14:paraId="23EC8C5A" w14:textId="77777777" w:rsidR="00B67B0E" w:rsidRDefault="00B67B0E" w:rsidP="00E24A66">
      <w:pPr>
        <w:rPr>
          <w:rFonts w:eastAsiaTheme="minorEastAsia"/>
          <w:b/>
          <w:bCs/>
          <w:lang w:val="es-ES_tradnl"/>
        </w:rPr>
      </w:pPr>
    </w:p>
    <w:p w14:paraId="09768016" w14:textId="5D9478D6" w:rsidR="00B67B0E" w:rsidRDefault="00B67B0E" w:rsidP="00E24A66">
      <w:pPr>
        <w:rPr>
          <w:rFonts w:eastAsiaTheme="minorEastAsia"/>
          <w:b/>
          <w:bCs/>
          <w:lang w:val="es-ES_tradnl"/>
        </w:rPr>
      </w:pPr>
      <w:r w:rsidRPr="00B67B0E">
        <w:rPr>
          <w:rFonts w:eastAsiaTheme="minorEastAsia"/>
          <w:b/>
          <w:bCs/>
          <w:lang w:val="es-ES_tradnl"/>
        </w:rPr>
        <w:lastRenderedPageBreak/>
        <w:t>Actividad</w:t>
      </w:r>
    </w:p>
    <w:p w14:paraId="5FE4A174" w14:textId="2940693E" w:rsidR="00E24A66" w:rsidRDefault="00112676" w:rsidP="00E24A66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Haz lo anterior con el siguiente grafo:</w:t>
      </w:r>
    </w:p>
    <w:p w14:paraId="76976667" w14:textId="5673D4F4" w:rsidR="00112676" w:rsidRDefault="00112676" w:rsidP="00E24A66">
      <w:pPr>
        <w:rPr>
          <w:rFonts w:eastAsiaTheme="minorEastAsia"/>
          <w:lang w:val="es-ES_tradnl"/>
        </w:rPr>
      </w:pPr>
      <w:r w:rsidRPr="00112676">
        <w:rPr>
          <w:rFonts w:eastAsiaTheme="minorEastAsia"/>
          <w:noProof/>
          <w:lang w:val="es-ES_tradnl"/>
        </w:rPr>
        <w:drawing>
          <wp:inline distT="0" distB="0" distL="0" distR="0" wp14:anchorId="34BD89E8" wp14:editId="22AB38A3">
            <wp:extent cx="5943600" cy="1877695"/>
            <wp:effectExtent l="0" t="0" r="0" b="1905"/>
            <wp:docPr id="20916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1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6C5A" w14:textId="2C119B9E" w:rsidR="00112676" w:rsidRPr="00DF5C35" w:rsidRDefault="00112676" w:rsidP="00E24A66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 xml:space="preserve">M=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q0,q1,q2</m:t>
                  </m:r>
                </m:e>
              </m:d>
              <m:r>
                <w:rPr>
                  <w:rFonts w:ascii="Cambria Math" w:hAnsi="Cambria Math"/>
                  <w:lang w:val="es-ES_tradnl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/>
                  <w:lang w:val="es-ES_tradnl"/>
                </w:rPr>
                <m:t>Σ</m:t>
              </m:r>
              <m:r>
                <w:rPr>
                  <w:rFonts w:ascii="Cambria Math" w:hAnsi="Cambria Math"/>
                  <w:lang w:val="es-ES_tradnl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0,1</m:t>
                  </m:r>
                </m:e>
              </m:d>
              <m:r>
                <w:rPr>
                  <w:rFonts w:ascii="Cambria Math" w:hAnsi="Cambria Math"/>
                  <w:lang w:val="es-ES_tradnl"/>
                </w:rPr>
                <m:t>, δ,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_tradnl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_tradnl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_tradnl"/>
                </w:rPr>
                <m:t>=q0,F=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_tradnl"/>
                    </w:rPr>
                    <m:t>q2</m:t>
                  </m:r>
                </m:e>
              </m:d>
            </m:e>
          </m:d>
        </m:oMath>
      </m:oMathPara>
    </w:p>
    <w:p w14:paraId="008B07BF" w14:textId="0FB7B47E" w:rsidR="00DF5C35" w:rsidRPr="00E24A66" w:rsidRDefault="00DF5C35" w:rsidP="00DF5C35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q0,0</m:t>
              </m:r>
            </m:e>
          </m:d>
          <m:r>
            <w:rPr>
              <w:rFonts w:ascii="Cambria Math" w:hAnsi="Cambria Math"/>
              <w:lang w:val="es-ES_tradnl"/>
            </w:rPr>
            <m:t>=q1,q0</m:t>
          </m:r>
        </m:oMath>
      </m:oMathPara>
    </w:p>
    <w:p w14:paraId="70B4E55A" w14:textId="2C68074E" w:rsidR="00DF5C35" w:rsidRPr="00E24A66" w:rsidRDefault="00DF5C35" w:rsidP="00DF5C35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q0,1</m:t>
              </m:r>
            </m:e>
          </m:d>
          <m:r>
            <w:rPr>
              <w:rFonts w:ascii="Cambria Math" w:hAnsi="Cambria Math"/>
              <w:lang w:val="es-ES_tradnl"/>
            </w:rPr>
            <m:t>=q0</m:t>
          </m:r>
        </m:oMath>
      </m:oMathPara>
    </w:p>
    <w:p w14:paraId="66CFAC06" w14:textId="69994C9C" w:rsidR="00DF5C35" w:rsidRPr="00E24A66" w:rsidRDefault="00DF5C35" w:rsidP="00DF5C35">
      <w:pPr>
        <w:rPr>
          <w:rFonts w:eastAsiaTheme="minorEastAsia"/>
          <w:lang w:val="es-ES_tradn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_tradnl"/>
            </w:rPr>
            <m:t>δ</m:t>
          </m:r>
          <m:d>
            <m:dPr>
              <m:ctrlPr>
                <w:rPr>
                  <w:rFonts w:ascii="Cambria Math" w:hAnsi="Cambria Math"/>
                  <w:i/>
                  <w:lang w:val="es-ES_tradnl"/>
                </w:rPr>
              </m:ctrlPr>
            </m:dPr>
            <m:e>
              <m:r>
                <w:rPr>
                  <w:rFonts w:ascii="Cambria Math" w:hAnsi="Cambria Math"/>
                  <w:lang w:val="es-ES_tradnl"/>
                </w:rPr>
                <m:t>q1,1</m:t>
              </m:r>
            </m:e>
          </m:d>
          <m:r>
            <w:rPr>
              <w:rFonts w:ascii="Cambria Math" w:hAnsi="Cambria Math"/>
              <w:lang w:val="es-ES_tradnl"/>
            </w:rPr>
            <m:t>=q1</m:t>
          </m:r>
        </m:oMath>
      </m:oMathPara>
    </w:p>
    <w:p w14:paraId="565B1D97" w14:textId="77777777" w:rsidR="00DF5C35" w:rsidRPr="00112676" w:rsidRDefault="00DF5C35" w:rsidP="00E24A66">
      <w:pPr>
        <w:rPr>
          <w:rFonts w:eastAsiaTheme="minorEastAsia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</w:tblGrid>
      <w:tr w:rsidR="00112676" w14:paraId="74F1DAAE" w14:textId="77777777" w:rsidTr="00E90E5D">
        <w:tc>
          <w:tcPr>
            <w:tcW w:w="1413" w:type="dxa"/>
          </w:tcPr>
          <w:p w14:paraId="3616E409" w14:textId="77777777" w:rsidR="00112676" w:rsidRDefault="00112676" w:rsidP="00E90E5D">
            <w:pPr>
              <w:rPr>
                <w:rFonts w:eastAsiaTheme="minorEastAsia"/>
                <w:lang w:val="es-ES_tradnl"/>
              </w:rPr>
            </w:pPr>
          </w:p>
        </w:tc>
        <w:tc>
          <w:tcPr>
            <w:tcW w:w="1559" w:type="dxa"/>
          </w:tcPr>
          <w:p w14:paraId="2736FFB1" w14:textId="77777777" w:rsidR="00112676" w:rsidRDefault="00112676" w:rsidP="00E90E5D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0</w:t>
            </w:r>
          </w:p>
        </w:tc>
        <w:tc>
          <w:tcPr>
            <w:tcW w:w="1701" w:type="dxa"/>
          </w:tcPr>
          <w:p w14:paraId="03FBFBA7" w14:textId="77777777" w:rsidR="00112676" w:rsidRDefault="00112676" w:rsidP="00E90E5D">
            <w:pPr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1</w:t>
            </w:r>
          </w:p>
        </w:tc>
      </w:tr>
      <w:tr w:rsidR="00112676" w14:paraId="0128416A" w14:textId="77777777" w:rsidTr="00E90E5D">
        <w:tc>
          <w:tcPr>
            <w:tcW w:w="1413" w:type="dxa"/>
          </w:tcPr>
          <w:p w14:paraId="7D5F3B12" w14:textId="4645AD33" w:rsidR="00112676" w:rsidRDefault="00112676" w:rsidP="000B4D7D">
            <w:pPr>
              <w:jc w:val="center"/>
              <w:rPr>
                <w:rFonts w:eastAsiaTheme="minorEastAsia"/>
                <w:lang w:val="es-ES_tradnl"/>
              </w:rPr>
            </w:pPr>
            <m:oMath>
              <m:r>
                <w:rPr>
                  <w:rFonts w:ascii="Cambria Math" w:eastAsiaTheme="minorEastAsia" w:hAnsi="Cambria Math"/>
                  <w:lang w:val="es-ES_tradnl"/>
                </w:rPr>
                <m:t xml:space="preserve">→ </m:t>
              </m:r>
            </m:oMath>
            <w:r>
              <w:rPr>
                <w:rFonts w:eastAsiaTheme="minorEastAsia"/>
                <w:lang w:val="es-ES_tradnl"/>
              </w:rPr>
              <w:t>Q0</w:t>
            </w:r>
          </w:p>
          <w:p w14:paraId="496A171A" w14:textId="6BFE7116" w:rsidR="00112676" w:rsidRPr="00275D33" w:rsidRDefault="00112676" w:rsidP="000B4D7D">
            <w:pPr>
              <w:jc w:val="center"/>
              <w:rPr>
                <w:rFonts w:eastAsiaTheme="minorEastAsia"/>
                <w:lang w:val="es-ES_tradnl"/>
              </w:rPr>
            </w:pPr>
          </w:p>
        </w:tc>
        <w:tc>
          <w:tcPr>
            <w:tcW w:w="1559" w:type="dxa"/>
          </w:tcPr>
          <w:p w14:paraId="06051A23" w14:textId="2C020A95" w:rsidR="00112676" w:rsidRDefault="00112676" w:rsidP="000B4D7D">
            <w:pPr>
              <w:jc w:val="center"/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q0}</w:t>
            </w:r>
          </w:p>
        </w:tc>
        <w:tc>
          <w:tcPr>
            <w:tcW w:w="1701" w:type="dxa"/>
          </w:tcPr>
          <w:p w14:paraId="0CC87474" w14:textId="789DEE73" w:rsidR="00112676" w:rsidRDefault="00112676" w:rsidP="000B4D7D">
            <w:pPr>
              <w:jc w:val="center"/>
              <w:rPr>
                <w:rFonts w:eastAsiaTheme="minorEastAsia"/>
                <w:lang w:val="es-ES_tradnl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/>
                  </w:rPr>
                  <m:t>q0</m:t>
                </m:r>
              </m:oMath>
            </m:oMathPara>
          </w:p>
        </w:tc>
      </w:tr>
      <w:tr w:rsidR="000B4D7D" w14:paraId="472A9118" w14:textId="77777777" w:rsidTr="00E90E5D">
        <w:tc>
          <w:tcPr>
            <w:tcW w:w="1413" w:type="dxa"/>
          </w:tcPr>
          <w:p w14:paraId="006226A0" w14:textId="11E7E218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q0}</w:t>
            </w:r>
          </w:p>
        </w:tc>
        <w:tc>
          <w:tcPr>
            <w:tcW w:w="1559" w:type="dxa"/>
          </w:tcPr>
          <w:p w14:paraId="5070748F" w14:textId="0FE30EE2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q0}</w:t>
            </w:r>
          </w:p>
        </w:tc>
        <w:tc>
          <w:tcPr>
            <w:tcW w:w="1701" w:type="dxa"/>
          </w:tcPr>
          <w:p w14:paraId="05346C47" w14:textId="08A4CA37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{q0, q2}</w:t>
            </w:r>
          </w:p>
        </w:tc>
      </w:tr>
      <w:tr w:rsidR="000B4D7D" w14:paraId="678A92AE" w14:textId="77777777" w:rsidTr="00E90E5D">
        <w:tc>
          <w:tcPr>
            <w:tcW w:w="1413" w:type="dxa"/>
          </w:tcPr>
          <w:p w14:paraId="6E3D6398" w14:textId="4064587C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m:oMath>
              <m:r>
                <w:rPr>
                  <w:rFonts w:ascii="Cambria Math" w:eastAsiaTheme="minorEastAsia" w:hAnsi="Cambria Math"/>
                  <w:lang w:val="es-ES_tradnl"/>
                </w:rPr>
                <m:t>←</m:t>
              </m:r>
            </m:oMath>
            <w:r>
              <w:rPr>
                <w:rFonts w:eastAsiaTheme="minorEastAsia"/>
                <w:lang w:val="es-ES_tradnl"/>
              </w:rPr>
              <w:t xml:space="preserve"> {q</w:t>
            </w:r>
            <w:proofErr w:type="gramStart"/>
            <w:r>
              <w:rPr>
                <w:rFonts w:eastAsiaTheme="minorEastAsia"/>
                <w:lang w:val="es-ES_tradnl"/>
              </w:rPr>
              <w:t>0,q</w:t>
            </w:r>
            <w:proofErr w:type="gramEnd"/>
            <w:r>
              <w:rPr>
                <w:rFonts w:eastAsiaTheme="minorEastAsia"/>
                <w:lang w:val="es-ES_tradnl"/>
              </w:rPr>
              <w:t>2}</w:t>
            </w:r>
          </w:p>
        </w:tc>
        <w:tc>
          <w:tcPr>
            <w:tcW w:w="1559" w:type="dxa"/>
          </w:tcPr>
          <w:p w14:paraId="4422B581" w14:textId="4E0DE53E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w:r>
              <w:rPr>
                <w:rFonts w:eastAsiaTheme="minorEastAsia"/>
                <w:lang w:val="es-ES_tradnl"/>
              </w:rPr>
              <w:t>{q1, q0}</w:t>
            </w:r>
          </w:p>
        </w:tc>
        <w:tc>
          <w:tcPr>
            <w:tcW w:w="1701" w:type="dxa"/>
          </w:tcPr>
          <w:p w14:paraId="0299F64D" w14:textId="4D37E143" w:rsidR="000B4D7D" w:rsidRDefault="000B4D7D" w:rsidP="000B4D7D">
            <w:pPr>
              <w:jc w:val="center"/>
              <w:rPr>
                <w:rFonts w:eastAsiaTheme="minorEastAsia"/>
                <w:lang w:val="es-ES_tradnl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_tradnl"/>
                  </w:rPr>
                  <m:t>Q0</m:t>
                </m:r>
              </m:oMath>
            </m:oMathPara>
          </w:p>
        </w:tc>
      </w:tr>
    </w:tbl>
    <w:p w14:paraId="79F02DD2" w14:textId="296140F8" w:rsidR="003950DB" w:rsidRDefault="00071103" w:rsidP="00E24A66">
      <w:pPr>
        <w:rPr>
          <w:rFonts w:eastAsiaTheme="minorEastAsia"/>
          <w:lang w:val="es-ES_tradnl"/>
        </w:rPr>
      </w:pPr>
      <w:r w:rsidRPr="00071103">
        <w:rPr>
          <w:rFonts w:eastAsiaTheme="minorEastAsia"/>
          <w:lang w:val="es-ES_tradnl"/>
        </w:rPr>
        <w:lastRenderedPageBreak/>
        <w:drawing>
          <wp:inline distT="0" distB="0" distL="0" distR="0" wp14:anchorId="130629F0" wp14:editId="40C6AD10">
            <wp:extent cx="5334000" cy="3429000"/>
            <wp:effectExtent l="0" t="0" r="0" b="3810"/>
            <wp:docPr id="18584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2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D9E8" w14:textId="007D5DA5" w:rsidR="00112676" w:rsidRDefault="00112676" w:rsidP="00E24A66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L = {001, 0101,01101,11101,101101}</w:t>
      </w:r>
    </w:p>
    <w:p w14:paraId="50F42280" w14:textId="25949956" w:rsidR="00071103" w:rsidRPr="00B67B0E" w:rsidRDefault="00071103" w:rsidP="00E24A66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Siempre va a terminar en 01</w:t>
      </w:r>
    </w:p>
    <w:sectPr w:rsidR="00071103" w:rsidRPr="00B67B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66"/>
    <w:rsid w:val="00071103"/>
    <w:rsid w:val="000B4D7D"/>
    <w:rsid w:val="00112676"/>
    <w:rsid w:val="00275D33"/>
    <w:rsid w:val="003950DB"/>
    <w:rsid w:val="004949E4"/>
    <w:rsid w:val="00B67B0E"/>
    <w:rsid w:val="00DD5D70"/>
    <w:rsid w:val="00DF5C35"/>
    <w:rsid w:val="00E2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168D3"/>
  <w15:chartTrackingRefBased/>
  <w15:docId w15:val="{8C07F172-CF9D-4648-A996-3D0F832B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4A66"/>
    <w:rPr>
      <w:color w:val="666666"/>
    </w:rPr>
  </w:style>
  <w:style w:type="table" w:styleId="TableGrid">
    <w:name w:val="Table Grid"/>
    <w:basedOn w:val="TableNormal"/>
    <w:uiPriority w:val="39"/>
    <w:rsid w:val="00E2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5</cp:revision>
  <dcterms:created xsi:type="dcterms:W3CDTF">2025-10-13T15:40:00Z</dcterms:created>
  <dcterms:modified xsi:type="dcterms:W3CDTF">2025-10-13T16:48:00Z</dcterms:modified>
</cp:coreProperties>
</file>