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A0C3" w14:textId="49EF9458" w:rsidR="00DB4061" w:rsidRDefault="00DB4061" w:rsidP="00DB4061">
      <w:pPr>
        <w:jc w:val="center"/>
        <w:rPr>
          <w:lang w:val="es-ES_tradnl"/>
        </w:rPr>
      </w:pPr>
      <w:r>
        <w:rPr>
          <w:lang w:val="es-ES_tradnl"/>
        </w:rPr>
        <w:t xml:space="preserve">Evaluación Dennis de </w:t>
      </w:r>
      <w:proofErr w:type="spellStart"/>
      <w:r>
        <w:rPr>
          <w:lang w:val="es-ES_tradnl"/>
        </w:rPr>
        <w:t>Titanic</w:t>
      </w:r>
      <w:proofErr w:type="spellEnd"/>
    </w:p>
    <w:tbl>
      <w:tblPr>
        <w:tblW w:w="0" w:type="dxa"/>
        <w:tblCellMar>
          <w:left w:w="0" w:type="dxa"/>
          <w:right w:w="0" w:type="dxa"/>
        </w:tblCellMar>
        <w:tblLook w:val="04A0" w:firstRow="1" w:lastRow="0" w:firstColumn="1" w:lastColumn="0" w:noHBand="0" w:noVBand="1"/>
      </w:tblPr>
      <w:tblGrid>
        <w:gridCol w:w="1077"/>
        <w:gridCol w:w="1260"/>
        <w:gridCol w:w="1257"/>
        <w:gridCol w:w="1063"/>
        <w:gridCol w:w="1260"/>
        <w:gridCol w:w="1260"/>
        <w:gridCol w:w="1152"/>
        <w:gridCol w:w="1015"/>
      </w:tblGrid>
      <w:tr w:rsidR="00DB4061" w:rsidRPr="00DB4061" w14:paraId="59A4D7F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3B587B"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Criterio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BE641E"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Descripción del Rubro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1388ED"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Ponderación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789E27"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Inicial (1)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80A09"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En Desarrollo (2)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5BE8D"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Competente (3)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EC2BC6" w14:textId="77777777" w:rsidR="00DB4061" w:rsidRPr="00DB4061" w:rsidRDefault="00DB4061" w:rsidP="00DB4061">
            <w:pPr>
              <w:spacing w:after="0" w:line="240" w:lineRule="auto"/>
              <w:jc w:val="center"/>
              <w:rPr>
                <w:rFonts w:ascii="Arial" w:eastAsia="Times New Roman" w:hAnsi="Arial" w:cs="Arial"/>
                <w:b/>
                <w:bCs/>
                <w:kern w:val="0"/>
                <w:sz w:val="26"/>
                <w:szCs w:val="26"/>
                <w14:ligatures w14:val="none"/>
              </w:rPr>
            </w:pPr>
            <w:r w:rsidRPr="00DB4061">
              <w:rPr>
                <w:rFonts w:ascii="Arial" w:eastAsia="Times New Roman" w:hAnsi="Arial" w:cs="Arial"/>
                <w:b/>
                <w:bCs/>
                <w:kern w:val="0"/>
                <w:sz w:val="26"/>
                <w:szCs w:val="26"/>
                <w14:ligatures w14:val="none"/>
              </w:rPr>
              <w:t>Destacado (4)</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1580AD7" w14:textId="77777777" w:rsidR="00DB4061" w:rsidRPr="00DB4061" w:rsidRDefault="00DB4061" w:rsidP="00DB4061">
            <w:pPr>
              <w:spacing w:after="0" w:line="240" w:lineRule="auto"/>
              <w:rPr>
                <w:rFonts w:ascii="Roboto" w:eastAsia="Times New Roman" w:hAnsi="Roboto" w:cs="Arial"/>
                <w:color w:val="FFFFFF"/>
                <w:kern w:val="0"/>
                <w:sz w:val="20"/>
                <w:szCs w:val="20"/>
                <w14:ligatures w14:val="none"/>
              </w:rPr>
            </w:pPr>
            <w:r w:rsidRPr="00DB4061">
              <w:rPr>
                <w:rFonts w:ascii="Roboto" w:eastAsia="Times New Roman" w:hAnsi="Roboto" w:cs="Arial"/>
                <w:color w:val="FFFFFF"/>
                <w:kern w:val="0"/>
                <w:sz w:val="20"/>
                <w:szCs w:val="20"/>
                <w14:ligatures w14:val="none"/>
              </w:rPr>
              <w:t>Calificacion Dennis</w:t>
            </w:r>
          </w:p>
        </w:tc>
      </w:tr>
      <w:tr w:rsidR="00DB4061" w:rsidRPr="00DB4061" w14:paraId="79A9556A" w14:textId="77777777">
        <w:trPr>
          <w:trHeight w:val="126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FEBE62"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Diagrama de Flujo (Lógica de Proceso)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DA7549"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Representación gráfica del algoritmo y el flujo de los datos desde la carga hasta el reporte final.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D280DC"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A63DD5"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5 pts: Ausente o sin lógica coherente entre los procesos de datos.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9ED9EA"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10 pts: Flujo básico que ignora pasos críticos como la limpieza o validación.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1AAF10"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15 pts: Diagrama completo con simbología estándar (ISO/ANSI) que refleja el proceso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BAD679"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 pts: Lógica impecable; incluye manejo de excepciones y ramificaciones de análisis claras.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0C2BBBE"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15%</w:t>
            </w:r>
          </w:p>
        </w:tc>
      </w:tr>
      <w:tr w:rsidR="00DB4061" w:rsidRPr="00DB4061" w14:paraId="595C7A9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3ECB33"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Manipulación y Procesamiento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661EF"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Uso de herramientas (Pandas/SQL) para filtrar, agrupar y calcular estadísticas precisas.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E7D1C8"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67DC32"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5 pts: Cálculos erróneos o imposibilidad de extraer la lista de nombres solicitada.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72B4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10 pts: Realiza cálculos pero no maneja valores nulos en la edad, sesgando los resultados.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C416B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15 pts: Responde todas las preguntas técnicas con precisión estadística y código funcional.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82EBE"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 pts: Código optimizado (vectorizado) con manejo profesional de nulos e imputación de datos.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415F4C9"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15%</w:t>
            </w:r>
          </w:p>
        </w:tc>
      </w:tr>
      <w:tr w:rsidR="00DB4061" w:rsidRPr="00DB4061" w14:paraId="288D86D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D8D0B2"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Análisis DIKW (Pirámide de Valor)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CB1993"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Capacidad de escalar el dato crudo hacia el conocimiento y la aplicación estratégica.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A0FF3C"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C6AAD"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5 pts: Se limita a mostrar datos sueltos sin una estructura de análisis clara.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454C6F"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10 pts: Confunde los conceptos; presenta gráficas como si fueran "conocimiento".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21325"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15 pts: Estructura correctamente los 4 niveles, diferenciando el dato de la interpretación.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F53D98"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20 pts: Transición brillante de la información al conocimiento y a la sabiduría (decisión).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448D12C"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20%</w:t>
            </w:r>
          </w:p>
        </w:tc>
      </w:tr>
      <w:tr w:rsidR="00DB4061" w:rsidRPr="00DB4061" w14:paraId="4EF0BFD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7A9157"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Visualización de Datos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26890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Diseño y claridad de las 4 gráficas solicitadas y su capacidad comunicativa.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63A3E3"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932D47"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4 pts: Gráficas ilegibles, sin etiquetas en los ejes o tipos de gráfico incorrectos.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3CF9B3"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8 pts: Visualizaciones funcionales pero estéticamente descuidadas o con títulos vagos.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441A13"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12 pts: Gráficas limpias con ejes, leyendas y títulos que explican el fenómeno por sí solos.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A920C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15 pts: Uso avanzado de librerías (Seaborn/Plotly) con paletas que facilitan la comparación de clases.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05B058D"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15%</w:t>
            </w:r>
          </w:p>
        </w:tc>
      </w:tr>
      <w:tr w:rsidR="00DB4061" w:rsidRPr="00DB4061" w14:paraId="4E1D9E2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FCD408"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Modelado de Datos (BD)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5EF578"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 xml:space="preserve">Estructuración técnica del dataset original en un esquema </w:t>
            </w:r>
            <w:r w:rsidRPr="00DB4061">
              <w:rPr>
                <w:rFonts w:ascii="Arial" w:eastAsia="Times New Roman" w:hAnsi="Arial" w:cs="Arial"/>
                <w:kern w:val="0"/>
                <w:sz w:val="20"/>
                <w:szCs w:val="20"/>
                <w14:ligatures w14:val="none"/>
              </w:rPr>
              <w:lastRenderedPageBreak/>
              <w:t>de base de datos formal.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FBF022"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lastRenderedPageBreak/>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3825A3"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 xml:space="preserve">4 pts: El diagrama no coincide con la estructura </w:t>
            </w:r>
            <w:r w:rsidRPr="00DB4061">
              <w:rPr>
                <w:rFonts w:ascii="Arial" w:eastAsia="Times New Roman" w:hAnsi="Arial" w:cs="Arial"/>
                <w:kern w:val="0"/>
                <w:sz w:val="20"/>
                <w:szCs w:val="20"/>
                <w14:ligatures w14:val="none"/>
              </w:rPr>
              <w:lastRenderedPageBreak/>
              <w:t>del archivo titanic.csv.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08BD8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lastRenderedPageBreak/>
              <w:t xml:space="preserve">8 pts: Diagrama básico; faltan tipos de datos técnicos (int, </w:t>
            </w:r>
            <w:r w:rsidRPr="00DB4061">
              <w:rPr>
                <w:rFonts w:ascii="Arial" w:eastAsia="Times New Roman" w:hAnsi="Arial" w:cs="Arial"/>
                <w:kern w:val="0"/>
                <w:sz w:val="20"/>
                <w:szCs w:val="20"/>
                <w14:ligatures w14:val="none"/>
              </w:rPr>
              <w:lastRenderedPageBreak/>
              <w:t>float, bool) o llaves.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5B9951"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lastRenderedPageBreak/>
              <w:t xml:space="preserve">12 pts: Modelo Entidad-Relación o esquema relacional </w:t>
            </w:r>
            <w:r w:rsidRPr="00DB4061">
              <w:rPr>
                <w:rFonts w:ascii="Arial" w:eastAsia="Times New Roman" w:hAnsi="Arial" w:cs="Arial"/>
                <w:kern w:val="0"/>
                <w:sz w:val="20"/>
                <w:szCs w:val="20"/>
                <w14:ligatures w14:val="none"/>
              </w:rPr>
              <w:lastRenderedPageBreak/>
              <w:t>correcto y bien documentado.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1597E2"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lastRenderedPageBreak/>
              <w:t xml:space="preserve">15 pts: Diseño profesional que incluye restricciones de </w:t>
            </w:r>
            <w:r w:rsidRPr="00DB4061">
              <w:rPr>
                <w:rFonts w:ascii="Arial" w:eastAsia="Times New Roman" w:hAnsi="Arial" w:cs="Arial"/>
                <w:kern w:val="0"/>
                <w:sz w:val="20"/>
                <w:szCs w:val="20"/>
                <w14:ligatures w14:val="none"/>
              </w:rPr>
              <w:lastRenderedPageBreak/>
              <w:t>integridad (not null) y tipos de datos precisos.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A70A2AC"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lastRenderedPageBreak/>
              <w:t>15%</w:t>
            </w:r>
          </w:p>
        </w:tc>
      </w:tr>
      <w:tr w:rsidR="00DB4061" w:rsidRPr="00DB4061" w14:paraId="5ABA083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489614"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Presentación y Sabiduría (W)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276A6"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Calidad del documento ejecutivo y profundidad de las recomendaciones de seguridad.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7EA209" w14:textId="77777777" w:rsidR="00DB4061" w:rsidRPr="00DB4061" w:rsidRDefault="00DB4061" w:rsidP="00DB4061">
            <w:pPr>
              <w:spacing w:after="0" w:line="240" w:lineRule="auto"/>
              <w:jc w:val="center"/>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1B040A"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2 pts: Documento desorganizado con sugerencias genéricas no basadas en los datos.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6EC7E"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5 pts: Estructura aceptable, pero las recomendaciones son subjetivas y no estadísticas.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B7717"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8 pts: Reporte profesional con recomendaciones lógicas derivadas directamente del análisis.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F4749C" w14:textId="77777777" w:rsidR="00DB4061" w:rsidRPr="00DB4061" w:rsidRDefault="00DB4061" w:rsidP="00DB4061">
            <w:pPr>
              <w:spacing w:after="0" w:line="240" w:lineRule="auto"/>
              <w:rPr>
                <w:rFonts w:ascii="Arial" w:eastAsia="Times New Roman" w:hAnsi="Arial" w:cs="Arial"/>
                <w:kern w:val="0"/>
                <w:sz w:val="20"/>
                <w:szCs w:val="20"/>
                <w14:ligatures w14:val="none"/>
              </w:rPr>
            </w:pPr>
            <w:r w:rsidRPr="00DB4061">
              <w:rPr>
                <w:rFonts w:ascii="Arial" w:eastAsia="Times New Roman" w:hAnsi="Arial" w:cs="Arial"/>
                <w:kern w:val="0"/>
                <w:sz w:val="20"/>
                <w:szCs w:val="20"/>
                <w14:ligatures w14:val="none"/>
              </w:rPr>
              <w:t>10 pts: Informe de nivel consultoría; sabiduría aplicada que propone cambios reales en seguridad marítima.</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A2A7AE9"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10%</w:t>
            </w:r>
          </w:p>
        </w:tc>
      </w:tr>
      <w:tr w:rsidR="00DB4061" w:rsidRPr="00DB4061" w14:paraId="4B872CE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B3D4B" w14:textId="3642FDBC"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Pr>
                <w:rFonts w:ascii="Roboto" w:eastAsia="Times New Roman" w:hAnsi="Roboto" w:cs="Arial"/>
                <w:color w:val="434343"/>
                <w:kern w:val="0"/>
                <w:sz w:val="20"/>
                <w:szCs w:val="20"/>
                <w14:ligatures w14:val="none"/>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B2902"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1057F"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CB5D2"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82D95"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95D02"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284E3F"/>
            </w:tcBorders>
            <w:tcMar>
              <w:top w:w="30" w:type="dxa"/>
              <w:left w:w="45" w:type="dxa"/>
              <w:bottom w:w="30" w:type="dxa"/>
              <w:right w:w="45" w:type="dxa"/>
            </w:tcMar>
            <w:vAlign w:val="bottom"/>
            <w:hideMark/>
          </w:tcPr>
          <w:p w14:paraId="1C81F231"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4034FAD2" w14:textId="77777777" w:rsidR="00DB4061" w:rsidRPr="00DB4061" w:rsidRDefault="00DB4061" w:rsidP="00DB4061">
            <w:pPr>
              <w:spacing w:after="0" w:line="240" w:lineRule="auto"/>
              <w:jc w:val="right"/>
              <w:rPr>
                <w:rFonts w:ascii="Roboto" w:eastAsia="Times New Roman" w:hAnsi="Roboto" w:cs="Arial"/>
                <w:color w:val="434343"/>
                <w:kern w:val="0"/>
                <w:sz w:val="20"/>
                <w:szCs w:val="20"/>
                <w14:ligatures w14:val="none"/>
              </w:rPr>
            </w:pPr>
            <w:r w:rsidRPr="00DB4061">
              <w:rPr>
                <w:rFonts w:ascii="Roboto" w:eastAsia="Times New Roman" w:hAnsi="Roboto" w:cs="Arial"/>
                <w:color w:val="434343"/>
                <w:kern w:val="0"/>
                <w:sz w:val="20"/>
                <w:szCs w:val="20"/>
                <w14:ligatures w14:val="none"/>
              </w:rPr>
              <w:t>90%</w:t>
            </w:r>
          </w:p>
        </w:tc>
      </w:tr>
    </w:tbl>
    <w:p w14:paraId="4523F5AA" w14:textId="77777777" w:rsidR="00DB4061" w:rsidRDefault="00DB4061" w:rsidP="00DB4061">
      <w:pPr>
        <w:rPr>
          <w:lang w:val="es-ES_tradnl"/>
        </w:rPr>
      </w:pPr>
    </w:p>
    <w:p w14:paraId="40C11F9C" w14:textId="3527FCCE" w:rsidR="00DB4061" w:rsidRDefault="00DB4061">
      <w:pPr>
        <w:rPr>
          <w:lang w:val="es-ES_tradnl"/>
        </w:rPr>
      </w:pPr>
      <w:r>
        <w:rPr>
          <w:lang w:val="es-ES_tradnl"/>
        </w:rPr>
        <w:t xml:space="preserve">Dennis mostro Dominio a la hora de manejar los datos, tanto en el pre-procesado y en la extracción de la información relevante, pero le falto optimización en el código para aumentar su eficiencia o evitar redundancia, también falto claridad a la hora de explicar los procesos del manejo de datos. En parte de la presentación ejecutiva todo fue impecable, cumplió con todo lo de la rúbrica y mejoro mis expectativas con los elementos visuales, no solo son fáciles de digerir, si no que estos te guían de una mejor manera a la información que buscas, propuso buenas soluciones según lo analizado y profundizo en </w:t>
      </w:r>
      <w:r w:rsidR="00F525F2">
        <w:rPr>
          <w:lang w:val="es-ES_tradnl"/>
        </w:rPr>
        <w:t>las causas</w:t>
      </w:r>
      <w:r>
        <w:rPr>
          <w:lang w:val="es-ES_tradnl"/>
        </w:rPr>
        <w:t xml:space="preserve"> con referencia al contexto histórico.</w:t>
      </w:r>
    </w:p>
    <w:p w14:paraId="7396A16F" w14:textId="35DBEFB7" w:rsidR="00DB4061" w:rsidRDefault="001C7AE9" w:rsidP="001C7AE9">
      <w:pPr>
        <w:jc w:val="center"/>
        <w:rPr>
          <w:lang w:val="es-ES_tradnl"/>
        </w:rPr>
      </w:pPr>
      <w:r>
        <w:rPr>
          <w:lang w:val="es-ES_tradnl"/>
        </w:rPr>
        <w:t xml:space="preserve">Auto evaluación </w:t>
      </w:r>
      <w:r w:rsidR="00DB4061">
        <w:rPr>
          <w:lang w:val="es-ES_tradnl"/>
        </w:rPr>
        <w:t>Alan Josue Solano Perez</w:t>
      </w:r>
    </w:p>
    <w:tbl>
      <w:tblPr>
        <w:tblW w:w="9350" w:type="dxa"/>
        <w:tblLook w:val="04A0" w:firstRow="1" w:lastRow="0" w:firstColumn="1" w:lastColumn="0" w:noHBand="0" w:noVBand="1"/>
      </w:tblPr>
      <w:tblGrid>
        <w:gridCol w:w="1091"/>
        <w:gridCol w:w="1333"/>
        <w:gridCol w:w="1249"/>
        <w:gridCol w:w="1077"/>
        <w:gridCol w:w="1251"/>
        <w:gridCol w:w="1251"/>
        <w:gridCol w:w="1167"/>
        <w:gridCol w:w="931"/>
      </w:tblGrid>
      <w:tr w:rsidR="00DB4061" w:rsidRPr="00DB4061" w14:paraId="54D19FC8" w14:textId="77777777" w:rsidTr="00DB4061">
        <w:trPr>
          <w:trHeight w:val="340"/>
        </w:trPr>
        <w:tc>
          <w:tcPr>
            <w:tcW w:w="701" w:type="dxa"/>
            <w:tcBorders>
              <w:top w:val="single" w:sz="4" w:space="0" w:color="000000"/>
              <w:left w:val="single" w:sz="4" w:space="0" w:color="000000"/>
              <w:bottom w:val="single" w:sz="4" w:space="0" w:color="000000"/>
              <w:right w:val="single" w:sz="4" w:space="0" w:color="000000"/>
            </w:tcBorders>
            <w:noWrap/>
            <w:vAlign w:val="bottom"/>
            <w:hideMark/>
          </w:tcPr>
          <w:p w14:paraId="00CCE4C6"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Criterio</w:t>
            </w:r>
          </w:p>
        </w:tc>
        <w:tc>
          <w:tcPr>
            <w:tcW w:w="1919" w:type="dxa"/>
            <w:tcBorders>
              <w:top w:val="single" w:sz="4" w:space="0" w:color="000000"/>
              <w:left w:val="nil"/>
              <w:bottom w:val="single" w:sz="4" w:space="0" w:color="000000"/>
              <w:right w:val="single" w:sz="4" w:space="0" w:color="000000"/>
            </w:tcBorders>
            <w:noWrap/>
            <w:vAlign w:val="bottom"/>
            <w:hideMark/>
          </w:tcPr>
          <w:p w14:paraId="4F7142D7"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Descripción del Rubro</w:t>
            </w:r>
          </w:p>
        </w:tc>
        <w:tc>
          <w:tcPr>
            <w:tcW w:w="459" w:type="dxa"/>
            <w:tcBorders>
              <w:top w:val="single" w:sz="4" w:space="0" w:color="000000"/>
              <w:left w:val="nil"/>
              <w:bottom w:val="single" w:sz="4" w:space="0" w:color="000000"/>
              <w:right w:val="single" w:sz="4" w:space="0" w:color="000000"/>
            </w:tcBorders>
            <w:noWrap/>
            <w:vAlign w:val="bottom"/>
            <w:hideMark/>
          </w:tcPr>
          <w:p w14:paraId="471E13D0"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Ponderación</w:t>
            </w:r>
          </w:p>
        </w:tc>
        <w:tc>
          <w:tcPr>
            <w:tcW w:w="1241" w:type="dxa"/>
            <w:tcBorders>
              <w:top w:val="single" w:sz="4" w:space="0" w:color="000000"/>
              <w:left w:val="nil"/>
              <w:bottom w:val="single" w:sz="4" w:space="0" w:color="000000"/>
              <w:right w:val="single" w:sz="4" w:space="0" w:color="000000"/>
            </w:tcBorders>
            <w:noWrap/>
            <w:vAlign w:val="bottom"/>
            <w:hideMark/>
          </w:tcPr>
          <w:p w14:paraId="67EAF278"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Inicial (1)</w:t>
            </w:r>
          </w:p>
        </w:tc>
        <w:tc>
          <w:tcPr>
            <w:tcW w:w="1241" w:type="dxa"/>
            <w:tcBorders>
              <w:top w:val="single" w:sz="4" w:space="0" w:color="000000"/>
              <w:left w:val="nil"/>
              <w:bottom w:val="single" w:sz="4" w:space="0" w:color="000000"/>
              <w:right w:val="single" w:sz="4" w:space="0" w:color="000000"/>
            </w:tcBorders>
            <w:noWrap/>
            <w:vAlign w:val="bottom"/>
            <w:hideMark/>
          </w:tcPr>
          <w:p w14:paraId="3B64D29D"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En Desarrollo (2)</w:t>
            </w:r>
          </w:p>
        </w:tc>
        <w:tc>
          <w:tcPr>
            <w:tcW w:w="1714" w:type="dxa"/>
            <w:tcBorders>
              <w:top w:val="single" w:sz="4" w:space="0" w:color="000000"/>
              <w:left w:val="nil"/>
              <w:bottom w:val="single" w:sz="4" w:space="0" w:color="000000"/>
              <w:right w:val="single" w:sz="4" w:space="0" w:color="000000"/>
            </w:tcBorders>
            <w:noWrap/>
            <w:vAlign w:val="bottom"/>
            <w:hideMark/>
          </w:tcPr>
          <w:p w14:paraId="25F0B5E4"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Competente (3)</w:t>
            </w:r>
          </w:p>
        </w:tc>
        <w:tc>
          <w:tcPr>
            <w:tcW w:w="1667" w:type="dxa"/>
            <w:tcBorders>
              <w:top w:val="single" w:sz="4" w:space="0" w:color="000000"/>
              <w:left w:val="nil"/>
              <w:bottom w:val="single" w:sz="4" w:space="0" w:color="000000"/>
              <w:right w:val="single" w:sz="4" w:space="0" w:color="000000"/>
            </w:tcBorders>
            <w:noWrap/>
            <w:vAlign w:val="bottom"/>
            <w:hideMark/>
          </w:tcPr>
          <w:p w14:paraId="1E7EB20A" w14:textId="77777777" w:rsidR="00DB4061" w:rsidRPr="00DB4061" w:rsidRDefault="00DB4061" w:rsidP="00DB4061">
            <w:pPr>
              <w:spacing w:after="0" w:line="240" w:lineRule="auto"/>
              <w:jc w:val="center"/>
              <w:rPr>
                <w:rFonts w:ascii="Arial" w:eastAsia="Times New Roman" w:hAnsi="Arial" w:cs="Arial"/>
                <w:b/>
                <w:bCs/>
                <w:color w:val="000000"/>
                <w:kern w:val="0"/>
                <w:sz w:val="26"/>
                <w:szCs w:val="26"/>
                <w14:ligatures w14:val="none"/>
              </w:rPr>
            </w:pPr>
            <w:r w:rsidRPr="00DB4061">
              <w:rPr>
                <w:rFonts w:ascii="Arial" w:eastAsia="Times New Roman" w:hAnsi="Arial" w:cs="Arial"/>
                <w:b/>
                <w:bCs/>
                <w:color w:val="000000"/>
                <w:kern w:val="0"/>
                <w:sz w:val="26"/>
                <w:szCs w:val="26"/>
                <w14:ligatures w14:val="none"/>
              </w:rPr>
              <w:t>Destacado (4)</w:t>
            </w:r>
          </w:p>
        </w:tc>
        <w:tc>
          <w:tcPr>
            <w:tcW w:w="408" w:type="dxa"/>
            <w:tcBorders>
              <w:top w:val="single" w:sz="4" w:space="0" w:color="8CB5F9"/>
              <w:left w:val="single" w:sz="4" w:space="0" w:color="8CB5F9"/>
              <w:bottom w:val="single" w:sz="4" w:space="0" w:color="8CB5F9"/>
              <w:right w:val="single" w:sz="4" w:space="0" w:color="8CB5F9"/>
            </w:tcBorders>
            <w:shd w:val="clear" w:color="4285F4" w:fill="4285F4"/>
            <w:noWrap/>
            <w:vAlign w:val="bottom"/>
            <w:hideMark/>
          </w:tcPr>
          <w:p w14:paraId="7D80E4AC" w14:textId="77777777" w:rsidR="00DB4061" w:rsidRPr="00DB4061" w:rsidRDefault="00DB4061" w:rsidP="00DB4061">
            <w:pPr>
              <w:spacing w:after="0" w:line="240" w:lineRule="auto"/>
              <w:rPr>
                <w:rFonts w:ascii="Arial" w:eastAsia="Times New Roman" w:hAnsi="Arial" w:cs="Arial"/>
                <w:b/>
                <w:bCs/>
                <w:color w:val="FFFFFF"/>
                <w:kern w:val="0"/>
                <w:sz w:val="20"/>
                <w:szCs w:val="20"/>
                <w14:ligatures w14:val="none"/>
              </w:rPr>
            </w:pPr>
            <w:r w:rsidRPr="00DB4061">
              <w:rPr>
                <w:rFonts w:ascii="Arial" w:eastAsia="Times New Roman" w:hAnsi="Arial" w:cs="Arial"/>
                <w:b/>
                <w:bCs/>
                <w:color w:val="FFFFFF"/>
                <w:kern w:val="0"/>
                <w:sz w:val="20"/>
                <w:szCs w:val="20"/>
                <w14:ligatures w14:val="none"/>
              </w:rPr>
              <w:t>calificación</w:t>
            </w:r>
          </w:p>
        </w:tc>
      </w:tr>
      <w:tr w:rsidR="00DB4061" w:rsidRPr="00DB4061" w14:paraId="049E92BE" w14:textId="77777777" w:rsidTr="00DB4061">
        <w:trPr>
          <w:trHeight w:val="1260"/>
        </w:trPr>
        <w:tc>
          <w:tcPr>
            <w:tcW w:w="701" w:type="dxa"/>
            <w:tcBorders>
              <w:top w:val="nil"/>
              <w:left w:val="single" w:sz="4" w:space="0" w:color="000000"/>
              <w:bottom w:val="single" w:sz="4" w:space="0" w:color="000000"/>
              <w:right w:val="single" w:sz="4" w:space="0" w:color="000000"/>
            </w:tcBorders>
            <w:vAlign w:val="center"/>
            <w:hideMark/>
          </w:tcPr>
          <w:p w14:paraId="08EB9AE5"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Diagrama de Flujo (Lógica de Proceso)</w:t>
            </w:r>
          </w:p>
        </w:tc>
        <w:tc>
          <w:tcPr>
            <w:tcW w:w="1919" w:type="dxa"/>
            <w:tcBorders>
              <w:top w:val="nil"/>
              <w:left w:val="nil"/>
              <w:bottom w:val="single" w:sz="4" w:space="0" w:color="000000"/>
              <w:right w:val="single" w:sz="4" w:space="0" w:color="000000"/>
            </w:tcBorders>
            <w:vAlign w:val="center"/>
            <w:hideMark/>
          </w:tcPr>
          <w:p w14:paraId="51A1F17F"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Representación gráfica del algoritmo y el flujo de los datos desde la carga hasta el reporte final.</w:t>
            </w:r>
          </w:p>
        </w:tc>
        <w:tc>
          <w:tcPr>
            <w:tcW w:w="459" w:type="dxa"/>
            <w:tcBorders>
              <w:top w:val="nil"/>
              <w:left w:val="nil"/>
              <w:bottom w:val="single" w:sz="4" w:space="0" w:color="000000"/>
              <w:right w:val="single" w:sz="4" w:space="0" w:color="000000"/>
            </w:tcBorders>
            <w:vAlign w:val="center"/>
            <w:hideMark/>
          </w:tcPr>
          <w:p w14:paraId="4CBA78B7"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20%</w:t>
            </w:r>
          </w:p>
        </w:tc>
        <w:tc>
          <w:tcPr>
            <w:tcW w:w="1241" w:type="dxa"/>
            <w:tcBorders>
              <w:top w:val="nil"/>
              <w:left w:val="nil"/>
              <w:bottom w:val="single" w:sz="4" w:space="0" w:color="000000"/>
              <w:right w:val="single" w:sz="4" w:space="0" w:color="000000"/>
            </w:tcBorders>
            <w:vAlign w:val="center"/>
            <w:hideMark/>
          </w:tcPr>
          <w:p w14:paraId="28B5EDAE"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5 pts: Ausente o sin lógica coherente entre los procesos de datos.</w:t>
            </w:r>
          </w:p>
        </w:tc>
        <w:tc>
          <w:tcPr>
            <w:tcW w:w="1241" w:type="dxa"/>
            <w:tcBorders>
              <w:top w:val="nil"/>
              <w:left w:val="nil"/>
              <w:bottom w:val="single" w:sz="4" w:space="0" w:color="000000"/>
              <w:right w:val="single" w:sz="4" w:space="0" w:color="000000"/>
            </w:tcBorders>
            <w:vAlign w:val="center"/>
            <w:hideMark/>
          </w:tcPr>
          <w:p w14:paraId="666C06F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10 pts: Flujo básico que ignora pasos críticos como la limpieza o validación.</w:t>
            </w:r>
          </w:p>
        </w:tc>
        <w:tc>
          <w:tcPr>
            <w:tcW w:w="1714" w:type="dxa"/>
            <w:tcBorders>
              <w:top w:val="nil"/>
              <w:left w:val="nil"/>
              <w:bottom w:val="single" w:sz="4" w:space="0" w:color="000000"/>
              <w:right w:val="single" w:sz="4" w:space="0" w:color="000000"/>
            </w:tcBorders>
            <w:vAlign w:val="center"/>
            <w:hideMark/>
          </w:tcPr>
          <w:p w14:paraId="595370D7"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 pts: Diagrama completo con simbología estándar (ISO/ANSI) que refleja el proceso real.</w:t>
            </w:r>
          </w:p>
        </w:tc>
        <w:tc>
          <w:tcPr>
            <w:tcW w:w="1667" w:type="dxa"/>
            <w:tcBorders>
              <w:top w:val="nil"/>
              <w:left w:val="nil"/>
              <w:bottom w:val="single" w:sz="4" w:space="0" w:color="000000"/>
              <w:right w:val="single" w:sz="4" w:space="0" w:color="000000"/>
            </w:tcBorders>
            <w:vAlign w:val="center"/>
            <w:hideMark/>
          </w:tcPr>
          <w:p w14:paraId="711CDCC4"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20 pts: Lógica impecable; incluye manejo de excepciones y ramificaciones de análisis claras.</w:t>
            </w:r>
          </w:p>
        </w:tc>
        <w:tc>
          <w:tcPr>
            <w:tcW w:w="408" w:type="dxa"/>
            <w:tcBorders>
              <w:top w:val="single" w:sz="4" w:space="0" w:color="8CB5F9"/>
              <w:left w:val="single" w:sz="4" w:space="0" w:color="8CB5F9"/>
              <w:bottom w:val="single" w:sz="4" w:space="0" w:color="8CB5F9"/>
              <w:right w:val="single" w:sz="4" w:space="0" w:color="8CB5F9"/>
            </w:tcBorders>
            <w:shd w:val="clear" w:color="D9E7FD" w:fill="D9E7FD"/>
            <w:noWrap/>
            <w:vAlign w:val="bottom"/>
            <w:hideMark/>
          </w:tcPr>
          <w:p w14:paraId="7B4E4449" w14:textId="1475B84F" w:rsidR="00DB4061" w:rsidRPr="00DB4061" w:rsidRDefault="000F1E07" w:rsidP="00DB4061">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20</w:t>
            </w:r>
          </w:p>
        </w:tc>
      </w:tr>
      <w:tr w:rsidR="00DB4061" w:rsidRPr="00DB4061" w14:paraId="6B62CEB4" w14:textId="77777777" w:rsidTr="00DB4061">
        <w:trPr>
          <w:trHeight w:val="560"/>
        </w:trPr>
        <w:tc>
          <w:tcPr>
            <w:tcW w:w="701" w:type="dxa"/>
            <w:tcBorders>
              <w:top w:val="nil"/>
              <w:left w:val="single" w:sz="4" w:space="0" w:color="000000"/>
              <w:bottom w:val="single" w:sz="4" w:space="0" w:color="000000"/>
              <w:right w:val="single" w:sz="4" w:space="0" w:color="000000"/>
            </w:tcBorders>
            <w:vAlign w:val="bottom"/>
            <w:hideMark/>
          </w:tcPr>
          <w:p w14:paraId="52703DFE"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Manipulación y Procesamiento</w:t>
            </w:r>
          </w:p>
        </w:tc>
        <w:tc>
          <w:tcPr>
            <w:tcW w:w="1919" w:type="dxa"/>
            <w:tcBorders>
              <w:top w:val="nil"/>
              <w:left w:val="nil"/>
              <w:bottom w:val="single" w:sz="4" w:space="0" w:color="000000"/>
              <w:right w:val="single" w:sz="4" w:space="0" w:color="000000"/>
            </w:tcBorders>
            <w:vAlign w:val="bottom"/>
            <w:hideMark/>
          </w:tcPr>
          <w:p w14:paraId="3707113D"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 xml:space="preserve">Uso de herramientas (Pandas/SQL) para </w:t>
            </w:r>
            <w:r w:rsidRPr="00DB4061">
              <w:rPr>
                <w:rFonts w:ascii="Arial" w:eastAsia="Times New Roman" w:hAnsi="Arial" w:cs="Arial"/>
                <w:color w:val="000000"/>
                <w:kern w:val="0"/>
                <w:sz w:val="20"/>
                <w:szCs w:val="20"/>
                <w14:ligatures w14:val="none"/>
              </w:rPr>
              <w:lastRenderedPageBreak/>
              <w:t>filtrar, agrupar y calcular estadísticas precisas.</w:t>
            </w:r>
          </w:p>
        </w:tc>
        <w:tc>
          <w:tcPr>
            <w:tcW w:w="459" w:type="dxa"/>
            <w:tcBorders>
              <w:top w:val="nil"/>
              <w:left w:val="nil"/>
              <w:bottom w:val="single" w:sz="4" w:space="0" w:color="000000"/>
              <w:right w:val="single" w:sz="4" w:space="0" w:color="000000"/>
            </w:tcBorders>
            <w:vAlign w:val="bottom"/>
            <w:hideMark/>
          </w:tcPr>
          <w:p w14:paraId="252D3471"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lastRenderedPageBreak/>
              <w:t>20%</w:t>
            </w:r>
          </w:p>
        </w:tc>
        <w:tc>
          <w:tcPr>
            <w:tcW w:w="1241" w:type="dxa"/>
            <w:tcBorders>
              <w:top w:val="nil"/>
              <w:left w:val="nil"/>
              <w:bottom w:val="single" w:sz="4" w:space="0" w:color="000000"/>
              <w:right w:val="single" w:sz="4" w:space="0" w:color="000000"/>
            </w:tcBorders>
            <w:vAlign w:val="bottom"/>
            <w:hideMark/>
          </w:tcPr>
          <w:p w14:paraId="5241A060"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5 pts: Cálculos erróneos o imposibili</w:t>
            </w:r>
            <w:r w:rsidRPr="00DB4061">
              <w:rPr>
                <w:rFonts w:ascii="Arial" w:eastAsia="Times New Roman" w:hAnsi="Arial" w:cs="Arial"/>
                <w:color w:val="000000"/>
                <w:kern w:val="0"/>
                <w:sz w:val="20"/>
                <w:szCs w:val="20"/>
                <w14:ligatures w14:val="none"/>
              </w:rPr>
              <w:lastRenderedPageBreak/>
              <w:t>dad de extraer la lista de nombres solicitada.</w:t>
            </w:r>
          </w:p>
        </w:tc>
        <w:tc>
          <w:tcPr>
            <w:tcW w:w="1241" w:type="dxa"/>
            <w:tcBorders>
              <w:top w:val="nil"/>
              <w:left w:val="nil"/>
              <w:bottom w:val="single" w:sz="4" w:space="0" w:color="000000"/>
              <w:right w:val="single" w:sz="4" w:space="0" w:color="000000"/>
            </w:tcBorders>
            <w:vAlign w:val="bottom"/>
            <w:hideMark/>
          </w:tcPr>
          <w:p w14:paraId="3AB26E19"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lastRenderedPageBreak/>
              <w:t xml:space="preserve">10 pts: Realiza cálculos pero no maneja </w:t>
            </w:r>
            <w:r w:rsidRPr="00DB4061">
              <w:rPr>
                <w:rFonts w:ascii="Arial" w:eastAsia="Times New Roman" w:hAnsi="Arial" w:cs="Arial"/>
                <w:color w:val="000000"/>
                <w:kern w:val="0"/>
                <w:sz w:val="20"/>
                <w:szCs w:val="20"/>
                <w14:ligatures w14:val="none"/>
              </w:rPr>
              <w:lastRenderedPageBreak/>
              <w:t>valores nulos en la edad, sesgando los resultados.</w:t>
            </w:r>
          </w:p>
        </w:tc>
        <w:tc>
          <w:tcPr>
            <w:tcW w:w="1714" w:type="dxa"/>
            <w:tcBorders>
              <w:top w:val="nil"/>
              <w:left w:val="nil"/>
              <w:bottom w:val="single" w:sz="4" w:space="0" w:color="000000"/>
              <w:right w:val="single" w:sz="4" w:space="0" w:color="000000"/>
            </w:tcBorders>
            <w:vAlign w:val="bottom"/>
            <w:hideMark/>
          </w:tcPr>
          <w:p w14:paraId="6A368C25"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lastRenderedPageBreak/>
              <w:t xml:space="preserve">15 pts: Responde todas las preguntas técnicas </w:t>
            </w:r>
            <w:r w:rsidRPr="00DB4061">
              <w:rPr>
                <w:rFonts w:ascii="Arial" w:eastAsia="Times New Roman" w:hAnsi="Arial" w:cs="Arial"/>
                <w:color w:val="000000"/>
                <w:kern w:val="0"/>
                <w:sz w:val="20"/>
                <w:szCs w:val="20"/>
                <w14:ligatures w14:val="none"/>
              </w:rPr>
              <w:lastRenderedPageBreak/>
              <w:t>con precisión estadística y código funcional.</w:t>
            </w:r>
          </w:p>
        </w:tc>
        <w:tc>
          <w:tcPr>
            <w:tcW w:w="1667" w:type="dxa"/>
            <w:tcBorders>
              <w:top w:val="nil"/>
              <w:left w:val="nil"/>
              <w:bottom w:val="single" w:sz="4" w:space="0" w:color="000000"/>
              <w:right w:val="single" w:sz="4" w:space="0" w:color="000000"/>
            </w:tcBorders>
            <w:vAlign w:val="bottom"/>
            <w:hideMark/>
          </w:tcPr>
          <w:p w14:paraId="49AB6A31"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lastRenderedPageBreak/>
              <w:t>20 pts: Código optimizado (vectoriza</w:t>
            </w:r>
            <w:r w:rsidRPr="00DB4061">
              <w:rPr>
                <w:rFonts w:ascii="Arial" w:eastAsia="Times New Roman" w:hAnsi="Arial" w:cs="Arial"/>
                <w:color w:val="000000"/>
                <w:kern w:val="0"/>
                <w:sz w:val="20"/>
                <w:szCs w:val="20"/>
                <w14:ligatures w14:val="none"/>
              </w:rPr>
              <w:lastRenderedPageBreak/>
              <w:t>do) con manejo profesional de nulos e imputación de datos.</w:t>
            </w:r>
          </w:p>
        </w:tc>
        <w:tc>
          <w:tcPr>
            <w:tcW w:w="408" w:type="dxa"/>
            <w:tcBorders>
              <w:top w:val="single" w:sz="4" w:space="0" w:color="8CB5F9"/>
              <w:left w:val="single" w:sz="4" w:space="0" w:color="8CB5F9"/>
              <w:bottom w:val="single" w:sz="4" w:space="0" w:color="8CB5F9"/>
              <w:right w:val="single" w:sz="4" w:space="0" w:color="8CB5F9"/>
            </w:tcBorders>
            <w:noWrap/>
            <w:vAlign w:val="center"/>
            <w:hideMark/>
          </w:tcPr>
          <w:p w14:paraId="5015B237" w14:textId="77777777" w:rsidR="00DB4061" w:rsidRPr="00DB4061" w:rsidRDefault="00DB4061" w:rsidP="00DB4061">
            <w:pPr>
              <w:spacing w:after="0" w:line="240" w:lineRule="auto"/>
              <w:jc w:val="right"/>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lastRenderedPageBreak/>
              <w:t>20</w:t>
            </w:r>
          </w:p>
        </w:tc>
      </w:tr>
      <w:tr w:rsidR="00DB4061" w:rsidRPr="00DB4061" w14:paraId="4D584622" w14:textId="77777777" w:rsidTr="00DB4061">
        <w:trPr>
          <w:trHeight w:val="560"/>
        </w:trPr>
        <w:tc>
          <w:tcPr>
            <w:tcW w:w="701" w:type="dxa"/>
            <w:tcBorders>
              <w:top w:val="nil"/>
              <w:left w:val="single" w:sz="4" w:space="0" w:color="000000"/>
              <w:bottom w:val="single" w:sz="4" w:space="0" w:color="000000"/>
              <w:right w:val="single" w:sz="4" w:space="0" w:color="000000"/>
            </w:tcBorders>
            <w:vAlign w:val="bottom"/>
            <w:hideMark/>
          </w:tcPr>
          <w:p w14:paraId="48A0D0B7"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Análisis DIKW (Pirámide de Valor)</w:t>
            </w:r>
          </w:p>
        </w:tc>
        <w:tc>
          <w:tcPr>
            <w:tcW w:w="1919" w:type="dxa"/>
            <w:tcBorders>
              <w:top w:val="nil"/>
              <w:left w:val="nil"/>
              <w:bottom w:val="single" w:sz="4" w:space="0" w:color="000000"/>
              <w:right w:val="single" w:sz="4" w:space="0" w:color="000000"/>
            </w:tcBorders>
            <w:vAlign w:val="bottom"/>
            <w:hideMark/>
          </w:tcPr>
          <w:p w14:paraId="5C73E9F3"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Capacidad de escalar el dato crudo hacia el conocimiento y la aplicación estratégica.</w:t>
            </w:r>
          </w:p>
        </w:tc>
        <w:tc>
          <w:tcPr>
            <w:tcW w:w="459" w:type="dxa"/>
            <w:tcBorders>
              <w:top w:val="nil"/>
              <w:left w:val="nil"/>
              <w:bottom w:val="single" w:sz="4" w:space="0" w:color="000000"/>
              <w:right w:val="single" w:sz="4" w:space="0" w:color="000000"/>
            </w:tcBorders>
            <w:vAlign w:val="bottom"/>
            <w:hideMark/>
          </w:tcPr>
          <w:p w14:paraId="65E2F793"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20%</w:t>
            </w:r>
          </w:p>
        </w:tc>
        <w:tc>
          <w:tcPr>
            <w:tcW w:w="1241" w:type="dxa"/>
            <w:tcBorders>
              <w:top w:val="nil"/>
              <w:left w:val="nil"/>
              <w:bottom w:val="single" w:sz="4" w:space="0" w:color="000000"/>
              <w:right w:val="single" w:sz="4" w:space="0" w:color="000000"/>
            </w:tcBorders>
            <w:vAlign w:val="bottom"/>
            <w:hideMark/>
          </w:tcPr>
          <w:p w14:paraId="4F40BC9C"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5 pts: Se limita a mostrar datos sueltos sin una estructura de análisis clara.</w:t>
            </w:r>
          </w:p>
        </w:tc>
        <w:tc>
          <w:tcPr>
            <w:tcW w:w="1241" w:type="dxa"/>
            <w:tcBorders>
              <w:top w:val="nil"/>
              <w:left w:val="nil"/>
              <w:bottom w:val="single" w:sz="4" w:space="0" w:color="000000"/>
              <w:right w:val="single" w:sz="4" w:space="0" w:color="000000"/>
            </w:tcBorders>
            <w:vAlign w:val="bottom"/>
            <w:hideMark/>
          </w:tcPr>
          <w:p w14:paraId="01909055"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10 pts: Confunde los conceptos; presenta gráficas como si fueran "conocimiento".</w:t>
            </w:r>
          </w:p>
        </w:tc>
        <w:tc>
          <w:tcPr>
            <w:tcW w:w="1714" w:type="dxa"/>
            <w:tcBorders>
              <w:top w:val="nil"/>
              <w:left w:val="nil"/>
              <w:bottom w:val="single" w:sz="4" w:space="0" w:color="000000"/>
              <w:right w:val="single" w:sz="4" w:space="0" w:color="000000"/>
            </w:tcBorders>
            <w:vAlign w:val="bottom"/>
            <w:hideMark/>
          </w:tcPr>
          <w:p w14:paraId="21FDB05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 pts: Estructura correctamente los 4 niveles, diferenciando el dato de la interpretación.</w:t>
            </w:r>
          </w:p>
        </w:tc>
        <w:tc>
          <w:tcPr>
            <w:tcW w:w="1667" w:type="dxa"/>
            <w:tcBorders>
              <w:top w:val="nil"/>
              <w:left w:val="nil"/>
              <w:bottom w:val="single" w:sz="4" w:space="0" w:color="000000"/>
              <w:right w:val="single" w:sz="4" w:space="0" w:color="000000"/>
            </w:tcBorders>
            <w:vAlign w:val="bottom"/>
            <w:hideMark/>
          </w:tcPr>
          <w:p w14:paraId="1C621069"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20 pts: Transición brillante de la información al conocimiento y a la sabiduría (decisión).</w:t>
            </w:r>
          </w:p>
        </w:tc>
        <w:tc>
          <w:tcPr>
            <w:tcW w:w="408" w:type="dxa"/>
            <w:tcBorders>
              <w:top w:val="single" w:sz="4" w:space="0" w:color="8CB5F9"/>
              <w:left w:val="single" w:sz="4" w:space="0" w:color="8CB5F9"/>
              <w:bottom w:val="single" w:sz="4" w:space="0" w:color="8CB5F9"/>
              <w:right w:val="single" w:sz="4" w:space="0" w:color="8CB5F9"/>
            </w:tcBorders>
            <w:shd w:val="clear" w:color="D9E7FD" w:fill="D9E7FD"/>
            <w:noWrap/>
            <w:vAlign w:val="bottom"/>
            <w:hideMark/>
          </w:tcPr>
          <w:p w14:paraId="791C4A38" w14:textId="77777777" w:rsidR="00DB4061" w:rsidRPr="00DB4061" w:rsidRDefault="00DB4061" w:rsidP="00DB4061">
            <w:pPr>
              <w:spacing w:after="0" w:line="240" w:lineRule="auto"/>
              <w:jc w:val="right"/>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20</w:t>
            </w:r>
          </w:p>
        </w:tc>
      </w:tr>
      <w:tr w:rsidR="00DB4061" w:rsidRPr="00DB4061" w14:paraId="00157553" w14:textId="77777777" w:rsidTr="00DB4061">
        <w:trPr>
          <w:trHeight w:val="560"/>
        </w:trPr>
        <w:tc>
          <w:tcPr>
            <w:tcW w:w="701" w:type="dxa"/>
            <w:tcBorders>
              <w:top w:val="nil"/>
              <w:left w:val="single" w:sz="4" w:space="0" w:color="000000"/>
              <w:bottom w:val="single" w:sz="4" w:space="0" w:color="000000"/>
              <w:right w:val="single" w:sz="4" w:space="0" w:color="000000"/>
            </w:tcBorders>
            <w:vAlign w:val="bottom"/>
            <w:hideMark/>
          </w:tcPr>
          <w:p w14:paraId="4E876B48"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Visualización de Datos</w:t>
            </w:r>
          </w:p>
        </w:tc>
        <w:tc>
          <w:tcPr>
            <w:tcW w:w="1919" w:type="dxa"/>
            <w:tcBorders>
              <w:top w:val="nil"/>
              <w:left w:val="nil"/>
              <w:bottom w:val="single" w:sz="4" w:space="0" w:color="000000"/>
              <w:right w:val="single" w:sz="4" w:space="0" w:color="000000"/>
            </w:tcBorders>
            <w:vAlign w:val="bottom"/>
            <w:hideMark/>
          </w:tcPr>
          <w:p w14:paraId="3C2B7655"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Diseño y claridad de las 4 gráficas solicitadas y su capacidad comunicativa.</w:t>
            </w:r>
          </w:p>
        </w:tc>
        <w:tc>
          <w:tcPr>
            <w:tcW w:w="459" w:type="dxa"/>
            <w:tcBorders>
              <w:top w:val="nil"/>
              <w:left w:val="nil"/>
              <w:bottom w:val="single" w:sz="4" w:space="0" w:color="000000"/>
              <w:right w:val="single" w:sz="4" w:space="0" w:color="000000"/>
            </w:tcBorders>
            <w:vAlign w:val="bottom"/>
            <w:hideMark/>
          </w:tcPr>
          <w:p w14:paraId="6A67782A"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w:t>
            </w:r>
          </w:p>
        </w:tc>
        <w:tc>
          <w:tcPr>
            <w:tcW w:w="1241" w:type="dxa"/>
            <w:tcBorders>
              <w:top w:val="nil"/>
              <w:left w:val="nil"/>
              <w:bottom w:val="single" w:sz="4" w:space="0" w:color="000000"/>
              <w:right w:val="single" w:sz="4" w:space="0" w:color="000000"/>
            </w:tcBorders>
            <w:vAlign w:val="bottom"/>
            <w:hideMark/>
          </w:tcPr>
          <w:p w14:paraId="1E79C29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4 pts: Gráficas ilegibles, sin etiquetas en los ejes o tipos de gráfico incorrectos.</w:t>
            </w:r>
          </w:p>
        </w:tc>
        <w:tc>
          <w:tcPr>
            <w:tcW w:w="1241" w:type="dxa"/>
            <w:tcBorders>
              <w:top w:val="nil"/>
              <w:left w:val="nil"/>
              <w:bottom w:val="single" w:sz="4" w:space="0" w:color="000000"/>
              <w:right w:val="single" w:sz="4" w:space="0" w:color="000000"/>
            </w:tcBorders>
            <w:vAlign w:val="bottom"/>
            <w:hideMark/>
          </w:tcPr>
          <w:p w14:paraId="402A1050"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8 pts: Visualizaciones funcionales pero estéticamente descuidadas o con títulos vagos.</w:t>
            </w:r>
          </w:p>
        </w:tc>
        <w:tc>
          <w:tcPr>
            <w:tcW w:w="1714" w:type="dxa"/>
            <w:tcBorders>
              <w:top w:val="nil"/>
              <w:left w:val="nil"/>
              <w:bottom w:val="single" w:sz="4" w:space="0" w:color="000000"/>
              <w:right w:val="single" w:sz="4" w:space="0" w:color="000000"/>
            </w:tcBorders>
            <w:vAlign w:val="bottom"/>
            <w:hideMark/>
          </w:tcPr>
          <w:p w14:paraId="28C0AC86"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12 pts: Gráficas limpias con ejes, leyendas y títulos que explican el fenómeno por sí solos.</w:t>
            </w:r>
          </w:p>
        </w:tc>
        <w:tc>
          <w:tcPr>
            <w:tcW w:w="1667" w:type="dxa"/>
            <w:tcBorders>
              <w:top w:val="nil"/>
              <w:left w:val="nil"/>
              <w:bottom w:val="single" w:sz="4" w:space="0" w:color="000000"/>
              <w:right w:val="single" w:sz="4" w:space="0" w:color="000000"/>
            </w:tcBorders>
            <w:vAlign w:val="bottom"/>
            <w:hideMark/>
          </w:tcPr>
          <w:p w14:paraId="02A753E5"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 pts: Uso avanzado de librerías (Seaborn/Plotly) con paletas que facilitan la comparación de clases.</w:t>
            </w:r>
          </w:p>
        </w:tc>
        <w:tc>
          <w:tcPr>
            <w:tcW w:w="408" w:type="dxa"/>
            <w:tcBorders>
              <w:top w:val="single" w:sz="4" w:space="0" w:color="8CB5F9"/>
              <w:left w:val="single" w:sz="4" w:space="0" w:color="8CB5F9"/>
              <w:bottom w:val="single" w:sz="4" w:space="0" w:color="8CB5F9"/>
              <w:right w:val="single" w:sz="4" w:space="0" w:color="8CB5F9"/>
            </w:tcBorders>
            <w:noWrap/>
            <w:vAlign w:val="bottom"/>
            <w:hideMark/>
          </w:tcPr>
          <w:p w14:paraId="684A290B" w14:textId="77777777" w:rsidR="00DB4061" w:rsidRPr="00DB4061" w:rsidRDefault="00DB4061" w:rsidP="00DB4061">
            <w:pPr>
              <w:spacing w:after="0" w:line="240" w:lineRule="auto"/>
              <w:jc w:val="right"/>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w:t>
            </w:r>
          </w:p>
        </w:tc>
      </w:tr>
      <w:tr w:rsidR="00DB4061" w:rsidRPr="00DB4061" w14:paraId="113069C0" w14:textId="77777777" w:rsidTr="00DB4061">
        <w:trPr>
          <w:trHeight w:val="560"/>
        </w:trPr>
        <w:tc>
          <w:tcPr>
            <w:tcW w:w="701" w:type="dxa"/>
            <w:tcBorders>
              <w:top w:val="nil"/>
              <w:left w:val="single" w:sz="4" w:space="0" w:color="000000"/>
              <w:bottom w:val="single" w:sz="4" w:space="0" w:color="000000"/>
              <w:right w:val="single" w:sz="4" w:space="0" w:color="000000"/>
            </w:tcBorders>
            <w:vAlign w:val="bottom"/>
            <w:hideMark/>
          </w:tcPr>
          <w:p w14:paraId="5242B1F7"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Modelado de Datos (BD)</w:t>
            </w:r>
          </w:p>
        </w:tc>
        <w:tc>
          <w:tcPr>
            <w:tcW w:w="1919" w:type="dxa"/>
            <w:tcBorders>
              <w:top w:val="nil"/>
              <w:left w:val="nil"/>
              <w:bottom w:val="single" w:sz="4" w:space="0" w:color="000000"/>
              <w:right w:val="single" w:sz="4" w:space="0" w:color="000000"/>
            </w:tcBorders>
            <w:vAlign w:val="bottom"/>
            <w:hideMark/>
          </w:tcPr>
          <w:p w14:paraId="63B22F24"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Estructuración técnica del dataset original en un esquema de base de datos formal.</w:t>
            </w:r>
          </w:p>
        </w:tc>
        <w:tc>
          <w:tcPr>
            <w:tcW w:w="459" w:type="dxa"/>
            <w:tcBorders>
              <w:top w:val="nil"/>
              <w:left w:val="nil"/>
              <w:bottom w:val="single" w:sz="4" w:space="0" w:color="000000"/>
              <w:right w:val="single" w:sz="4" w:space="0" w:color="000000"/>
            </w:tcBorders>
            <w:vAlign w:val="bottom"/>
            <w:hideMark/>
          </w:tcPr>
          <w:p w14:paraId="45C75A75"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w:t>
            </w:r>
          </w:p>
        </w:tc>
        <w:tc>
          <w:tcPr>
            <w:tcW w:w="1241" w:type="dxa"/>
            <w:tcBorders>
              <w:top w:val="nil"/>
              <w:left w:val="nil"/>
              <w:bottom w:val="single" w:sz="4" w:space="0" w:color="000000"/>
              <w:right w:val="single" w:sz="4" w:space="0" w:color="000000"/>
            </w:tcBorders>
            <w:vAlign w:val="bottom"/>
            <w:hideMark/>
          </w:tcPr>
          <w:p w14:paraId="0BE6274E"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4 pts: El diagrama no coincide con la estructura del archivo titanic.csv.</w:t>
            </w:r>
          </w:p>
        </w:tc>
        <w:tc>
          <w:tcPr>
            <w:tcW w:w="1241" w:type="dxa"/>
            <w:tcBorders>
              <w:top w:val="nil"/>
              <w:left w:val="nil"/>
              <w:bottom w:val="single" w:sz="4" w:space="0" w:color="000000"/>
              <w:right w:val="single" w:sz="4" w:space="0" w:color="000000"/>
            </w:tcBorders>
            <w:vAlign w:val="bottom"/>
            <w:hideMark/>
          </w:tcPr>
          <w:p w14:paraId="177E84ED"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8 pts: Diagrama básico; faltan tipos de datos técnicos (int, float, bool) o llaves.</w:t>
            </w:r>
          </w:p>
        </w:tc>
        <w:tc>
          <w:tcPr>
            <w:tcW w:w="1714" w:type="dxa"/>
            <w:tcBorders>
              <w:top w:val="nil"/>
              <w:left w:val="nil"/>
              <w:bottom w:val="single" w:sz="4" w:space="0" w:color="000000"/>
              <w:right w:val="single" w:sz="4" w:space="0" w:color="000000"/>
            </w:tcBorders>
            <w:vAlign w:val="bottom"/>
            <w:hideMark/>
          </w:tcPr>
          <w:p w14:paraId="6BBE244E"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12 pts: Modelo Entidad-Relación o esquema relacional correcto y bien documentado.</w:t>
            </w:r>
          </w:p>
        </w:tc>
        <w:tc>
          <w:tcPr>
            <w:tcW w:w="1667" w:type="dxa"/>
            <w:tcBorders>
              <w:top w:val="nil"/>
              <w:left w:val="nil"/>
              <w:bottom w:val="single" w:sz="4" w:space="0" w:color="000000"/>
              <w:right w:val="single" w:sz="4" w:space="0" w:color="000000"/>
            </w:tcBorders>
            <w:vAlign w:val="bottom"/>
            <w:hideMark/>
          </w:tcPr>
          <w:p w14:paraId="7883A49E"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15 pts: Diseño profesional que incluye restricciones de integridad (not null) y tipos de datos precisos.</w:t>
            </w:r>
          </w:p>
        </w:tc>
        <w:tc>
          <w:tcPr>
            <w:tcW w:w="408" w:type="dxa"/>
            <w:tcBorders>
              <w:top w:val="single" w:sz="4" w:space="0" w:color="8CB5F9"/>
              <w:left w:val="single" w:sz="4" w:space="0" w:color="8CB5F9"/>
              <w:bottom w:val="single" w:sz="4" w:space="0" w:color="8CB5F9"/>
              <w:right w:val="single" w:sz="4" w:space="0" w:color="8CB5F9"/>
            </w:tcBorders>
            <w:shd w:val="clear" w:color="D9E7FD" w:fill="D9E7FD"/>
            <w:noWrap/>
            <w:vAlign w:val="bottom"/>
            <w:hideMark/>
          </w:tcPr>
          <w:p w14:paraId="6D4F2AF8" w14:textId="65734188" w:rsidR="00DB4061" w:rsidRPr="00DB4061" w:rsidRDefault="000F1E07" w:rsidP="00DB4061">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8</w:t>
            </w:r>
          </w:p>
        </w:tc>
      </w:tr>
      <w:tr w:rsidR="00DB4061" w:rsidRPr="00DB4061" w14:paraId="7482F349" w14:textId="77777777" w:rsidTr="00DB4061">
        <w:trPr>
          <w:trHeight w:val="840"/>
        </w:trPr>
        <w:tc>
          <w:tcPr>
            <w:tcW w:w="701" w:type="dxa"/>
            <w:tcBorders>
              <w:top w:val="nil"/>
              <w:left w:val="single" w:sz="4" w:space="0" w:color="000000"/>
              <w:bottom w:val="single" w:sz="4" w:space="0" w:color="000000"/>
              <w:right w:val="single" w:sz="4" w:space="0" w:color="000000"/>
            </w:tcBorders>
            <w:vAlign w:val="bottom"/>
            <w:hideMark/>
          </w:tcPr>
          <w:p w14:paraId="0955B5C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Presentación y Sabiduría (W)</w:t>
            </w:r>
          </w:p>
        </w:tc>
        <w:tc>
          <w:tcPr>
            <w:tcW w:w="1919" w:type="dxa"/>
            <w:tcBorders>
              <w:top w:val="nil"/>
              <w:left w:val="nil"/>
              <w:bottom w:val="single" w:sz="4" w:space="0" w:color="000000"/>
              <w:right w:val="single" w:sz="4" w:space="0" w:color="000000"/>
            </w:tcBorders>
            <w:vAlign w:val="bottom"/>
            <w:hideMark/>
          </w:tcPr>
          <w:p w14:paraId="382A802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Calidad del documento ejecutivo y profundidad de las recomendaciones de seguridad.</w:t>
            </w:r>
          </w:p>
        </w:tc>
        <w:tc>
          <w:tcPr>
            <w:tcW w:w="459" w:type="dxa"/>
            <w:tcBorders>
              <w:top w:val="nil"/>
              <w:left w:val="nil"/>
              <w:bottom w:val="single" w:sz="4" w:space="0" w:color="000000"/>
              <w:right w:val="single" w:sz="4" w:space="0" w:color="000000"/>
            </w:tcBorders>
            <w:vAlign w:val="bottom"/>
            <w:hideMark/>
          </w:tcPr>
          <w:p w14:paraId="51827C15" w14:textId="77777777" w:rsidR="00DB4061" w:rsidRPr="00DB4061" w:rsidRDefault="00DB4061" w:rsidP="00DB4061">
            <w:pPr>
              <w:spacing w:after="0" w:line="240" w:lineRule="auto"/>
              <w:jc w:val="center"/>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10%</w:t>
            </w:r>
          </w:p>
        </w:tc>
        <w:tc>
          <w:tcPr>
            <w:tcW w:w="1241" w:type="dxa"/>
            <w:tcBorders>
              <w:top w:val="nil"/>
              <w:left w:val="nil"/>
              <w:bottom w:val="single" w:sz="4" w:space="0" w:color="000000"/>
              <w:right w:val="single" w:sz="4" w:space="0" w:color="000000"/>
            </w:tcBorders>
            <w:vAlign w:val="bottom"/>
            <w:hideMark/>
          </w:tcPr>
          <w:p w14:paraId="15DF0268"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2 pts: Documento desorganizado con sugerencias genéricas no basadas en los datos.</w:t>
            </w:r>
          </w:p>
        </w:tc>
        <w:tc>
          <w:tcPr>
            <w:tcW w:w="1241" w:type="dxa"/>
            <w:tcBorders>
              <w:top w:val="nil"/>
              <w:left w:val="nil"/>
              <w:bottom w:val="single" w:sz="4" w:space="0" w:color="000000"/>
              <w:right w:val="single" w:sz="4" w:space="0" w:color="000000"/>
            </w:tcBorders>
            <w:vAlign w:val="bottom"/>
            <w:hideMark/>
          </w:tcPr>
          <w:p w14:paraId="276BFBEA"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5 pts: Estructura aceptable, pero las recomendaciones son subjetivas y no estadísticas.</w:t>
            </w:r>
          </w:p>
        </w:tc>
        <w:tc>
          <w:tcPr>
            <w:tcW w:w="1714" w:type="dxa"/>
            <w:tcBorders>
              <w:top w:val="nil"/>
              <w:left w:val="nil"/>
              <w:bottom w:val="single" w:sz="4" w:space="0" w:color="000000"/>
              <w:right w:val="single" w:sz="4" w:space="0" w:color="000000"/>
            </w:tcBorders>
            <w:vAlign w:val="bottom"/>
            <w:hideMark/>
          </w:tcPr>
          <w:p w14:paraId="74AC1952"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8 pts: Reporte profesional con recomendaciones lógicas derivadas directamente del análisis.</w:t>
            </w:r>
          </w:p>
        </w:tc>
        <w:tc>
          <w:tcPr>
            <w:tcW w:w="1667" w:type="dxa"/>
            <w:tcBorders>
              <w:top w:val="nil"/>
              <w:left w:val="nil"/>
              <w:bottom w:val="single" w:sz="4" w:space="0" w:color="000000"/>
              <w:right w:val="single" w:sz="4" w:space="0" w:color="000000"/>
            </w:tcBorders>
            <w:vAlign w:val="bottom"/>
            <w:hideMark/>
          </w:tcPr>
          <w:p w14:paraId="09544C6A" w14:textId="77777777" w:rsidR="00DB4061" w:rsidRPr="00DB4061" w:rsidRDefault="00DB4061" w:rsidP="00DB4061">
            <w:pPr>
              <w:spacing w:after="0" w:line="240" w:lineRule="auto"/>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10 pts: Informe de nivel consultoría; sabiduría aplicada que propone cambios reales en seguridad marítima.</w:t>
            </w:r>
          </w:p>
        </w:tc>
        <w:tc>
          <w:tcPr>
            <w:tcW w:w="408" w:type="dxa"/>
            <w:tcBorders>
              <w:top w:val="single" w:sz="4" w:space="0" w:color="8CB5F9"/>
              <w:left w:val="single" w:sz="4" w:space="0" w:color="8CB5F9"/>
              <w:bottom w:val="single" w:sz="4" w:space="0" w:color="8CB5F9"/>
              <w:right w:val="single" w:sz="4" w:space="0" w:color="8CB5F9"/>
            </w:tcBorders>
            <w:noWrap/>
            <w:vAlign w:val="bottom"/>
            <w:hideMark/>
          </w:tcPr>
          <w:p w14:paraId="02042819" w14:textId="77777777" w:rsidR="00DB4061" w:rsidRPr="00DB4061" w:rsidRDefault="00DB4061" w:rsidP="00DB4061">
            <w:pPr>
              <w:spacing w:after="0" w:line="240" w:lineRule="auto"/>
              <w:jc w:val="right"/>
              <w:rPr>
                <w:rFonts w:ascii="Arial" w:eastAsia="Times New Roman" w:hAnsi="Arial" w:cs="Arial"/>
                <w:color w:val="000000"/>
                <w:kern w:val="0"/>
                <w:sz w:val="20"/>
                <w:szCs w:val="20"/>
                <w14:ligatures w14:val="none"/>
              </w:rPr>
            </w:pPr>
            <w:r w:rsidRPr="00DB4061">
              <w:rPr>
                <w:rFonts w:ascii="Arial" w:eastAsia="Times New Roman" w:hAnsi="Arial" w:cs="Arial"/>
                <w:color w:val="000000"/>
                <w:kern w:val="0"/>
                <w:sz w:val="20"/>
                <w:szCs w:val="20"/>
                <w14:ligatures w14:val="none"/>
              </w:rPr>
              <w:t>10</w:t>
            </w:r>
          </w:p>
        </w:tc>
      </w:tr>
      <w:tr w:rsidR="00DB4061" w:rsidRPr="00DB4061" w14:paraId="51615125" w14:textId="77777777" w:rsidTr="00DB4061">
        <w:trPr>
          <w:trHeight w:val="315"/>
        </w:trPr>
        <w:tc>
          <w:tcPr>
            <w:tcW w:w="701" w:type="dxa"/>
            <w:tcBorders>
              <w:top w:val="nil"/>
              <w:left w:val="nil"/>
              <w:bottom w:val="nil"/>
              <w:right w:val="nil"/>
            </w:tcBorders>
            <w:noWrap/>
            <w:vAlign w:val="bottom"/>
            <w:hideMark/>
          </w:tcPr>
          <w:p w14:paraId="5EBC3E2B" w14:textId="77777777" w:rsidR="00DB4061" w:rsidRPr="00DB4061" w:rsidRDefault="00DB4061" w:rsidP="00DB4061">
            <w:pPr>
              <w:spacing w:after="0" w:line="240" w:lineRule="auto"/>
              <w:jc w:val="right"/>
              <w:rPr>
                <w:rFonts w:ascii="Arial" w:eastAsia="Times New Roman" w:hAnsi="Arial" w:cs="Arial"/>
                <w:color w:val="000000"/>
                <w:kern w:val="0"/>
                <w:sz w:val="20"/>
                <w:szCs w:val="20"/>
                <w14:ligatures w14:val="none"/>
              </w:rPr>
            </w:pPr>
          </w:p>
        </w:tc>
        <w:tc>
          <w:tcPr>
            <w:tcW w:w="1919" w:type="dxa"/>
            <w:tcBorders>
              <w:top w:val="nil"/>
              <w:left w:val="nil"/>
              <w:bottom w:val="nil"/>
              <w:right w:val="nil"/>
            </w:tcBorders>
            <w:noWrap/>
            <w:vAlign w:val="bottom"/>
            <w:hideMark/>
          </w:tcPr>
          <w:p w14:paraId="76A9D1C2"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459" w:type="dxa"/>
            <w:tcBorders>
              <w:top w:val="nil"/>
              <w:left w:val="nil"/>
              <w:bottom w:val="nil"/>
              <w:right w:val="nil"/>
            </w:tcBorders>
            <w:noWrap/>
            <w:vAlign w:val="bottom"/>
            <w:hideMark/>
          </w:tcPr>
          <w:p w14:paraId="6BE0ED05"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1241" w:type="dxa"/>
            <w:tcBorders>
              <w:top w:val="nil"/>
              <w:left w:val="nil"/>
              <w:bottom w:val="nil"/>
              <w:right w:val="nil"/>
            </w:tcBorders>
            <w:noWrap/>
            <w:vAlign w:val="bottom"/>
            <w:hideMark/>
          </w:tcPr>
          <w:p w14:paraId="2EF1C816"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1241" w:type="dxa"/>
            <w:tcBorders>
              <w:top w:val="nil"/>
              <w:left w:val="nil"/>
              <w:bottom w:val="nil"/>
              <w:right w:val="nil"/>
            </w:tcBorders>
            <w:noWrap/>
            <w:vAlign w:val="bottom"/>
            <w:hideMark/>
          </w:tcPr>
          <w:p w14:paraId="0C95C3CB"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1714" w:type="dxa"/>
            <w:tcBorders>
              <w:top w:val="nil"/>
              <w:left w:val="nil"/>
              <w:bottom w:val="nil"/>
              <w:right w:val="nil"/>
            </w:tcBorders>
            <w:noWrap/>
            <w:vAlign w:val="bottom"/>
            <w:hideMark/>
          </w:tcPr>
          <w:p w14:paraId="68850761"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1667" w:type="dxa"/>
            <w:tcBorders>
              <w:top w:val="nil"/>
              <w:left w:val="nil"/>
              <w:bottom w:val="nil"/>
              <w:right w:val="nil"/>
            </w:tcBorders>
            <w:noWrap/>
            <w:vAlign w:val="bottom"/>
            <w:hideMark/>
          </w:tcPr>
          <w:p w14:paraId="5278FCC3" w14:textId="77777777" w:rsidR="00DB4061" w:rsidRPr="00DB4061" w:rsidRDefault="00DB4061" w:rsidP="00DB4061">
            <w:pPr>
              <w:spacing w:after="0" w:line="240" w:lineRule="auto"/>
              <w:rPr>
                <w:rFonts w:ascii="Times New Roman" w:eastAsia="Times New Roman" w:hAnsi="Times New Roman" w:cs="Times New Roman"/>
                <w:kern w:val="0"/>
                <w:sz w:val="20"/>
                <w:szCs w:val="20"/>
                <w14:ligatures w14:val="none"/>
              </w:rPr>
            </w:pPr>
          </w:p>
        </w:tc>
        <w:tc>
          <w:tcPr>
            <w:tcW w:w="408" w:type="dxa"/>
            <w:tcBorders>
              <w:top w:val="single" w:sz="4" w:space="0" w:color="8CB5F9"/>
              <w:left w:val="single" w:sz="4" w:space="0" w:color="8CB5F9"/>
              <w:bottom w:val="single" w:sz="4" w:space="0" w:color="8CB5F9"/>
              <w:right w:val="single" w:sz="4" w:space="0" w:color="8CB5F9"/>
            </w:tcBorders>
            <w:shd w:val="clear" w:color="D9E7FD" w:fill="D9E7FD"/>
            <w:noWrap/>
            <w:vAlign w:val="bottom"/>
            <w:hideMark/>
          </w:tcPr>
          <w:p w14:paraId="0685AD98" w14:textId="669B6048" w:rsidR="00DB4061" w:rsidRPr="00DB4061" w:rsidRDefault="000F1E07" w:rsidP="00DB4061">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93</w:t>
            </w:r>
          </w:p>
        </w:tc>
      </w:tr>
    </w:tbl>
    <w:p w14:paraId="3109F845" w14:textId="77777777" w:rsidR="00F525F2" w:rsidRDefault="00F525F2">
      <w:pPr>
        <w:rPr>
          <w:lang w:val="es-ES_tradnl"/>
        </w:rPr>
      </w:pPr>
    </w:p>
    <w:p w14:paraId="54C08A02" w14:textId="33AA8DAD" w:rsidR="00DB4061" w:rsidRPr="00DB4061" w:rsidRDefault="00DB4061">
      <w:pPr>
        <w:rPr>
          <w:lang w:val="es-ES_tradnl"/>
        </w:rPr>
      </w:pPr>
      <w:r>
        <w:rPr>
          <w:lang w:val="es-ES_tradnl"/>
        </w:rPr>
        <w:t>Me sentí bastante bien explicando las cosas a mi compañero, en el desarrollo cree columnas nuevas en la tabla para facilitar ciertas clasificaciones, y reutilice las ya existentes para evitar la redundancia</w:t>
      </w:r>
      <w:r w:rsidR="00F525F2">
        <w:rPr>
          <w:lang w:val="es-ES_tradnl"/>
        </w:rPr>
        <w:t xml:space="preserve">, el código lo separe por bloques para facilitar la claridad de cada proceso en casos de que se pidiera mostrar. En la presentación ejecutiva explique mis hallazgos de la mejor manera que pude y reutilice las gráficas al igual que mi compañero </w:t>
      </w:r>
      <w:r w:rsidR="00F525F2">
        <w:rPr>
          <w:lang w:val="es-ES_tradnl"/>
        </w:rPr>
        <w:t>propus</w:t>
      </w:r>
      <w:r w:rsidR="00F525F2">
        <w:rPr>
          <w:lang w:val="es-ES_tradnl"/>
        </w:rPr>
        <w:t xml:space="preserve">e </w:t>
      </w:r>
      <w:r w:rsidR="00F525F2">
        <w:rPr>
          <w:lang w:val="es-ES_tradnl"/>
        </w:rPr>
        <w:t xml:space="preserve">soluciones según lo analizado y </w:t>
      </w:r>
      <w:r w:rsidR="00F525F2">
        <w:rPr>
          <w:lang w:val="es-ES_tradnl"/>
        </w:rPr>
        <w:t xml:space="preserve">en </w:t>
      </w:r>
      <w:r w:rsidR="00F525F2">
        <w:rPr>
          <w:lang w:val="es-ES_tradnl"/>
        </w:rPr>
        <w:t>referencia al contexto histórico.</w:t>
      </w:r>
    </w:p>
    <w:sectPr w:rsidR="00DB4061" w:rsidRPr="00DB40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61"/>
    <w:rsid w:val="000F1E07"/>
    <w:rsid w:val="001C7AE9"/>
    <w:rsid w:val="00987744"/>
    <w:rsid w:val="00B70533"/>
    <w:rsid w:val="00DB4061"/>
    <w:rsid w:val="00F525F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AB73"/>
  <w15:chartTrackingRefBased/>
  <w15:docId w15:val="{3BE3387B-1614-7E49-989C-AE462E93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061"/>
    <w:rPr>
      <w:rFonts w:eastAsiaTheme="majorEastAsia" w:cstheme="majorBidi"/>
      <w:color w:val="272727" w:themeColor="text1" w:themeTint="D8"/>
    </w:rPr>
  </w:style>
  <w:style w:type="paragraph" w:styleId="Title">
    <w:name w:val="Title"/>
    <w:basedOn w:val="Normal"/>
    <w:next w:val="Normal"/>
    <w:link w:val="TitleChar"/>
    <w:uiPriority w:val="10"/>
    <w:qFormat/>
    <w:rsid w:val="00DB4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061"/>
    <w:pPr>
      <w:spacing w:before="160"/>
      <w:jc w:val="center"/>
    </w:pPr>
    <w:rPr>
      <w:i/>
      <w:iCs/>
      <w:color w:val="404040" w:themeColor="text1" w:themeTint="BF"/>
    </w:rPr>
  </w:style>
  <w:style w:type="character" w:customStyle="1" w:styleId="QuoteChar">
    <w:name w:val="Quote Char"/>
    <w:basedOn w:val="DefaultParagraphFont"/>
    <w:link w:val="Quote"/>
    <w:uiPriority w:val="29"/>
    <w:rsid w:val="00DB4061"/>
    <w:rPr>
      <w:i/>
      <w:iCs/>
      <w:color w:val="404040" w:themeColor="text1" w:themeTint="BF"/>
    </w:rPr>
  </w:style>
  <w:style w:type="paragraph" w:styleId="ListParagraph">
    <w:name w:val="List Paragraph"/>
    <w:basedOn w:val="Normal"/>
    <w:uiPriority w:val="34"/>
    <w:qFormat/>
    <w:rsid w:val="00DB4061"/>
    <w:pPr>
      <w:ind w:left="720"/>
      <w:contextualSpacing/>
    </w:pPr>
  </w:style>
  <w:style w:type="character" w:styleId="IntenseEmphasis">
    <w:name w:val="Intense Emphasis"/>
    <w:basedOn w:val="DefaultParagraphFont"/>
    <w:uiPriority w:val="21"/>
    <w:qFormat/>
    <w:rsid w:val="00DB4061"/>
    <w:rPr>
      <w:i/>
      <w:iCs/>
      <w:color w:val="0F4761" w:themeColor="accent1" w:themeShade="BF"/>
    </w:rPr>
  </w:style>
  <w:style w:type="paragraph" w:styleId="IntenseQuote">
    <w:name w:val="Intense Quote"/>
    <w:basedOn w:val="Normal"/>
    <w:next w:val="Normal"/>
    <w:link w:val="IntenseQuoteChar"/>
    <w:uiPriority w:val="30"/>
    <w:qFormat/>
    <w:rsid w:val="00DB4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061"/>
    <w:rPr>
      <w:i/>
      <w:iCs/>
      <w:color w:val="0F4761" w:themeColor="accent1" w:themeShade="BF"/>
    </w:rPr>
  </w:style>
  <w:style w:type="character" w:styleId="IntenseReference">
    <w:name w:val="Intense Reference"/>
    <w:basedOn w:val="DefaultParagraphFont"/>
    <w:uiPriority w:val="32"/>
    <w:qFormat/>
    <w:rsid w:val="00DB4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3</cp:revision>
  <dcterms:created xsi:type="dcterms:W3CDTF">2026-04-23T17:40:00Z</dcterms:created>
  <dcterms:modified xsi:type="dcterms:W3CDTF">2026-04-23T18:02:00Z</dcterms:modified>
</cp:coreProperties>
</file>