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Distribution of Ratings by Model</w:t>
      </w:r>
    </w:p>
    <w:p>
      <w:pPr/>
      <w:r>
        <w:t>Absolute counts and percentages of Correct, Inaccurate, and Wrong ratings for each model.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Model Category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Correct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Inaccurate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Wrong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Total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Correct (%)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Inaccurate (%)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Wrong (%)</w:t>
            </w:r>
          </w:p>
        </w:tc>
      </w:tr>
      <w:tr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 + WL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463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39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18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520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89.0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7.5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3.5</w:t>
            </w:r>
          </w:p>
        </w:tc>
      </w:tr>
      <w:tr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 + WL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456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45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19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520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87.7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8.7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3.7</w:t>
            </w:r>
          </w:p>
        </w:tc>
      </w:tr>
      <w:tr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OpenEvidence (Assumed WL)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429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60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31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520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82.5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11.5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6.0</w:t>
            </w:r>
          </w:p>
        </w:tc>
      </w:tr>
      <w:tr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422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80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18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520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81.2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15.4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3.5</w:t>
            </w:r>
          </w:p>
        </w:tc>
      </w:tr>
      <w:tr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415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85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20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520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79.8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16.3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3.8</w:t>
            </w:r>
          </w:p>
        </w:tc>
      </w:tr>
      <w:tr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 + WL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406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79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35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520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78.1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15.2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6.7</w:t>
            </w:r>
          </w:p>
        </w:tc>
      </w:tr>
      <w:tr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314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145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61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520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60.4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27.9</w:t>
            </w:r>
          </w:p>
        </w:tc>
        <w:tc>
          <w:tcPr>
            <w:tcW w:type="dxa" w:w="1080"/>
            <w:tcW w:w="1296" w:type="dxa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11.7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