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witness.bin" ContentType="application/octet-stream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review bench</w:t>
      </w:r>
    </w:p>
    <w:p>
      <w:r>
        <w:t>Review each image occurrence in its own context. The repeated status symbols share identical image bytes and original descriptions.</w:t>
      </w:r>
    </w:p>
    <w:p>
      <w:pPr>
        <w:pStyle w:val="Heading1"/>
      </w:pPr>
      <w:r>
        <w:t>Intake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1" name="Intake icon" descr="Status icon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Release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2" name="Release icon" descr="Release checkpoint ready for review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marker</w:t>
      </w:r>
    </w:p>
    <w:p>
      <w:r>
        <w:t>The floating marker is anchored to this summary paragraph.</w:t>
      </w:r>
      <w:r>
        <w:drawing>
          <wp:anchor xmlns:a="http://schemas.openxmlformats.org/drawingml/2006/main" xmlns:pic="http://schemas.openxmlformats.org/drawingml/2006/picture" distT="0" distB="0" distL="114300" distR="114300" simplePos="0" relativeHeight="0" behindDoc="0" locked="0" layoutInCell="1" allowOverlap="1">
            <wp:simplePos x="0" y="0"/>
            <wp:positionH relativeFrom="column">
              <wp:posOffset>4200000</wp:posOffset>
            </wp:positionH>
            <wp:positionV relativeFrom="paragraph">
              <wp:posOffset>0</wp:posOffset>
            </wp:positionV>
            <wp:extent cx="347472" cy="347472"/>
            <wp:wrapNone/>
            <wp:docPr id="3" name="Floating summary icon" descr="Summary marker showing the review checkpoi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Shared report context</w:t>
      </w:r>
    </w:p>
    <w:p>
      <w:r>
        <w:t>This second section deliberately reuses the same header and footer parts. A shared header image is one stored occurrence, even when Word displays it on multiple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Internal review copy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Footer icon" descr="" title="Footer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Shared report header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Shared header icon" descr="Shared report context symbol" title="Shared hea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