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1: Title Slide (Infographic Top Screen)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Hello everyone. Today, I would like to introduce the activities of the Institute of Science Tokyo Institutional Research Section.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(0:00 - 0:30) As you already know, Institute of Science Tokyo is a new university born from the integration of Tokyo Institute of Technology and Tokyo Medical and Dental University. With this integration, their Institutional Research sections also merged into one, forming the current Institutional Research Section. Today, I will explain the journey of this Institutional Research Section and its current role.</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2: "Pre-Integration: Two Streams (Past 5 Years: 2019 - Sep 2024)" Section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Firstly, let's look at how each IR section operated in these five years leading up to the integration.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(0:30 - 2:00) Please look at the left side of the web page. The former IR Office at Tokyo Institute of Technology had expertise in advanced and unique data analysis. Leveraging this expertise, it conducted activities to quantitatively evaluate the strengths of the university as a science and engineering university. Its main activity was a strong focus on </w:t>
      </w:r>
      <w:r w:rsidRPr="006B0C74">
        <w:rPr>
          <w:rFonts w:ascii="ＭＳ Ｐゴシック" w:eastAsia="ＭＳ Ｐゴシック" w:hAnsi="ＭＳ Ｐゴシック" w:cs="ＭＳ Ｐゴシック"/>
          <w:b/>
          <w:bCs/>
          <w:kern w:val="0"/>
          <w:sz w:val="24"/>
        </w:rPr>
        <w:t>"Enhanced Learning Analytics,"</w:t>
      </w:r>
      <w:r w:rsidRPr="006B0C74">
        <w:rPr>
          <w:rFonts w:ascii="ＭＳ Ｐゴシック" w:eastAsia="ＭＳ Ｐゴシック" w:hAnsi="ＭＳ Ｐゴシック" w:cs="ＭＳ Ｐゴシック"/>
          <w:kern w:val="0"/>
          <w:sz w:val="24"/>
        </w:rPr>
        <w:t xml:space="preserve"> analyzing student learning data to contribute to class improvements and career path support. Additionally, through </w:t>
      </w:r>
      <w:r w:rsidRPr="006B0C74">
        <w:rPr>
          <w:rFonts w:ascii="ＭＳ Ｐゴシック" w:eastAsia="ＭＳ Ｐゴシック" w:hAnsi="ＭＳ Ｐゴシック" w:cs="ＭＳ Ｐゴシック"/>
          <w:b/>
          <w:bCs/>
          <w:kern w:val="0"/>
          <w:sz w:val="24"/>
        </w:rPr>
        <w:t>"Education &amp; Research Activity Analysis,"</w:t>
      </w:r>
      <w:r w:rsidRPr="006B0C74">
        <w:rPr>
          <w:rFonts w:ascii="ＭＳ Ｐゴシック" w:eastAsia="ＭＳ Ｐゴシック" w:hAnsi="ＭＳ Ｐゴシック" w:cs="ＭＳ Ｐゴシック"/>
          <w:kern w:val="0"/>
          <w:sz w:val="24"/>
        </w:rPr>
        <w:t xml:space="preserve"> it visualized and supported the strengthening of research capabilities, such as the number of papers and external funding acquisition. Furthermore, as </w:t>
      </w:r>
      <w:r w:rsidRPr="006B0C74">
        <w:rPr>
          <w:rFonts w:ascii="ＭＳ Ｐゴシック" w:eastAsia="ＭＳ Ｐゴシック" w:hAnsi="ＭＳ Ｐゴシック" w:cs="ＭＳ Ｐゴシック"/>
          <w:b/>
          <w:bCs/>
          <w:kern w:val="0"/>
          <w:sz w:val="24"/>
        </w:rPr>
        <w:t>"Management Strategy Support"</w:t>
      </w:r>
      <w:r w:rsidRPr="006B0C74">
        <w:rPr>
          <w:rFonts w:ascii="ＭＳ Ｐゴシック" w:eastAsia="ＭＳ Ｐゴシック" w:hAnsi="ＭＳ Ｐゴシック" w:cs="ＭＳ Ｐゴシック"/>
          <w:kern w:val="0"/>
          <w:sz w:val="24"/>
        </w:rPr>
        <w:t xml:space="preserve"> for the university, it provided data-driven proposals for management reform. The doughnut chart clearly shows the activity ratios. You can see that the analysis of educational outcomes accounted for the largest proportion.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 (Referring to the right panel: Former Tokyo Medical and Dental University IR </w:t>
      </w:r>
      <w:proofErr w:type="gramStart"/>
      <w:r w:rsidRPr="006B0C74">
        <w:rPr>
          <w:rFonts w:ascii="ＭＳ Ｐゴシック" w:eastAsia="ＭＳ Ｐゴシック" w:hAnsi="ＭＳ Ｐゴシック" w:cs="ＭＳ Ｐゴシック"/>
          <w:kern w:val="0"/>
          <w:sz w:val="24"/>
        </w:rPr>
        <w:t>Org.)*</w:t>
      </w:r>
      <w:proofErr w:type="gramEnd"/>
      <w:r w:rsidRPr="006B0C74">
        <w:rPr>
          <w:rFonts w:ascii="ＭＳ Ｐゴシック" w:eastAsia="ＭＳ Ｐゴシック" w:hAnsi="ＭＳ Ｐゴシック" w:cs="ＭＳ Ｐゴシック"/>
          <w:kern w:val="0"/>
          <w:sz w:val="24"/>
        </w:rPr>
        <w:t xml:space="preserve">* Next, on the right side of the screen, is the former Tokyo Medical and Dental University IR organization. As a comprehensive medical university, it had a significant strength in </w:t>
      </w:r>
      <w:r w:rsidRPr="006B0C74">
        <w:rPr>
          <w:rFonts w:ascii="ＭＳ Ｐゴシック" w:eastAsia="ＭＳ Ｐゴシック" w:hAnsi="ＭＳ Ｐゴシック" w:cs="ＭＳ Ｐゴシック"/>
          <w:b/>
          <w:bCs/>
          <w:kern w:val="0"/>
          <w:sz w:val="24"/>
        </w:rPr>
        <w:t>"Medical Activity Analysis,"</w:t>
      </w:r>
      <w:r w:rsidRPr="006B0C74">
        <w:rPr>
          <w:rFonts w:ascii="ＭＳ Ｐゴシック" w:eastAsia="ＭＳ Ｐゴシック" w:hAnsi="ＭＳ Ｐゴシック" w:cs="ＭＳ Ｐゴシック"/>
          <w:kern w:val="0"/>
          <w:sz w:val="24"/>
        </w:rPr>
        <w:t xml:space="preserve"> in addition to its education and research activities. A distinctive feature was its use of clinical data to support improvements in medical quality. The radar chart shows that it conducted balanced analytical activities across a wide range of fields, including academics, research, medical services, internationalization support, and social contribution. Its objectives </w:t>
      </w:r>
      <w:r w:rsidRPr="006B0C74">
        <w:rPr>
          <w:rFonts w:ascii="ＭＳ Ｐゴシック" w:eastAsia="ＭＳ Ｐゴシック" w:hAnsi="ＭＳ Ｐゴシック" w:cs="ＭＳ Ｐゴシック"/>
          <w:kern w:val="0"/>
          <w:sz w:val="24"/>
        </w:rPr>
        <w:lastRenderedPageBreak/>
        <w:t>focused on improving the quality of education, research, and medical services as a comprehensive medical university, promoting evidence-based management strategies, and emphasizing self-assessment, evaluation, and information disclosure.</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3: "Comparison of Data Handled" Chart</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Let's compare the types of data handled by both universities.</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(2:00 - 3:00) Please look at the stacked bar chart. The former Tokyo Institute of Technology had strengths in </w:t>
      </w:r>
      <w:r w:rsidRPr="006B0C74">
        <w:rPr>
          <w:rFonts w:ascii="ＭＳ Ｐゴシック" w:eastAsia="ＭＳ Ｐゴシック" w:hAnsi="ＭＳ Ｐゴシック" w:cs="ＭＳ Ｐゴシック"/>
          <w:b/>
          <w:bCs/>
          <w:kern w:val="0"/>
          <w:sz w:val="24"/>
        </w:rPr>
        <w:t>"Student/Academic Data"</w:t>
      </w:r>
      <w:r w:rsidRPr="006B0C74">
        <w:rPr>
          <w:rFonts w:ascii="ＭＳ Ｐゴシック" w:eastAsia="ＭＳ Ｐゴシック" w:hAnsi="ＭＳ Ｐゴシック" w:cs="ＭＳ Ｐゴシック"/>
          <w:kern w:val="0"/>
          <w:sz w:val="24"/>
        </w:rPr>
        <w:t xml:space="preserve"> and </w:t>
      </w:r>
      <w:r w:rsidRPr="006B0C74">
        <w:rPr>
          <w:rFonts w:ascii="ＭＳ Ｐゴシック" w:eastAsia="ＭＳ Ｐゴシック" w:hAnsi="ＭＳ Ｐゴシック" w:cs="ＭＳ Ｐゴシック"/>
          <w:b/>
          <w:bCs/>
          <w:kern w:val="0"/>
          <w:sz w:val="24"/>
        </w:rPr>
        <w:t>"Research/Publication Data"</w:t>
      </w:r>
      <w:r w:rsidRPr="006B0C74">
        <w:rPr>
          <w:rFonts w:ascii="ＭＳ Ｐゴシック" w:eastAsia="ＭＳ Ｐゴシック" w:hAnsi="ＭＳ Ｐゴシック" w:cs="ＭＳ Ｐゴシック"/>
          <w:kern w:val="0"/>
          <w:sz w:val="24"/>
        </w:rPr>
        <w:t xml:space="preserve"> such as LMS and learning behavior data, and also </w:t>
      </w:r>
      <w:r w:rsidRPr="006B0C74">
        <w:rPr>
          <w:rFonts w:ascii="ＭＳ Ｐゴシック" w:eastAsia="ＭＳ Ｐゴシック" w:hAnsi="ＭＳ Ｐゴシック" w:cs="ＭＳ Ｐゴシック"/>
          <w:b/>
          <w:bCs/>
          <w:kern w:val="0"/>
          <w:sz w:val="24"/>
        </w:rPr>
        <w:t>"LMS/Learning Behavior Data."</w:t>
      </w:r>
      <w:r w:rsidRPr="006B0C74">
        <w:rPr>
          <w:rFonts w:ascii="ＭＳ Ｐゴシック" w:eastAsia="ＭＳ Ｐゴシック" w:hAnsi="ＭＳ Ｐゴシック" w:cs="ＭＳ Ｐゴシック"/>
          <w:kern w:val="0"/>
          <w:sz w:val="24"/>
        </w:rPr>
        <w:t xml:space="preserve"> On the other hand, the former Tokyo Medical and Dental University handled unique and distinctive </w:t>
      </w:r>
      <w:r w:rsidRPr="006B0C74">
        <w:rPr>
          <w:rFonts w:ascii="ＭＳ Ｐゴシック" w:eastAsia="ＭＳ Ｐゴシック" w:hAnsi="ＭＳ Ｐゴシック" w:cs="ＭＳ Ｐゴシック"/>
          <w:b/>
          <w:bCs/>
          <w:kern w:val="0"/>
          <w:sz w:val="24"/>
        </w:rPr>
        <w:t>"Medical/Clinical Data."</w:t>
      </w:r>
      <w:r w:rsidRPr="006B0C74">
        <w:rPr>
          <w:rFonts w:ascii="ＭＳ Ｐゴシック" w:eastAsia="ＭＳ Ｐゴシック" w:hAnsi="ＭＳ Ｐゴシック" w:cs="ＭＳ Ｐゴシック"/>
          <w:kern w:val="0"/>
          <w:sz w:val="24"/>
        </w:rPr>
        <w:t xml:space="preserve"> Both universities commonly handled </w:t>
      </w:r>
      <w:r w:rsidRPr="006B0C74">
        <w:rPr>
          <w:rFonts w:ascii="ＭＳ Ｐゴシック" w:eastAsia="ＭＳ Ｐゴシック" w:hAnsi="ＭＳ Ｐゴシック" w:cs="ＭＳ Ｐゴシック"/>
          <w:b/>
          <w:bCs/>
          <w:kern w:val="0"/>
          <w:sz w:val="24"/>
        </w:rPr>
        <w:t>"Financial/Management Data."</w:t>
      </w:r>
      <w:r w:rsidRPr="006B0C74">
        <w:rPr>
          <w:rFonts w:ascii="ＭＳ Ｐゴシック" w:eastAsia="ＭＳ Ｐゴシック" w:hAnsi="ＭＳ Ｐゴシック" w:cs="ＭＳ Ｐゴシック"/>
          <w:kern w:val="0"/>
          <w:sz w:val="24"/>
        </w:rPr>
        <w:t xml:space="preserve"> From this chart, it is clear that before the integration, each university utilized different datasets tailored to their specialized fields.</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4: "Integration (Oct 2024)" Section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And in October 2024, the two IR organizations integrated.</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(3:00 - 3:30) This integration is more than just an organizational merger. With the fusion of engineering and medical knowledge, and the consolidation of previously separate data foundations, a more powerful and comprehensive Institutional Research Section has been born. This fusion allows for new analytical perspectives and the ability to address more complex challenges that were not possible before.</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5: "Institute of Science Tokyo Institutional Research Section: Current Activities" Section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What activities is the integrated Institute of Science Tokyo Institutional Research Section focusing on now?</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(3:30 - 4:30) The new Institutional Research Section's mission is to support and accelerate new value creation, such as </w:t>
      </w:r>
      <w:r w:rsidRPr="006B0C74">
        <w:rPr>
          <w:rFonts w:ascii="ＭＳ Ｐゴシック" w:eastAsia="ＭＳ Ｐゴシック" w:hAnsi="ＭＳ Ｐゴシック" w:cs="ＭＳ Ｐゴシック"/>
          <w:b/>
          <w:bCs/>
          <w:kern w:val="0"/>
          <w:sz w:val="24"/>
        </w:rPr>
        <w:t>"Medical-Engineering Collaboration"</w:t>
      </w:r>
      <w:r w:rsidRPr="006B0C74">
        <w:rPr>
          <w:rFonts w:ascii="ＭＳ Ｐゴシック" w:eastAsia="ＭＳ Ｐゴシック" w:hAnsi="ＭＳ Ｐゴシック" w:cs="ＭＳ Ｐゴシック"/>
          <w:kern w:val="0"/>
          <w:sz w:val="24"/>
        </w:rPr>
        <w:t xml:space="preserve"> and </w:t>
      </w:r>
      <w:r w:rsidRPr="006B0C74">
        <w:rPr>
          <w:rFonts w:ascii="ＭＳ Ｐゴシック" w:eastAsia="ＭＳ Ｐゴシック" w:hAnsi="ＭＳ Ｐゴシック" w:cs="ＭＳ Ｐゴシック"/>
          <w:b/>
          <w:bCs/>
          <w:kern w:val="0"/>
          <w:sz w:val="24"/>
        </w:rPr>
        <w:t>"Convergence Science,"</w:t>
      </w:r>
      <w:r w:rsidRPr="006B0C74">
        <w:rPr>
          <w:rFonts w:ascii="ＭＳ Ｐゴシック" w:eastAsia="ＭＳ Ｐゴシック" w:hAnsi="ＭＳ Ｐゴシック" w:cs="ＭＳ Ｐゴシック"/>
          <w:kern w:val="0"/>
          <w:sz w:val="24"/>
        </w:rPr>
        <w:t xml:space="preserve"> which fuse the strengths of both universities, using data.</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lastRenderedPageBreak/>
        <w:t xml:space="preserve">The horizontal bar chart shows the priority of the "New Activity Objectives" set by the current Institutional Research Section. The highest priority is </w:t>
      </w:r>
      <w:r w:rsidRPr="006B0C74">
        <w:rPr>
          <w:rFonts w:ascii="ＭＳ Ｐゴシック" w:eastAsia="ＭＳ Ｐゴシック" w:hAnsi="ＭＳ Ｐゴシック" w:cs="ＭＳ Ｐゴシック"/>
          <w:b/>
          <w:bCs/>
          <w:kern w:val="0"/>
          <w:sz w:val="24"/>
        </w:rPr>
        <w:t>"Promote Interdisciplinary Education/Research."</w:t>
      </w:r>
      <w:r w:rsidRPr="006B0C74">
        <w:rPr>
          <w:rFonts w:ascii="ＭＳ Ｐゴシック" w:eastAsia="ＭＳ Ｐゴシック" w:hAnsi="ＭＳ Ｐゴシック" w:cs="ＭＳ Ｐゴシック"/>
          <w:kern w:val="0"/>
          <w:sz w:val="24"/>
        </w:rPr>
        <w:t xml:space="preserve"> This means that IR will strongly support interdisciplinary fusion, a major goal for the integrated university, with data.</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Furthermore, specific activities include </w:t>
      </w:r>
      <w:r w:rsidRPr="006B0C74">
        <w:rPr>
          <w:rFonts w:ascii="ＭＳ Ｐゴシック" w:eastAsia="ＭＳ Ｐゴシック" w:hAnsi="ＭＳ Ｐゴシック" w:cs="ＭＳ Ｐゴシック"/>
          <w:b/>
          <w:bCs/>
          <w:kern w:val="0"/>
          <w:sz w:val="24"/>
        </w:rPr>
        <w:t>"Integrated Data Analysis,"</w:t>
      </w:r>
      <w:r w:rsidRPr="006B0C74">
        <w:rPr>
          <w:rFonts w:ascii="ＭＳ Ｐゴシック" w:eastAsia="ＭＳ Ｐゴシック" w:hAnsi="ＭＳ Ｐゴシック" w:cs="ＭＳ Ｐゴシック"/>
          <w:kern w:val="0"/>
          <w:sz w:val="24"/>
        </w:rPr>
        <w:t xml:space="preserve"> combining data from both universities; specialized </w:t>
      </w:r>
      <w:r w:rsidRPr="006B0C74">
        <w:rPr>
          <w:rFonts w:ascii="ＭＳ Ｐゴシック" w:eastAsia="ＭＳ Ｐゴシック" w:hAnsi="ＭＳ Ｐゴシック" w:cs="ＭＳ Ｐゴシック"/>
          <w:b/>
          <w:bCs/>
          <w:kern w:val="0"/>
          <w:sz w:val="24"/>
        </w:rPr>
        <w:t>"Strategic IR Consulting"</w:t>
      </w:r>
      <w:r w:rsidRPr="006B0C74">
        <w:rPr>
          <w:rFonts w:ascii="ＭＳ Ｐゴシック" w:eastAsia="ＭＳ Ｐゴシック" w:hAnsi="ＭＳ Ｐゴシック" w:cs="ＭＳ Ｐゴシック"/>
          <w:kern w:val="0"/>
          <w:sz w:val="24"/>
        </w:rPr>
        <w:t xml:space="preserve"> for various university departments; and supporting </w:t>
      </w:r>
      <w:r w:rsidRPr="006B0C74">
        <w:rPr>
          <w:rFonts w:ascii="ＭＳ Ｐゴシック" w:eastAsia="ＭＳ Ｐゴシック" w:hAnsi="ＭＳ Ｐゴシック" w:cs="ＭＳ Ｐゴシック"/>
          <w:b/>
          <w:bCs/>
          <w:kern w:val="0"/>
          <w:sz w:val="24"/>
        </w:rPr>
        <w:t>"Strengthening International Competitiveness"</w:t>
      </w:r>
      <w:r w:rsidRPr="006B0C74">
        <w:rPr>
          <w:rFonts w:ascii="ＭＳ Ｐゴシック" w:eastAsia="ＭＳ Ｐゴシック" w:hAnsi="ＭＳ Ｐゴシック" w:cs="ＭＳ Ｐゴシック"/>
          <w:kern w:val="0"/>
          <w:sz w:val="24"/>
        </w:rPr>
        <w:t xml:space="preserve"> and </w:t>
      </w:r>
      <w:r w:rsidRPr="006B0C74">
        <w:rPr>
          <w:rFonts w:ascii="ＭＳ Ｐゴシック" w:eastAsia="ＭＳ Ｐゴシック" w:hAnsi="ＭＳ Ｐゴシック" w:cs="ＭＳ Ｐゴシック"/>
          <w:b/>
          <w:bCs/>
          <w:kern w:val="0"/>
          <w:sz w:val="24"/>
        </w:rPr>
        <w:t>"Acceleration of Innovation Creation"</w:t>
      </w:r>
      <w:r w:rsidRPr="006B0C74">
        <w:rPr>
          <w:rFonts w:ascii="ＭＳ Ｐゴシック" w:eastAsia="ＭＳ Ｐゴシック" w:hAnsi="ＭＳ Ｐゴシック" w:cs="ＭＳ Ｐゴシック"/>
          <w:kern w:val="0"/>
          <w:sz w:val="24"/>
        </w:rPr>
        <w:t xml:space="preserve"> with data. Through these efforts, the section contributes to the efficient and effective overall operation of the university.</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Slide 6: Conclusion (Infographic Footer or Dedicated Summary Slide)</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b/>
          <w:bCs/>
          <w:kern w:val="0"/>
          <w:sz w:val="24"/>
        </w:rPr>
        <w:t>Presenter:</w:t>
      </w:r>
      <w:r w:rsidRPr="006B0C74">
        <w:rPr>
          <w:rFonts w:ascii="ＭＳ Ｐゴシック" w:eastAsia="ＭＳ Ｐゴシック" w:hAnsi="ＭＳ Ｐゴシック" w:cs="ＭＳ Ｐゴシック"/>
          <w:kern w:val="0"/>
          <w:sz w:val="24"/>
        </w:rPr>
        <w:t xml:space="preserve"> Our Institute of Science Tokyo Institutional Research Section is continuing to evolve, building upon the rich knowledge of the past through integration.</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 xml:space="preserve">(4:30 - 5:00) As the phrase </w:t>
      </w:r>
      <w:r w:rsidRPr="006B0C74">
        <w:rPr>
          <w:rFonts w:ascii="ＭＳ Ｐゴシック" w:eastAsia="ＭＳ Ｐゴシック" w:hAnsi="ＭＳ Ｐゴシック" w:cs="ＭＳ Ｐゴシック"/>
          <w:b/>
          <w:bCs/>
          <w:kern w:val="0"/>
          <w:sz w:val="24"/>
        </w:rPr>
        <w:t>"Data Weaving the Future"</w:t>
      </w:r>
      <w:r w:rsidRPr="006B0C74">
        <w:rPr>
          <w:rFonts w:ascii="ＭＳ Ｐゴシック" w:eastAsia="ＭＳ Ｐゴシック" w:hAnsi="ＭＳ Ｐゴシック" w:cs="ＭＳ Ｐゴシック"/>
          <w:kern w:val="0"/>
          <w:sz w:val="24"/>
        </w:rPr>
        <w:t xml:space="preserve"> suggests, we are strengthening the foundation for university education improvement and management strategy through data collection, analysis, and utilization. And, based on the philosophy of </w:t>
      </w:r>
      <w:r w:rsidRPr="006B0C74">
        <w:rPr>
          <w:rFonts w:ascii="ＭＳ Ｐゴシック" w:eastAsia="ＭＳ Ｐゴシック" w:hAnsi="ＭＳ Ｐゴシック" w:cs="ＭＳ Ｐゴシック"/>
          <w:b/>
          <w:bCs/>
          <w:kern w:val="0"/>
          <w:sz w:val="24"/>
        </w:rPr>
        <w:t>"Value Creation through Fusion,"</w:t>
      </w:r>
      <w:r w:rsidRPr="006B0C74">
        <w:rPr>
          <w:rFonts w:ascii="ＭＳ Ｐゴシック" w:eastAsia="ＭＳ Ｐゴシック" w:hAnsi="ＭＳ Ｐゴシック" w:cs="ＭＳ Ｐゴシック"/>
          <w:kern w:val="0"/>
          <w:sz w:val="24"/>
        </w:rPr>
        <w:t xml:space="preserve"> we will contribute to the creation of the university's future by not merely providing data, but by actively supporting decision-making and consulting.</w:t>
      </w:r>
    </w:p>
    <w:p w:rsidR="006B0C74" w:rsidRPr="006B0C74" w:rsidRDefault="006B0C74" w:rsidP="006B0C74">
      <w:pPr>
        <w:widowControl/>
        <w:spacing w:before="100" w:beforeAutospacing="1" w:after="100" w:afterAutospacing="1"/>
        <w:jc w:val="left"/>
        <w:rPr>
          <w:rFonts w:ascii="ＭＳ Ｐゴシック" w:eastAsia="ＭＳ Ｐゴシック" w:hAnsi="ＭＳ Ｐゴシック" w:cs="ＭＳ Ｐゴシック"/>
          <w:kern w:val="0"/>
          <w:sz w:val="24"/>
        </w:rPr>
      </w:pPr>
      <w:r w:rsidRPr="006B0C74">
        <w:rPr>
          <w:rFonts w:ascii="ＭＳ Ｐゴシック" w:eastAsia="ＭＳ Ｐゴシック" w:hAnsi="ＭＳ Ｐゴシック" w:cs="ＭＳ Ｐゴシック"/>
          <w:kern w:val="0"/>
          <w:sz w:val="24"/>
        </w:rPr>
        <w:t>Thank you for your attention.</w:t>
      </w:r>
    </w:p>
    <w:p w:rsidR="0089774D" w:rsidRPr="006B0C74" w:rsidRDefault="0089774D" w:rsidP="006B0C74"/>
    <w:sectPr w:rsidR="0089774D" w:rsidRPr="006B0C7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74"/>
    <w:rsid w:val="000D5B2F"/>
    <w:rsid w:val="006B0C74"/>
    <w:rsid w:val="0089774D"/>
    <w:rsid w:val="008A4032"/>
    <w:rsid w:val="00AA6A91"/>
    <w:rsid w:val="00BB5007"/>
    <w:rsid w:val="00CC7D56"/>
    <w:rsid w:val="00D16EB2"/>
    <w:rsid w:val="00E14389"/>
    <w:rsid w:val="00E53450"/>
    <w:rsid w:val="00FB6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331567"/>
  <w15:chartTrackingRefBased/>
  <w15:docId w15:val="{D21A3F88-CBCB-1148-A0C9-F5CC0642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0C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B0C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B0C7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B0C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B0C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B0C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B0C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B0C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B0C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B0C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B0C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B0C7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B0C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B0C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B0C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B0C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B0C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B0C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B0C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B0C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0C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B0C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0C74"/>
    <w:pPr>
      <w:spacing w:before="160" w:after="160"/>
      <w:jc w:val="center"/>
    </w:pPr>
    <w:rPr>
      <w:i/>
      <w:iCs/>
      <w:color w:val="404040" w:themeColor="text1" w:themeTint="BF"/>
    </w:rPr>
  </w:style>
  <w:style w:type="character" w:customStyle="1" w:styleId="a8">
    <w:name w:val="引用文 (文字)"/>
    <w:basedOn w:val="a0"/>
    <w:link w:val="a7"/>
    <w:uiPriority w:val="29"/>
    <w:rsid w:val="006B0C74"/>
    <w:rPr>
      <w:i/>
      <w:iCs/>
      <w:color w:val="404040" w:themeColor="text1" w:themeTint="BF"/>
    </w:rPr>
  </w:style>
  <w:style w:type="paragraph" w:styleId="a9">
    <w:name w:val="List Paragraph"/>
    <w:basedOn w:val="a"/>
    <w:uiPriority w:val="34"/>
    <w:qFormat/>
    <w:rsid w:val="006B0C74"/>
    <w:pPr>
      <w:ind w:left="720"/>
      <w:contextualSpacing/>
    </w:pPr>
  </w:style>
  <w:style w:type="character" w:styleId="21">
    <w:name w:val="Intense Emphasis"/>
    <w:basedOn w:val="a0"/>
    <w:uiPriority w:val="21"/>
    <w:qFormat/>
    <w:rsid w:val="006B0C74"/>
    <w:rPr>
      <w:i/>
      <w:iCs/>
      <w:color w:val="2F5496" w:themeColor="accent1" w:themeShade="BF"/>
    </w:rPr>
  </w:style>
  <w:style w:type="paragraph" w:styleId="22">
    <w:name w:val="Intense Quote"/>
    <w:basedOn w:val="a"/>
    <w:next w:val="a"/>
    <w:link w:val="23"/>
    <w:uiPriority w:val="30"/>
    <w:qFormat/>
    <w:rsid w:val="006B0C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6B0C74"/>
    <w:rPr>
      <w:i/>
      <w:iCs/>
      <w:color w:val="2F5496" w:themeColor="accent1" w:themeShade="BF"/>
    </w:rPr>
  </w:style>
  <w:style w:type="character" w:styleId="24">
    <w:name w:val="Intense Reference"/>
    <w:basedOn w:val="a0"/>
    <w:uiPriority w:val="32"/>
    <w:qFormat/>
    <w:rsid w:val="006B0C74"/>
    <w:rPr>
      <w:b/>
      <w:bCs/>
      <w:smallCaps/>
      <w:color w:val="2F5496" w:themeColor="accent1" w:themeShade="BF"/>
      <w:spacing w:val="5"/>
    </w:rPr>
  </w:style>
  <w:style w:type="character" w:customStyle="1" w:styleId="selected">
    <w:name w:val="selected"/>
    <w:basedOn w:val="a0"/>
    <w:rsid w:val="006B0C74"/>
  </w:style>
  <w:style w:type="paragraph" w:styleId="Web">
    <w:name w:val="Normal (Web)"/>
    <w:basedOn w:val="a"/>
    <w:uiPriority w:val="99"/>
    <w:semiHidden/>
    <w:unhideWhenUsed/>
    <w:rsid w:val="006B0C74"/>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9166">
      <w:bodyDiv w:val="1"/>
      <w:marLeft w:val="0"/>
      <w:marRight w:val="0"/>
      <w:marTop w:val="0"/>
      <w:marBottom w:val="0"/>
      <w:divBdr>
        <w:top w:val="none" w:sz="0" w:space="0" w:color="auto"/>
        <w:left w:val="none" w:sz="0" w:space="0" w:color="auto"/>
        <w:bottom w:val="none" w:sz="0" w:space="0" w:color="auto"/>
        <w:right w:val="none" w:sz="0" w:space="0" w:color="auto"/>
      </w:divBdr>
    </w:div>
    <w:div w:id="690880899">
      <w:bodyDiv w:val="1"/>
      <w:marLeft w:val="0"/>
      <w:marRight w:val="0"/>
      <w:marTop w:val="0"/>
      <w:marBottom w:val="0"/>
      <w:divBdr>
        <w:top w:val="none" w:sz="0" w:space="0" w:color="auto"/>
        <w:left w:val="none" w:sz="0" w:space="0" w:color="auto"/>
        <w:bottom w:val="none" w:sz="0" w:space="0" w:color="auto"/>
        <w:right w:val="none" w:sz="0" w:space="0" w:color="auto"/>
      </w:divBdr>
    </w:div>
    <w:div w:id="11869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4878</Characters>
  <Application>Microsoft Office Word</Application>
  <DocSecurity>0</DocSecurity>
  <Lines>40</Lines>
  <Paragraphs>11</Paragraphs>
  <ScaleCrop>false</ScaleCrop>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T20190023357</dc:creator>
  <cp:keywords/>
  <dc:description/>
  <cp:lastModifiedBy>T20190023357</cp:lastModifiedBy>
  <cp:revision>1</cp:revision>
  <cp:lastPrinted>2025-06-24T06:57:00Z</cp:lastPrinted>
  <dcterms:created xsi:type="dcterms:W3CDTF">2025-06-24T06:56:00Z</dcterms:created>
  <dcterms:modified xsi:type="dcterms:W3CDTF">2025-06-24T06:59:00Z</dcterms:modified>
</cp:coreProperties>
</file>