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CONFIDENTIAL</w:t>
      </w:r>
      <w:r w:rsidRPr="00944B56">
        <w:rPr>
          <w:lang w:val="fr-FR"/>
        </w:rPr>
        <w:tab/>
      </w:r>
      <w:r w:rsidRPr="00944B56">
        <w:rPr>
          <w:rFonts w:ascii="Cascadia Mono" w:eastAsia="Cascadia Mono" w:hAnsi="Cascadia Mono" w:cs="Cascadia Mono"/>
          <w:color w:val="546870"/>
          <w:sz w:val="16"/>
          <w:szCs w:val="16"/>
          <w:lang w:val="fr-FR"/>
        </w:rPr>
        <w:t xml:space="preserve">27 Aug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ARCHITECTURE DECISION RECORD</w:t>
      </w:r>
    </w:p>
    <w:p w14:paraId="7EE1FAED" w14:textId="77777777" w:rsidR="00BA565F" w:rsidRPr="00944B56" w:rsidRDefault="00D40E89">
      <w:pPr>
        <w:spacing w:after="480"/>
        <w:rPr>
          <w:lang w:val="fr-FR"/>
        </w:rPr>
      </w:pPr>
      <w:r w:rsidRPr="00944B56">
        <w:rPr>
          <w:color w:val="3A5762"/>
          <w:sz w:val="22"/>
          <w:szCs w:val="22"/>
          <w:lang w:val="fr-FR"/>
        </w:rPr>
        <w:t>Framework and Technology Selection</w:t>
      </w:r>
    </w:p>
    <w:p w14:paraId="3E6464D6" w14:textId="77777777" w:rsidR="00BA565F" w:rsidRDefault="00D40E89">
      <w:pPr>
        <w:spacing w:after="160"/>
      </w:pPr>
      <w:r>
        <w:rPr>
          <w:b/>
          <w:bCs/>
          <w:sz w:val="84"/>
          <w:szCs w:val="84"/>
        </w:rPr>
        <w:t>AI-Assisted Odoo Development Platform</w:t>
      </w:r>
    </w:p>
    <w:p w14:paraId="2C7D40A2" w14:textId="77777777" w:rsidR="00BA565F" w:rsidRDefault="00D40E89">
      <w:pPr>
        <w:spacing w:after="1800"/>
      </w:pPr>
      <w:r>
        <w:rPr>
          <w:i/>
          <w:iCs/>
          <w:color w:val="3A5762"/>
          <w:sz w:val="24"/>
          <w:szCs w:val="24"/>
        </w:rPr>
        <w:t>Framework and technology selection for the LinkedERP AI Development Agent portal: constraints, recommended stack, per-decision records, alternatives considered and risks.</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14:paraId="11570A4E" w14:textId="77777777" w:rsidR="00BA565F" w:rsidRDefault="00D40E89">
            <w:pPr>
              <w:spacing w:after="120"/>
            </w:pPr>
            <w:r>
              <w:rPr>
                <w:b/>
                <w:bCs/>
                <w:sz w:val="22"/>
                <w:szCs w:val="22"/>
              </w:rPr>
              <w:t xml:space="preserve">1.0</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Product Owner</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27 Aug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Initial issue.</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INTRODUCTION</w:t>
      </w:r>
    </w:p>
    <w:p>
      <w:pPr>
        <w:pStyle w:val="Heading1"/>
        <w:pBdr>
          <w:bottom w:val="single" w:sz="12" w:space="6" w:color="213840"/>
        </w:pBdr>
        <w:spacing w:before="0" w:after="240"/>
      </w:pPr>
      <w:r>
        <w:t xml:space="preserve">Introduction</w:t>
      </w:r>
    </w:p>
    <w:p>
      <w:pPr>
        <w:pStyle w:val="Normal"/>
        <w:jc w:val="both"/>
      </w:pPr>
      <w:r>
        <w:rPr>
          <w:sz w:val="22"/>
          <w:szCs w:val="22"/>
        </w:rPr>
        <w:t xml:space="preserve">This document records the framework and technology selection for building the LinkedERP AI Development Agent portal. It captures the constraints that drove the selection, the recommended stack, a decision record for each significant choice, the alternatives considered, and the principal risks with their mitigations.</w:t>
      </w:r>
    </w:p>
    <w:p>
      <w:pPr>
        <w:pStyle w:val="Normal"/>
        <w:jc w:val="both"/>
      </w:pPr>
      <w:r>
        <w:rPr>
          <w:sz w:val="22"/>
          <w:szCs w:val="22"/>
        </w:rPr>
        <w:t xml:space="preserve">The selection supersedes the indicative technology stack set out in the Technical Architecture Document version 1.1, which assumed a Python back end and a single AI provider. Those assumptions have since been revised: the build team is TypeScript-centred, the platform is to remain provider-agnostic, and control and security are the overriding priorities for the first release. The Technical Architecture will be updated to version 1.2 to reflect the decisions recorded here.</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This decision record supersedes the indicative stack in Technical Architecture v1.1. The architecture is updated to v1.2 to adopt these choices.</w:t>
            </w:r>
          </w:p>
        </w:tc>
      </w:tr>
    </w:tbl>
    <w:p>
      <w:pPr>
        <w:pStyle w:val="Normal"/>
        <w:jc w:val="both"/>
      </w:pPr>
      <w:r>
        <w:rPr>
          <w:sz w:val="22"/>
          <w:szCs w:val="22"/>
        </w:rPr>
        <w:t xml:space="preserve">In summary, the recommended stack is a TypeScript portal and back end built on Next.js and NestJS, a provider-agnostic model layer on the Vercel AI SDK, an agent lifecycle implemented as durable Temporal workflows, and per-task execution isolated in Firecracker microVMs, on PostgreSQL, Redis and HashiCorp Vault. Every component is self-hostable and provider-neutral.</w:t>
      </w:r>
    </w:p>
    <w:p>
      <w:pPr>
        <w:pageBreakBefore/>
        <w:spacing w:before="360" w:after="60"/>
      </w:pPr>
      <w:r>
        <w:rPr>
          <w:rFonts w:ascii="Cascadia Mono" w:eastAsia="Cascadia Mono" w:hAnsi="Cascadia Mono" w:cs="Cascadia Mono"/>
          <w:b/>
          <w:bCs/>
          <w:color w:val="EE2E24"/>
          <w:sz w:val="16"/>
          <w:szCs w:val="16"/>
        </w:rPr>
        <w:t>§ 03 · SELECTION DRIVERS AND CONSTRAINTS</w:t>
      </w:r>
    </w:p>
    <w:p>
      <w:pPr>
        <w:pStyle w:val="Heading1"/>
        <w:pBdr>
          <w:bottom w:val="single" w:sz="12" w:space="6" w:color="213840"/>
        </w:pBdr>
        <w:spacing w:before="0" w:after="240"/>
      </w:pPr>
      <w:r>
        <w:t xml:space="preserve">Selection Drivers and Constraints</w:t>
      </w:r>
    </w:p>
    <w:p>
      <w:pPr>
        <w:pStyle w:val="Normal"/>
        <w:jc w:val="both"/>
      </w:pPr>
      <w:r>
        <w:rPr>
          <w:sz w:val="22"/>
          <w:szCs w:val="22"/>
        </w:rPr>
        <w:t xml:space="preserve">Three constraints determined the selection. Each is stated below with its implication for the stack, and summarised in Table 1.</w:t>
      </w:r>
    </w:p>
    <w:p>
      <w:pPr>
        <w:pStyle w:val="Normal"/>
        <w:jc w:val="both"/>
      </w:pPr>
      <w:r>
        <w:rPr>
          <w:sz w:val="22"/>
          <w:szCs w:val="22"/>
        </w:rPr>
        <w:t xml:space="preserve">First, the build team is a TypeScript full-stack team. The portal, the API and the agent layer should therefore be TypeScript, with Python retained only where code must run alongside the Odoo runtime. Second, the platform is to standardise on a multi-provider model strategy: the design must remain provider-agnostic so that models can be swapped, including per-customer and including self-hosted open-weight models. Third, control and security are the overriding priority for the first release, which favours self-hostable, auditable components and stronger isolation over the fastest possible path to a demonstration.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DRIVER</w:t>
            </w:r>
          </w:p>
        </w:tc>
        <w:tc>
          <w:tcPr>
            <w:tcW w:w="4500" w:type="dxa"/>
            <w:shd w:val="clear" w:color="auto" w:fill="213840"/>
          </w:tcPr>
          <w:p>
            <w:r>
              <w:rPr>
                <w:rFonts w:ascii="Cascadia Mono" w:eastAsia="Cascadia Mono" w:hAnsi="Cascadia Mono" w:cs="Cascadia Mono"/>
                <w:b/>
                <w:bCs/>
                <w:color w:val="FFFFFF"/>
                <w:sz w:val="16"/>
                <w:szCs w:val="16"/>
              </w:rPr>
              <w:t xml:space="preserve">IMPLICATION FOR THE STACK</w:t>
            </w:r>
          </w:p>
        </w:tc>
      </w:tr>
      <w:tr>
        <w:tc>
          <w:tcPr>
            <w:tcW w:w="4500" w:type="dxa"/>
          </w:tcPr>
          <w:p>
            <w:r>
              <w:rPr>
                <w:sz w:val="18"/>
                <w:szCs w:val="18"/>
              </w:rPr>
              <w:t xml:space="preserve">TypeScript full-stack team</w:t>
            </w:r>
          </w:p>
        </w:tc>
        <w:tc>
          <w:tcPr>
            <w:tcW w:w="4500" w:type="dxa"/>
          </w:tcPr>
          <w:p>
            <w:r>
              <w:rPr>
                <w:sz w:val="18"/>
                <w:szCs w:val="18"/>
              </w:rPr>
              <w:t xml:space="preserve">TypeScript across the portal, API and agent layers; Python retained only beside the Odoo runtime</w:t>
            </w:r>
          </w:p>
        </w:tc>
      </w:tr>
      <w:tr>
        <w:tc>
          <w:tcPr>
            <w:tcW w:w="4500" w:type="dxa"/>
          </w:tcPr>
          <w:p>
            <w:r>
              <w:rPr>
                <w:sz w:val="18"/>
                <w:szCs w:val="18"/>
              </w:rPr>
              <w:t xml:space="preserve">Multi-provider model strategy</w:t>
            </w:r>
          </w:p>
        </w:tc>
        <w:tc>
          <w:tcPr>
            <w:tcW w:w="4500" w:type="dxa"/>
          </w:tcPr>
          <w:p>
            <w:r>
              <w:rPr>
                <w:sz w:val="18"/>
                <w:szCs w:val="18"/>
              </w:rPr>
              <w:t xml:space="preserve">A provider-agnostic model abstraction; no binding to a single vendor SDK</w:t>
            </w:r>
          </w:p>
        </w:tc>
      </w:tr>
      <w:tr>
        <w:tc>
          <w:tcPr>
            <w:tcW w:w="4500" w:type="dxa"/>
          </w:tcPr>
          <w:p>
            <w:r>
              <w:rPr>
                <w:sz w:val="18"/>
                <w:szCs w:val="18"/>
              </w:rPr>
              <w:t xml:space="preserve">Control and security first</w:t>
            </w:r>
          </w:p>
        </w:tc>
        <w:tc>
          <w:tcPr>
            <w:tcW w:w="4500" w:type="dxa"/>
          </w:tcPr>
          <w:p>
            <w:r>
              <w:rPr>
                <w:sz w:val="18"/>
                <w:szCs w:val="18"/>
              </w:rPr>
              <w:t xml:space="preserve">Self-hostable, auditable components; hardware-isolated execution; explicit orchestration over black-box frameworks</w:t>
            </w:r>
          </w:p>
        </w:tc>
      </w:tr>
    </w:tbl>
    <w:p>
      <w:pPr>
        <w:pStyle w:val="Caption"/>
      </w:pPr>
      <w:r>
        <w:rPr>
          <w:i/>
          <w:iCs/>
        </w:rPr>
        <w:t xml:space="preserve">Table 1: Selection drivers and their implications.</w:t>
      </w:r>
    </w:p>
    <w:p>
      <w:pPr>
        <w:pageBreakBefore/>
        <w:spacing w:before="360" w:after="60"/>
      </w:pPr>
      <w:r>
        <w:rPr>
          <w:rFonts w:ascii="Cascadia Mono" w:eastAsia="Cascadia Mono" w:hAnsi="Cascadia Mono" w:cs="Cascadia Mono"/>
          <w:b/>
          <w:bCs/>
          <w:color w:val="EE2E24"/>
          <w:sz w:val="16"/>
          <w:szCs w:val="16"/>
        </w:rPr>
        <w:t>§ 04 · RECOMMENDED STACK</w:t>
      </w:r>
    </w:p>
    <w:p>
      <w:pPr>
        <w:pStyle w:val="Heading1"/>
        <w:pBdr>
          <w:bottom w:val="single" w:sz="12" w:space="6" w:color="213840"/>
        </w:pBdr>
        <w:spacing w:before="0" w:after="240"/>
      </w:pPr>
      <w:r>
        <w:t xml:space="preserve">Recommended Technology Stack</w:t>
      </w:r>
    </w:p>
    <w:p>
      <w:pPr>
        <w:pStyle w:val="Normal"/>
        <w:jc w:val="both"/>
      </w:pPr>
      <w:r>
        <w:rPr>
          <w:sz w:val="22"/>
          <w:szCs w:val="22"/>
        </w:rPr>
        <w:t xml:space="preserve">The recommended stack is set out in Table 2. It is self-hostable end to end and neutral with respect to the AI provider.</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LAYER</w:t>
            </w:r>
          </w:p>
        </w:tc>
        <w:tc>
          <w:tcPr>
            <w:tcW w:w="3000" w:type="dxa"/>
            <w:shd w:val="clear" w:color="auto" w:fill="213840"/>
          </w:tcPr>
          <w:p>
            <w:r>
              <w:rPr>
                <w:rFonts w:ascii="Cascadia Mono" w:eastAsia="Cascadia Mono" w:hAnsi="Cascadia Mono" w:cs="Cascadia Mono"/>
                <w:b/>
                <w:bCs/>
                <w:color w:val="FFFFFF"/>
                <w:sz w:val="16"/>
                <w:szCs w:val="16"/>
              </w:rPr>
              <w:t xml:space="preserve">RECOMMENDATION</w:t>
            </w:r>
          </w:p>
        </w:tc>
        <w:tc>
          <w:tcPr>
            <w:tcW w:w="3000" w:type="dxa"/>
            <w:shd w:val="clear" w:color="auto" w:fill="213840"/>
          </w:tcPr>
          <w:p>
            <w:r>
              <w:rPr>
                <w:rFonts w:ascii="Cascadia Mono" w:eastAsia="Cascadia Mono" w:hAnsi="Cascadia Mono" w:cs="Cascadia Mono"/>
                <w:b/>
                <w:bCs/>
                <w:color w:val="FFFFFF"/>
                <w:sz w:val="16"/>
                <w:szCs w:val="16"/>
              </w:rPr>
              <w:t xml:space="preserve">ROLE</w:t>
            </w:r>
          </w:p>
        </w:tc>
      </w:tr>
      <w:tr>
        <w:tc>
          <w:tcPr>
            <w:tcW w:w="3000" w:type="dxa"/>
          </w:tcPr>
          <w:p>
            <w:r>
              <w:rPr>
                <w:sz w:val="18"/>
                <w:szCs w:val="18"/>
              </w:rPr>
              <w:t xml:space="preserve">Web portal</w:t>
            </w:r>
          </w:p>
        </w:tc>
        <w:tc>
          <w:tcPr>
            <w:tcW w:w="3000" w:type="dxa"/>
          </w:tcPr>
          <w:p>
            <w:r>
              <w:rPr>
                <w:sz w:val="18"/>
                <w:szCs w:val="18"/>
              </w:rPr>
              <w:t xml:space="preserve">Next.js (React, TypeScript)</w:t>
            </w:r>
          </w:p>
        </w:tc>
        <w:tc>
          <w:tcPr>
            <w:tcW w:w="3000" w:type="dxa"/>
          </w:tcPr>
          <w:p>
            <w:r>
              <w:rPr>
                <w:sz w:val="18"/>
                <w:szCs w:val="18"/>
              </w:rPr>
              <w:t xml:space="preserve">Agent workspace and management interface, on a self-hosted Node runtime</w:t>
            </w:r>
          </w:p>
        </w:tc>
      </w:tr>
      <w:tr>
        <w:tc>
          <w:tcPr>
            <w:tcW w:w="3000" w:type="dxa"/>
          </w:tcPr>
          <w:p>
            <w:r>
              <w:rPr>
                <w:sz w:val="18"/>
                <w:szCs w:val="18"/>
              </w:rPr>
              <w:t xml:space="preserve">API and domain services</w:t>
            </w:r>
          </w:p>
        </w:tc>
        <w:tc>
          <w:tcPr>
            <w:tcW w:w="3000" w:type="dxa"/>
          </w:tcPr>
          <w:p>
            <w:r>
              <w:rPr>
                <w:sz w:val="18"/>
                <w:szCs w:val="18"/>
              </w:rPr>
              <w:t xml:space="preserve">NestJS (TypeScript)</w:t>
            </w:r>
          </w:p>
        </w:tc>
        <w:tc>
          <w:tcPr>
            <w:tcW w:w="3000" w:type="dxa"/>
          </w:tcPr>
          <w:p>
            <w:r>
              <w:rPr>
                <w:sz w:val="18"/>
                <w:szCs w:val="18"/>
              </w:rPr>
              <w:t xml:space="preserve">Request handling, permission enforcement, audit and orchestration entry</w:t>
            </w:r>
          </w:p>
        </w:tc>
      </w:tr>
      <w:tr>
        <w:tc>
          <w:tcPr>
            <w:tcW w:w="3000" w:type="dxa"/>
          </w:tcPr>
          <w:p>
            <w:r>
              <w:rPr>
                <w:sz w:val="18"/>
                <w:szCs w:val="18"/>
              </w:rPr>
              <w:t xml:space="preserve">Model abstraction</w:t>
            </w:r>
          </w:p>
        </w:tc>
        <w:tc>
          <w:tcPr>
            <w:tcW w:w="3000" w:type="dxa"/>
          </w:tcPr>
          <w:p>
            <w:r>
              <w:rPr>
                <w:sz w:val="18"/>
                <w:szCs w:val="18"/>
              </w:rPr>
              <w:t xml:space="preserve">Vercel AI SDK 7</w:t>
            </w:r>
          </w:p>
        </w:tc>
        <w:tc>
          <w:tcPr>
            <w:tcW w:w="3000" w:type="dxa"/>
          </w:tcPr>
          <w:p>
            <w:r>
              <w:rPr>
                <w:sz w:val="18"/>
                <w:szCs w:val="18"/>
              </w:rPr>
              <w:t xml:space="preserve">Provider-agnostic interface to hosted and self-hosted models</w:t>
            </w:r>
          </w:p>
        </w:tc>
      </w:tr>
      <w:tr>
        <w:tc>
          <w:tcPr>
            <w:tcW w:w="3000" w:type="dxa"/>
          </w:tcPr>
          <w:p>
            <w:r>
              <w:rPr>
                <w:sz w:val="18"/>
                <w:szCs w:val="18"/>
              </w:rPr>
              <w:t xml:space="preserve">Agent orchestration</w:t>
            </w:r>
          </w:p>
        </w:tc>
        <w:tc>
          <w:tcPr>
            <w:tcW w:w="3000" w:type="dxa"/>
          </w:tcPr>
          <w:p>
            <w:r>
              <w:rPr>
                <w:sz w:val="18"/>
                <w:szCs w:val="18"/>
              </w:rPr>
              <w:t xml:space="preserve">AI SDK tool loop with explicit Temporal workflows</w:t>
            </w:r>
          </w:p>
        </w:tc>
        <w:tc>
          <w:tcPr>
            <w:tcW w:w="3000" w:type="dxa"/>
          </w:tcPr>
          <w:p>
            <w:r>
              <w:rPr>
                <w:sz w:val="18"/>
                <w:szCs w:val="18"/>
              </w:rPr>
              <w:t xml:space="preserve">The understand, plan and act loop and the task lifecycle</w:t>
            </w:r>
          </w:p>
        </w:tc>
      </w:tr>
      <w:tr>
        <w:tc>
          <w:tcPr>
            <w:tcW w:w="3000" w:type="dxa"/>
          </w:tcPr>
          <w:p>
            <w:r>
              <w:rPr>
                <w:sz w:val="18"/>
                <w:szCs w:val="18"/>
              </w:rPr>
              <w:t xml:space="preserve">Durable execution</w:t>
            </w:r>
          </w:p>
        </w:tc>
        <w:tc>
          <w:tcPr>
            <w:tcW w:w="3000" w:type="dxa"/>
          </w:tcPr>
          <w:p>
            <w:r>
              <w:rPr>
                <w:sz w:val="18"/>
                <w:szCs w:val="18"/>
              </w:rPr>
              <w:t xml:space="preserve">Temporal (self-hosted)</w:t>
            </w:r>
          </w:p>
        </w:tc>
        <w:tc>
          <w:tcPr>
            <w:tcW w:w="3000" w:type="dxa"/>
          </w:tcPr>
          <w:p>
            <w:r>
              <w:rPr>
                <w:sz w:val="18"/>
                <w:szCs w:val="18"/>
              </w:rPr>
              <w:t xml:space="preserve">Long-running task state machine and approval pauses, with deterministic replay for audit</w:t>
            </w:r>
          </w:p>
        </w:tc>
      </w:tr>
      <w:tr>
        <w:tc>
          <w:tcPr>
            <w:tcW w:w="3000" w:type="dxa"/>
          </w:tcPr>
          <w:p>
            <w:r>
              <w:rPr>
                <w:sz w:val="18"/>
                <w:szCs w:val="18"/>
              </w:rPr>
              <w:t xml:space="preserve">Workspace isolation</w:t>
            </w:r>
          </w:p>
        </w:tc>
        <w:tc>
          <w:tcPr>
            <w:tcW w:w="3000" w:type="dxa"/>
          </w:tcPr>
          <w:p>
            <w:r>
              <w:rPr>
                <w:sz w:val="18"/>
                <w:szCs w:val="18"/>
              </w:rPr>
              <w:t xml:space="preserve">Firecracker microVMs (Kata Containers on Kubernetes)</w:t>
            </w:r>
          </w:p>
        </w:tc>
        <w:tc>
          <w:tcPr>
            <w:tcW w:w="3000" w:type="dxa"/>
          </w:tcPr>
          <w:p>
            <w:r>
              <w:rPr>
                <w:sz w:val="18"/>
                <w:szCs w:val="18"/>
              </w:rPr>
              <w:t xml:space="preserve">Hardware-isolated, per-task execution of untrusted code</w:t>
            </w:r>
          </w:p>
        </w:tc>
      </w:tr>
      <w:tr>
        <w:tc>
          <w:tcPr>
            <w:tcW w:w="3000" w:type="dxa"/>
          </w:tcPr>
          <w:p>
            <w:r>
              <w:rPr>
                <w:sz w:val="18"/>
                <w:szCs w:val="18"/>
              </w:rPr>
              <w:t xml:space="preserve">Queue and realtime</w:t>
            </w:r>
          </w:p>
        </w:tc>
        <w:tc>
          <w:tcPr>
            <w:tcW w:w="3000" w:type="dxa"/>
          </w:tcPr>
          <w:p>
            <w:r>
              <w:rPr>
                <w:sz w:val="18"/>
                <w:szCs w:val="18"/>
              </w:rPr>
              <w:t xml:space="preserve">Redis (BullMQ and pub/sub)</w:t>
            </w:r>
          </w:p>
        </w:tc>
        <w:tc>
          <w:tcPr>
            <w:tcW w:w="3000" w:type="dxa"/>
          </w:tcPr>
          <w:p>
            <w:r>
              <w:rPr>
                <w:sz w:val="18"/>
                <w:szCs w:val="18"/>
              </w:rPr>
              <w:t xml:space="preserve">Lightweight jobs and WebSocket event fan-out</w:t>
            </w:r>
          </w:p>
        </w:tc>
      </w:tr>
      <w:tr>
        <w:tc>
          <w:tcPr>
            <w:tcW w:w="3000" w:type="dxa"/>
          </w:tcPr>
          <w:p>
            <w:r>
              <w:rPr>
                <w:sz w:val="18"/>
                <w:szCs w:val="18"/>
              </w:rPr>
              <w:t xml:space="preserve">Database and ORM</w:t>
            </w:r>
          </w:p>
        </w:tc>
        <w:tc>
          <w:tcPr>
            <w:tcW w:w="3000" w:type="dxa"/>
          </w:tcPr>
          <w:p>
            <w:r>
              <w:rPr>
                <w:sz w:val="18"/>
                <w:szCs w:val="18"/>
              </w:rPr>
              <w:t xml:space="preserve">PostgreSQL with Drizzle ORM</w:t>
            </w:r>
          </w:p>
        </w:tc>
        <w:tc>
          <w:tcPr>
            <w:tcW w:w="3000" w:type="dxa"/>
          </w:tcPr>
          <w:p>
            <w:r>
              <w:rPr>
                <w:sz w:val="18"/>
                <w:szCs w:val="18"/>
              </w:rPr>
              <w:t xml:space="preserve">Persistent, type-safe, auditable store</w:t>
            </w:r>
          </w:p>
        </w:tc>
      </w:tr>
      <w:tr>
        <w:tc>
          <w:tcPr>
            <w:tcW w:w="3000" w:type="dxa"/>
          </w:tcPr>
          <w:p>
            <w:r>
              <w:rPr>
                <w:sz w:val="18"/>
                <w:szCs w:val="18"/>
              </w:rPr>
              <w:t xml:space="preserve">Secret management</w:t>
            </w:r>
          </w:p>
        </w:tc>
        <w:tc>
          <w:tcPr>
            <w:tcW w:w="3000" w:type="dxa"/>
          </w:tcPr>
          <w:p>
            <w:r>
              <w:rPr>
                <w:sz w:val="18"/>
                <w:szCs w:val="18"/>
              </w:rPr>
              <w:t xml:space="preserve">HashiCorp Vault, per-project keys</w:t>
            </w:r>
          </w:p>
        </w:tc>
        <w:tc>
          <w:tcPr>
            <w:tcW w:w="3000" w:type="dxa"/>
          </w:tcPr>
          <w:p>
            <w:r>
              <w:rPr>
                <w:sz w:val="18"/>
                <w:szCs w:val="18"/>
              </w:rPr>
              <w:t xml:space="preserve">Encrypted credential storage and key custody</w:t>
            </w:r>
          </w:p>
        </w:tc>
      </w:tr>
      <w:tr>
        <w:tc>
          <w:tcPr>
            <w:tcW w:w="3000" w:type="dxa"/>
          </w:tcPr>
          <w:p>
            <w:r>
              <w:rPr>
                <w:sz w:val="18"/>
                <w:szCs w:val="18"/>
              </w:rPr>
              <w:t xml:space="preserve">Identity and access</w:t>
            </w:r>
          </w:p>
        </w:tc>
        <w:tc>
          <w:tcPr>
            <w:tcW w:w="3000" w:type="dxa"/>
          </w:tcPr>
          <w:p>
            <w:r>
              <w:rPr>
                <w:sz w:val="18"/>
                <w:szCs w:val="18"/>
              </w:rPr>
              <w:t xml:space="preserve">OAuth and JWT via Keycloak or Ory</w:t>
            </w:r>
          </w:p>
        </w:tc>
        <w:tc>
          <w:tcPr>
            <w:tcW w:w="3000" w:type="dxa"/>
          </w:tcPr>
          <w:p>
            <w:r>
              <w:rPr>
                <w:sz w:val="18"/>
                <w:szCs w:val="18"/>
              </w:rPr>
              <w:t xml:space="preserve">Authentication and access control</w:t>
            </w:r>
          </w:p>
        </w:tc>
      </w:tr>
      <w:tr>
        <w:tc>
          <w:tcPr>
            <w:tcW w:w="3000" w:type="dxa"/>
          </w:tcPr>
          <w:p>
            <w:r>
              <w:rPr>
                <w:sz w:val="18"/>
                <w:szCs w:val="18"/>
              </w:rPr>
              <w:t xml:space="preserve">On-premise connector</w:t>
            </w:r>
          </w:p>
        </w:tc>
        <w:tc>
          <w:tcPr>
            <w:tcW w:w="3000" w:type="dxa"/>
          </w:tcPr>
          <w:p>
            <w:r>
              <w:rPr>
                <w:sz w:val="18"/>
                <w:szCs w:val="18"/>
              </w:rPr>
              <w:t xml:space="preserve">Python</w:t>
            </w:r>
          </w:p>
        </w:tc>
        <w:tc>
          <w:tcPr>
            <w:tcW w:w="3000" w:type="dxa"/>
          </w:tcPr>
          <w:p>
            <w:r>
              <w:rPr>
                <w:sz w:val="18"/>
                <w:szCs w:val="18"/>
              </w:rPr>
              <w:t xml:space="preserve">Runs beside the Odoo runtime on the customer server</w:t>
            </w:r>
          </w:p>
        </w:tc>
      </w:tr>
    </w:tbl>
    <w:p>
      <w:pPr>
        <w:pStyle w:val="Caption"/>
      </w:pPr>
      <w:r>
        <w:rPr>
          <w:i/>
          <w:iCs/>
        </w:rPr>
        <w:t xml:space="preserve">Table 2: Recommended technology stack.</w:t>
      </w:r>
    </w:p>
    <w:p>
      <w:pPr>
        <w:pageBreakBefore/>
        <w:spacing w:before="360" w:after="60"/>
      </w:pPr>
      <w:r>
        <w:rPr>
          <w:rFonts w:ascii="Cascadia Mono" w:eastAsia="Cascadia Mono" w:hAnsi="Cascadia Mono" w:cs="Cascadia Mono"/>
          <w:b/>
          <w:bCs/>
          <w:color w:val="EE2E24"/>
          <w:sz w:val="16"/>
          <w:szCs w:val="16"/>
        </w:rPr>
        <w:t>§ 05 · DECISION RECORDS</w:t>
      </w:r>
    </w:p>
    <w:p>
      <w:pPr>
        <w:pStyle w:val="Heading1"/>
        <w:pBdr>
          <w:bottom w:val="single" w:sz="12" w:space="6" w:color="213840"/>
        </w:pBdr>
        <w:spacing w:before="0" w:after="240"/>
      </w:pPr>
      <w:r>
        <w:t xml:space="preserve">Decision Records</w:t>
      </w:r>
    </w:p>
    <w:p>
      <w:pPr>
        <w:pStyle w:val="Normal"/>
        <w:jc w:val="both"/>
      </w:pPr>
      <w:r>
        <w:rPr>
          <w:sz w:val="22"/>
          <w:szCs w:val="22"/>
        </w:rPr>
        <w:t xml:space="preserve">Each significant decision is recorded below with its context, the decision taken, and its consequences. Rejected alternatives are consolidated in the following chapter.</w:t>
      </w:r>
    </w:p>
    <w:p>
      <w:pPr>
        <w:pStyle w:val="Heading2"/>
      </w:pPr>
      <w:r>
        <w:t xml:space="preserve">ADR-01 — Web Portal Framework</w:t>
      </w:r>
    </w:p>
    <w:p>
      <w:pPr>
        <w:pStyle w:val="Normal"/>
        <w:jc w:val="both"/>
      </w:pPr>
      <w:r>
        <w:rPr>
          <w:sz w:val="22"/>
          <w:szCs w:val="22"/>
        </w:rPr>
        <w:t xml:space="preserve">The portal presents the agent workspace, project management and approval surfaces, and must be maintainable by a TypeScript team and self-hostable. Next.js on React is the mainstream choice for this profile and runs on a self-hosted Node runtime without dependence on a particular hosting provider. It is adopted for the portal. The consequence is a single front-end framework the team already knows, with server-side rendering available where useful and a large component ecosystem.</w:t>
      </w:r>
    </w:p>
    <w:p>
      <w:pPr>
        <w:pStyle w:val="Heading2"/>
      </w:pPr>
      <w:r>
        <w:t xml:space="preserve">ADR-02 — API and Domain Services Framework</w:t>
      </w:r>
    </w:p>
    <w:p>
      <w:pPr>
        <w:pStyle w:val="Normal"/>
        <w:jc w:val="both"/>
      </w:pPr>
      <w:r>
        <w:rPr>
          <w:sz w:val="22"/>
          <w:szCs w:val="22"/>
        </w:rPr>
        <w:t xml:space="preserve">The back end concentrates the permission enforcement, audit and orchestration logic, which benefits from an opinionated, modular structure. NestJS provides dependency injection, guards and interceptors that map directly onto the permission and audit model, and is adopted for the API and domain services in preference to unstructured Next.js API routes or the lighter Fastify and Hono frameworks. The consequence is a consistent, testable structure for security-critical code, at the cost of more ceremony than a minimal framework.</w:t>
      </w:r>
    </w:p>
    <w:p>
      <w:pPr>
        <w:pStyle w:val="Heading2"/>
      </w:pPr>
      <w:r>
        <w:t xml:space="preserve">ADR-03 — Model Abstraction Layer</w:t>
      </w:r>
    </w:p>
    <w:p>
      <w:pPr>
        <w:pStyle w:val="Normal"/>
        <w:jc w:val="both"/>
      </w:pPr>
      <w:r>
        <w:rPr>
          <w:sz w:val="22"/>
          <w:szCs w:val="22"/>
        </w:rPr>
        <w:t xml:space="preserve">The multi-provider mandate requires that no single vendor SDK be embedded in the codebase. The Vercel AI SDK provides a provider-agnostic TypeScript interface across hosted providers and OpenAI-compatible self-hosted endpoints, with tool-calling and human-in-the-loop support, and operates independently of Vercel hosting. It is adopted as the model abstraction. The consequence is that a customer who forbids external AI can be served by a local open-weight model behind the same interface, and providers can be changed without touching domain logic.</w:t>
      </w:r>
    </w:p>
    <w:p>
      <w:pPr>
        <w:pStyle w:val="Heading2"/>
      </w:pPr>
      <w:r>
        <w:t xml:space="preserve">ADR-04 — Agent Orchestration Approach</w:t>
      </w:r>
    </w:p>
    <w:p>
      <w:pPr>
        <w:pStyle w:val="Normal"/>
        <w:jc w:val="both"/>
      </w:pPr>
      <w:r>
        <w:rPr>
          <w:sz w:val="22"/>
          <w:szCs w:val="22"/>
        </w:rPr>
        <w:t xml:space="preserve">The agent's reasoning loop and task lifecycle can be built on a higher-level agent framework or assembled explicitly. Given the priority on control and auditability, the agent loop is assembled explicitly on the model abstraction and driven by durable workflows, rather than delegated to a black-box framework. Mastra remains a supported fallback should more batteries be wanted later, as it sits on the same model abstraction and is self-hostable without observability lock-in. The consequence is maximum transparency over the agent's behaviour, at the cost of building some orchestration that a framework would otherwise provide.</w:t>
      </w:r>
    </w:p>
    <w:p>
      <w:pPr>
        <w:pStyle w:val="Heading2"/>
      </w:pPr>
      <w:r>
        <w:t xml:space="preserve">ADR-05 — Durable Execution Engine</w:t>
      </w:r>
    </w:p>
    <w:p>
      <w:pPr>
        <w:pStyle w:val="Normal"/>
        <w:jc w:val="both"/>
      </w:pPr>
      <w:r>
        <w:rPr>
          <w:sz w:val="22"/>
          <w:szCs w:val="22"/>
        </w:rPr>
        <w:t xml:space="preserve">AI tasks are long-running and include an explicit wait for human approval, which is fragile to implement on a plain job queue. Temporal provides durable, resumable workflows with suspend-and-resume primitives for approval and deterministic replay that doubles as an audit trail; it is self-hostable and proven at scale. It is adopted for the task lifecycle. Restate is recorded as a lighter single-binary alternative if operational simplicity is preferred over Temporal's maturity. The consequence is that the task state machine and approval pauses become native platform primitives, at the cost of operating a Temporal deployment.</w:t>
      </w:r>
    </w:p>
    <w:p>
      <w:pPr>
        <w:pStyle w:val="Heading2"/>
      </w:pPr>
      <w:r>
        <w:t xml:space="preserve">ADR-06 — Workspace Isolation</w:t>
      </w:r>
    </w:p>
    <w:p>
      <w:pPr>
        <w:pStyle w:val="Normal"/>
        <w:jc w:val="both"/>
      </w:pPr>
      <w:r>
        <w:rPr>
          <w:sz w:val="22"/>
          <w:szCs w:val="22"/>
        </w:rPr>
        <w:t xml:space="preserve">Each task executes AI-generated code, which must be treated as untrusted. Plain Docker containers share the host kernel and are unsuitable for untrusted code, since a kernel flaw or misconfiguration can allow container escape. Firecracker microVMs provide hardware-enforced isolation with a separate kernel per task at low overhead, and are adopted for workspace execution, deployed through Kata Containers where the platform runs on Kubernetes. gVisor is recorded as a lighter interim option. The consequence is isolation proportionate to the zero-trust posture, at the cost of additional provisioning and networking engineering.</w:t>
      </w:r>
    </w:p>
    <w:p>
      <w:pPr>
        <w:pStyle w:val="Heading2"/>
      </w:pPr>
      <w:r>
        <w:t xml:space="preserve">ADR-07 — Datastore and ORM</w:t>
      </w:r>
    </w:p>
    <w:p>
      <w:pPr>
        <w:pStyle w:val="Normal"/>
        <w:jc w:val="both"/>
      </w:pPr>
      <w:r>
        <w:rPr>
          <w:sz w:val="22"/>
          <w:szCs w:val="22"/>
        </w:rPr>
        <w:t xml:space="preserve">The platform requires a reliable relational store for users, projects, tasks, actions and audit records. PostgreSQL is adopted, with Drizzle as the ORM for its lightweight, SQL-first and type-safe model, which favours auditability; Prisma is recorded as an acceptable alternative. The consequence is type safety from the database to the API with transparent SQL.</w:t>
      </w:r>
    </w:p>
    <w:p>
      <w:pPr>
        <w:pStyle w:val="Heading2"/>
      </w:pPr>
      <w:r>
        <w:t xml:space="preserve">ADR-08 — Secret Management and Key Custody</w:t>
      </w:r>
    </w:p>
    <w:p>
      <w:pPr>
        <w:pStyle w:val="Normal"/>
        <w:jc w:val="both"/>
      </w:pPr>
      <w:r>
        <w:rPr>
          <w:sz w:val="22"/>
          <w:szCs w:val="22"/>
        </w:rPr>
        <w:t xml:space="preserve">The data-sovereignty model requires encrypted credential storage, per-project keys and keys that are never hardcoded. HashiCorp Vault is adopted as the self-hostable secret manager, with a unique key per project so that a compromise of one project does not expose another, while the primary database holds only references. The consequence is that the platform realises the encryption and key-custody requirements defined in the architecture.</w:t>
      </w:r>
    </w:p>
    <w:p>
      <w:pPr>
        <w:pStyle w:val="Heading2"/>
      </w:pPr>
      <w:r>
        <w:t xml:space="preserve">ADR-09 — Identity and Access</w:t>
      </w:r>
    </w:p>
    <w:p>
      <w:pPr>
        <w:pStyle w:val="Normal"/>
        <w:jc w:val="both"/>
      </w:pPr>
      <w:r>
        <w:rPr>
          <w:sz w:val="22"/>
          <w:szCs w:val="22"/>
        </w:rPr>
        <w:t xml:space="preserve">Authentication supports email and password, OAuth and JWT access tokens, layered from organisation to tool. A self-hostable identity provider such as Keycloak or Ory is adopted to keep identity under the platform's control. The consequence is standards-based authentication without dependence on an external identity service.</w:t>
      </w:r>
    </w:p>
    <w:p>
      <w:pPr>
        <w:pStyle w:val="Heading2"/>
      </w:pPr>
      <w:r>
        <w:t xml:space="preserve">ADR-10 — On-Premise Connector Language</w:t>
      </w:r>
    </w:p>
    <w:p>
      <w:pPr>
        <w:pStyle w:val="Normal"/>
        <w:jc w:val="both"/>
      </w:pPr>
      <w:r>
        <w:rPr>
          <w:sz w:val="22"/>
          <w:szCs w:val="22"/>
        </w:rPr>
        <w:t xml:space="preserve">The on-premise connector runs on the customer server beside Odoo and must interoperate with the Odoo runtime, which is Python. The connector is therefore retained in Python even though the platform is otherwise TypeScript. The consequence is a justified polyglot boundary: the connector speaks a language-neutral, contract-first protocol to the platform, so the platform side remains fully TypeScript.</w:t>
      </w:r>
    </w:p>
    <w:p>
      <w:pPr>
        <w:pageBreakBefore/>
        <w:spacing w:before="360" w:after="60"/>
      </w:pPr>
      <w:r>
        <w:rPr>
          <w:rFonts w:ascii="Cascadia Mono" w:eastAsia="Cascadia Mono" w:hAnsi="Cascadia Mono" w:cs="Cascadia Mono"/>
          <w:b/>
          <w:bCs/>
          <w:color w:val="EE2E24"/>
          <w:sz w:val="16"/>
          <w:szCs w:val="16"/>
        </w:rPr>
        <w:t>§ 06 · ALTERNATIVES CONSIDERED</w:t>
      </w:r>
    </w:p>
    <w:p>
      <w:pPr>
        <w:pStyle w:val="Heading1"/>
        <w:pBdr>
          <w:bottom w:val="single" w:sz="12" w:space="6" w:color="213840"/>
        </w:pBdr>
        <w:spacing w:before="0" w:after="240"/>
      </w:pPr>
      <w:r>
        <w:t xml:space="preserve">Alternatives Considered</w:t>
      </w:r>
    </w:p>
    <w:p>
      <w:pPr>
        <w:pStyle w:val="Normal"/>
        <w:jc w:val="both"/>
      </w:pPr>
      <w:r>
        <w:rPr>
          <w:sz w:val="22"/>
          <w:szCs w:val="22"/>
        </w:rPr>
        <w:t xml:space="preserve">The principal alternatives evaluated and the reasons they were not selected are consolidated in Table 3. None is disqualified in absolute terms; each is a reasonable choice under different constraints.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2250"/>
        <w:gridCol w:w="2250"/>
        <w:gridCol w:w="2250"/>
        <w:gridCol w:w="2250"/>
      </w:tblGrid>
      <w:tr>
        <w:trPr>
          <w:tblHeader/>
        </w:trPr>
        <w:tc>
          <w:tcPr>
            <w:tcW w:w="2250" w:type="dxa"/>
            <w:shd w:val="clear" w:color="auto" w:fill="213840"/>
          </w:tcPr>
          <w:p>
            <w:r>
              <w:rPr>
                <w:rFonts w:ascii="Cascadia Mono" w:eastAsia="Cascadia Mono" w:hAnsi="Cascadia Mono" w:cs="Cascadia Mono"/>
                <w:b/>
                <w:bCs/>
                <w:color w:val="FFFFFF"/>
                <w:sz w:val="16"/>
                <w:szCs w:val="16"/>
              </w:rPr>
              <w:t xml:space="preserve">LAYER</w:t>
            </w:r>
          </w:p>
        </w:tc>
        <w:tc>
          <w:tcPr>
            <w:tcW w:w="2250" w:type="dxa"/>
            <w:shd w:val="clear" w:color="auto" w:fill="213840"/>
          </w:tcPr>
          <w:p>
            <w:r>
              <w:rPr>
                <w:rFonts w:ascii="Cascadia Mono" w:eastAsia="Cascadia Mono" w:hAnsi="Cascadia Mono" w:cs="Cascadia Mono"/>
                <w:b/>
                <w:bCs/>
                <w:color w:val="FFFFFF"/>
                <w:sz w:val="16"/>
                <w:szCs w:val="16"/>
              </w:rPr>
              <w:t xml:space="preserve">CHOSEN</w:t>
            </w:r>
          </w:p>
        </w:tc>
        <w:tc>
          <w:tcPr>
            <w:tcW w:w="2250" w:type="dxa"/>
            <w:shd w:val="clear" w:color="auto" w:fill="213840"/>
          </w:tcPr>
          <w:p>
            <w:r>
              <w:rPr>
                <w:rFonts w:ascii="Cascadia Mono" w:eastAsia="Cascadia Mono" w:hAnsi="Cascadia Mono" w:cs="Cascadia Mono"/>
                <w:b/>
                <w:bCs/>
                <w:color w:val="FFFFFF"/>
                <w:sz w:val="16"/>
                <w:szCs w:val="16"/>
              </w:rPr>
              <w:t xml:space="preserve">NOTABLE ALTERNATIVES</w:t>
            </w:r>
          </w:p>
        </w:tc>
        <w:tc>
          <w:tcPr>
            <w:tcW w:w="2250" w:type="dxa"/>
            <w:shd w:val="clear" w:color="auto" w:fill="213840"/>
          </w:tcPr>
          <w:p>
            <w:r>
              <w:rPr>
                <w:rFonts w:ascii="Cascadia Mono" w:eastAsia="Cascadia Mono" w:hAnsi="Cascadia Mono" w:cs="Cascadia Mono"/>
                <w:b/>
                <w:bCs/>
                <w:color w:val="FFFFFF"/>
                <w:sz w:val="16"/>
                <w:szCs w:val="16"/>
              </w:rPr>
              <w:t xml:space="preserve">REASON NOT SELECTED</w:t>
            </w:r>
          </w:p>
        </w:tc>
      </w:tr>
      <w:tr>
        <w:tc>
          <w:tcPr>
            <w:tcW w:w="2250" w:type="dxa"/>
          </w:tcPr>
          <w:p>
            <w:r>
              <w:rPr>
                <w:sz w:val="18"/>
                <w:szCs w:val="18"/>
              </w:rPr>
              <w:t xml:space="preserve">Model abstraction</w:t>
            </w:r>
          </w:p>
        </w:tc>
        <w:tc>
          <w:tcPr>
            <w:tcW w:w="2250" w:type="dxa"/>
          </w:tcPr>
          <w:p>
            <w:r>
              <w:rPr>
                <w:sz w:val="18"/>
                <w:szCs w:val="18"/>
              </w:rPr>
              <w:t xml:space="preserve">Vercel AI SDK 7</w:t>
            </w:r>
          </w:p>
        </w:tc>
        <w:tc>
          <w:tcPr>
            <w:tcW w:w="2250" w:type="dxa"/>
          </w:tcPr>
          <w:p>
            <w:r>
              <w:rPr>
                <w:sz w:val="18"/>
                <w:szCs w:val="18"/>
              </w:rPr>
              <w:t xml:space="preserve">LangChain.js; direct provider SDKs</w:t>
            </w:r>
          </w:p>
        </w:tc>
        <w:tc>
          <w:tcPr>
            <w:tcW w:w="2250" w:type="dxa"/>
          </w:tcPr>
          <w:p>
            <w:r>
              <w:rPr>
                <w:sz w:val="18"/>
                <w:szCs w:val="18"/>
              </w:rPr>
              <w:t xml:space="preserve">LangChain.js carries heavier abstraction and ecosystem coupling; direct SDKs forfeit provider-agnosticism</w:t>
            </w:r>
          </w:p>
        </w:tc>
      </w:tr>
      <w:tr>
        <w:tc>
          <w:tcPr>
            <w:tcW w:w="2250" w:type="dxa"/>
          </w:tcPr>
          <w:p>
            <w:r>
              <w:rPr>
                <w:sz w:val="18"/>
                <w:szCs w:val="18"/>
              </w:rPr>
              <w:t xml:space="preserve">Agent orchestration</w:t>
            </w:r>
          </w:p>
        </w:tc>
        <w:tc>
          <w:tcPr>
            <w:tcW w:w="2250" w:type="dxa"/>
          </w:tcPr>
          <w:p>
            <w:r>
              <w:rPr>
                <w:sz w:val="18"/>
                <w:szCs w:val="18"/>
              </w:rPr>
              <w:t xml:space="preserve">AI SDK with Temporal</w:t>
            </w:r>
          </w:p>
        </w:tc>
        <w:tc>
          <w:tcPr>
            <w:tcW w:w="2250" w:type="dxa"/>
          </w:tcPr>
          <w:p>
            <w:r>
              <w:rPr>
                <w:sz w:val="18"/>
                <w:szCs w:val="18"/>
              </w:rPr>
              <w:t xml:space="preserve">Mastra; LangGraph.js</w:t>
            </w:r>
          </w:p>
        </w:tc>
        <w:tc>
          <w:tcPr>
            <w:tcW w:w="2250" w:type="dxa"/>
          </w:tcPr>
          <w:p>
            <w:r>
              <w:rPr>
                <w:sz w:val="18"/>
                <w:szCs w:val="18"/>
              </w:rPr>
              <w:t xml:space="preserve">Mastra is more opinionated than needed for a control-first build; LangGraph.js lags its Python line and couples to LangSmith observability</w:t>
            </w:r>
          </w:p>
        </w:tc>
      </w:tr>
      <w:tr>
        <w:tc>
          <w:tcPr>
            <w:tcW w:w="2250" w:type="dxa"/>
          </w:tcPr>
          <w:p>
            <w:r>
              <w:rPr>
                <w:sz w:val="18"/>
                <w:szCs w:val="18"/>
              </w:rPr>
              <w:t xml:space="preserve">Durable execution</w:t>
            </w:r>
          </w:p>
        </w:tc>
        <w:tc>
          <w:tcPr>
            <w:tcW w:w="2250" w:type="dxa"/>
          </w:tcPr>
          <w:p>
            <w:r>
              <w:rPr>
                <w:sz w:val="18"/>
                <w:szCs w:val="18"/>
              </w:rPr>
              <w:t xml:space="preserve">Temporal</w:t>
            </w:r>
          </w:p>
        </w:tc>
        <w:tc>
          <w:tcPr>
            <w:tcW w:w="2250" w:type="dxa"/>
          </w:tcPr>
          <w:p>
            <w:r>
              <w:rPr>
                <w:sz w:val="18"/>
                <w:szCs w:val="18"/>
              </w:rPr>
              <w:t xml:space="preserve">Restate; Inngest; DBOS</w:t>
            </w:r>
          </w:p>
        </w:tc>
        <w:tc>
          <w:tcPr>
            <w:tcW w:w="2250" w:type="dxa"/>
          </w:tcPr>
          <w:p>
            <w:r>
              <w:rPr>
                <w:sz w:val="18"/>
                <w:szCs w:val="18"/>
              </w:rPr>
              <w:t xml:space="preserve">Restate is newer; Inngest is a managed dependency unsuitable for self-hosting; DBOS is Python-primary</w:t>
            </w:r>
          </w:p>
        </w:tc>
      </w:tr>
      <w:tr>
        <w:tc>
          <w:tcPr>
            <w:tcW w:w="2250" w:type="dxa"/>
          </w:tcPr>
          <w:p>
            <w:r>
              <w:rPr>
                <w:sz w:val="18"/>
                <w:szCs w:val="18"/>
              </w:rPr>
              <w:t xml:space="preserve">Workspace isolation</w:t>
            </w:r>
          </w:p>
        </w:tc>
        <w:tc>
          <w:tcPr>
            <w:tcW w:w="2250" w:type="dxa"/>
          </w:tcPr>
          <w:p>
            <w:r>
              <w:rPr>
                <w:sz w:val="18"/>
                <w:szCs w:val="18"/>
              </w:rPr>
              <w:t xml:space="preserve">Firecracker microVMs</w:t>
            </w:r>
          </w:p>
        </w:tc>
        <w:tc>
          <w:tcPr>
            <w:tcW w:w="2250" w:type="dxa"/>
          </w:tcPr>
          <w:p>
            <w:r>
              <w:rPr>
                <w:sz w:val="18"/>
                <w:szCs w:val="18"/>
              </w:rPr>
              <w:t xml:space="preserve">Plain Docker; gVisor; managed sandbox services</w:t>
            </w:r>
          </w:p>
        </w:tc>
        <w:tc>
          <w:tcPr>
            <w:tcW w:w="2250" w:type="dxa"/>
          </w:tcPr>
          <w:p>
            <w:r>
              <w:rPr>
                <w:sz w:val="18"/>
                <w:szCs w:val="18"/>
              </w:rPr>
              <w:t xml:space="preserve">Docker shares the host kernel and is unsafe for untrusted code; gVisor is weaker than virtualisation; managed services are external to the customer boundary</w:t>
            </w:r>
          </w:p>
        </w:tc>
      </w:tr>
      <w:tr>
        <w:tc>
          <w:tcPr>
            <w:tcW w:w="2250" w:type="dxa"/>
          </w:tcPr>
          <w:p>
            <w:r>
              <w:rPr>
                <w:sz w:val="18"/>
                <w:szCs w:val="18"/>
              </w:rPr>
              <w:t xml:space="preserve">API framework</w:t>
            </w:r>
          </w:p>
        </w:tc>
        <w:tc>
          <w:tcPr>
            <w:tcW w:w="2250" w:type="dxa"/>
          </w:tcPr>
          <w:p>
            <w:r>
              <w:rPr>
                <w:sz w:val="18"/>
                <w:szCs w:val="18"/>
              </w:rPr>
              <w:t xml:space="preserve">NestJS</w:t>
            </w:r>
          </w:p>
        </w:tc>
        <w:tc>
          <w:tcPr>
            <w:tcW w:w="2250" w:type="dxa"/>
          </w:tcPr>
          <w:p>
            <w:r>
              <w:rPr>
                <w:sz w:val="18"/>
                <w:szCs w:val="18"/>
              </w:rPr>
              <w:t xml:space="preserve">Next.js API routes; Fastify or Hono</w:t>
            </w:r>
          </w:p>
        </w:tc>
        <w:tc>
          <w:tcPr>
            <w:tcW w:w="2250" w:type="dxa"/>
          </w:tcPr>
          <w:p>
            <w:r>
              <w:rPr>
                <w:sz w:val="18"/>
                <w:szCs w:val="18"/>
              </w:rPr>
              <w:t xml:space="preserve">Next.js API routes are under-structured for a permission and audit heavy back end; Fastify and Hono lack NestJS's built-in modular structure</w:t>
            </w:r>
          </w:p>
        </w:tc>
      </w:tr>
      <w:tr>
        <w:tc>
          <w:tcPr>
            <w:tcW w:w="2250" w:type="dxa"/>
          </w:tcPr>
          <w:p>
            <w:r>
              <w:rPr>
                <w:sz w:val="18"/>
                <w:szCs w:val="18"/>
              </w:rPr>
              <w:t xml:space="preserve">ORM</w:t>
            </w:r>
          </w:p>
        </w:tc>
        <w:tc>
          <w:tcPr>
            <w:tcW w:w="2250" w:type="dxa"/>
          </w:tcPr>
          <w:p>
            <w:r>
              <w:rPr>
                <w:sz w:val="18"/>
                <w:szCs w:val="18"/>
              </w:rPr>
              <w:t xml:space="preserve">Drizzle</w:t>
            </w:r>
          </w:p>
        </w:tc>
        <w:tc>
          <w:tcPr>
            <w:tcW w:w="2250" w:type="dxa"/>
          </w:tcPr>
          <w:p>
            <w:r>
              <w:rPr>
                <w:sz w:val="18"/>
                <w:szCs w:val="18"/>
              </w:rPr>
              <w:t xml:space="preserve">Prisma</w:t>
            </w:r>
          </w:p>
        </w:tc>
        <w:tc>
          <w:tcPr>
            <w:tcW w:w="2250" w:type="dxa"/>
          </w:tcPr>
          <w:p>
            <w:r>
              <w:rPr>
                <w:sz w:val="18"/>
                <w:szCs w:val="18"/>
              </w:rPr>
              <w:t xml:space="preserve">Prisma is acceptable; Drizzle is lighter and SQL-first, which favours auditability</w:t>
            </w:r>
          </w:p>
        </w:tc>
      </w:tr>
    </w:tbl>
    <w:p>
      <w:pPr>
        <w:pStyle w:val="Caption"/>
      </w:pPr>
      <w:r>
        <w:rPr>
          <w:i/>
          <w:iCs/>
        </w:rPr>
        <w:t xml:space="preserve">Table 3: Alternatives considered.</w:t>
      </w:r>
    </w:p>
    <w:p>
      <w:pPr>
        <w:pageBreakBefore/>
        <w:spacing w:before="360" w:after="60"/>
      </w:pPr>
      <w:r>
        <w:rPr>
          <w:rFonts w:ascii="Cascadia Mono" w:eastAsia="Cascadia Mono" w:hAnsi="Cascadia Mono" w:cs="Cascadia Mono"/>
          <w:b/>
          <w:bCs/>
          <w:color w:val="EE2E24"/>
          <w:sz w:val="16"/>
          <w:szCs w:val="16"/>
        </w:rPr>
        <w:t>§ 07 · RISKS AND MITIGATIONS</w:t>
      </w:r>
    </w:p>
    <w:p>
      <w:pPr>
        <w:pStyle w:val="Heading1"/>
        <w:pBdr>
          <w:bottom w:val="single" w:sz="12" w:space="6" w:color="213840"/>
        </w:pBdr>
        <w:spacing w:before="0" w:after="240"/>
      </w:pPr>
      <w:r>
        <w:t xml:space="preserve">Risks and Mitigations</w:t>
      </w:r>
    </w:p>
    <w:p>
      <w:pPr>
        <w:pStyle w:val="Normal"/>
        <w:jc w:val="both"/>
      </w:pPr>
      <w:r>
        <w:rPr>
          <w:sz w:val="22"/>
          <w:szCs w:val="22"/>
        </w:rPr>
        <w:t xml:space="preserve">The selection introduces the risks set out in Table 4, each with a mitigation. The dominant theme is operational complexity in the isolation and durable-execution layers, which is accepted deliberately in exchange for control and security.</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RISK</w:t>
            </w:r>
          </w:p>
        </w:tc>
        <w:tc>
          <w:tcPr>
            <w:tcW w:w="4500" w:type="dxa"/>
            <w:shd w:val="clear" w:color="auto" w:fill="213840"/>
          </w:tcPr>
          <w:p>
            <w:r>
              <w:rPr>
                <w:rFonts w:ascii="Cascadia Mono" w:eastAsia="Cascadia Mono" w:hAnsi="Cascadia Mono" w:cs="Cascadia Mono"/>
                <w:b/>
                <w:bCs/>
                <w:color w:val="FFFFFF"/>
                <w:sz w:val="16"/>
                <w:szCs w:val="16"/>
              </w:rPr>
              <w:t xml:space="preserve">MITIGATION</w:t>
            </w:r>
          </w:p>
        </w:tc>
      </w:tr>
      <w:tr>
        <w:tc>
          <w:tcPr>
            <w:tcW w:w="4500" w:type="dxa"/>
          </w:tcPr>
          <w:p>
            <w:r>
              <w:rPr>
                <w:sz w:val="18"/>
                <w:szCs w:val="18"/>
              </w:rPr>
              <w:t xml:space="preserve">microVM operational complexity</w:t>
            </w:r>
          </w:p>
        </w:tc>
        <w:tc>
          <w:tcPr>
            <w:tcW w:w="4500" w:type="dxa"/>
          </w:tcPr>
          <w:p>
            <w:r>
              <w:rPr>
                <w:sz w:val="18"/>
                <w:szCs w:val="18"/>
              </w:rPr>
              <w:t xml:space="preserve">Deploy Firecracker through Kata Containers on Kubernetes to manage virtualisation with standard orchestration; begin with gVisor if timelines demand, then harden to Firecracker</w:t>
            </w:r>
          </w:p>
        </w:tc>
      </w:tr>
      <w:tr>
        <w:tc>
          <w:tcPr>
            <w:tcW w:w="4500" w:type="dxa"/>
          </w:tcPr>
          <w:p>
            <w:r>
              <w:rPr>
                <w:sz w:val="18"/>
                <w:szCs w:val="18"/>
              </w:rPr>
              <w:t xml:space="preserve">Temporal cluster operations</w:t>
            </w:r>
          </w:p>
        </w:tc>
        <w:tc>
          <w:tcPr>
            <w:tcW w:w="4500" w:type="dxa"/>
          </w:tcPr>
          <w:p>
            <w:r>
              <w:rPr>
                <w:sz w:val="18"/>
                <w:szCs w:val="18"/>
              </w:rPr>
              <w:t xml:space="preserve">Operate a self-hosted Temporal deployment with defined runbooks; adopt Restate if single-binary simplicity becomes preferable</w:t>
            </w:r>
          </w:p>
        </w:tc>
      </w:tr>
      <w:tr>
        <w:tc>
          <w:tcPr>
            <w:tcW w:w="4500" w:type="dxa"/>
          </w:tcPr>
          <w:p>
            <w:r>
              <w:rPr>
                <w:sz w:val="18"/>
                <w:szCs w:val="18"/>
              </w:rPr>
              <w:t xml:space="preserve">Fast-moving TypeScript agent tooling</w:t>
            </w:r>
          </w:p>
        </w:tc>
        <w:tc>
          <w:tcPr>
            <w:tcW w:w="4500" w:type="dxa"/>
          </w:tcPr>
          <w:p>
            <w:r>
              <w:rPr>
                <w:sz w:val="18"/>
                <w:szCs w:val="18"/>
              </w:rPr>
              <w:t xml:space="preserve">Keep the model and agent concerns behind internal interfaces so any single component can be replaced without touching domain logic</w:t>
            </w:r>
          </w:p>
        </w:tc>
      </w:tr>
      <w:tr>
        <w:tc>
          <w:tcPr>
            <w:tcW w:w="4500" w:type="dxa"/>
          </w:tcPr>
          <w:p>
            <w:r>
              <w:rPr>
                <w:sz w:val="18"/>
                <w:szCs w:val="18"/>
              </w:rPr>
              <w:t xml:space="preserve">Model quality variance across providers</w:t>
            </w:r>
          </w:p>
        </w:tc>
        <w:tc>
          <w:tcPr>
            <w:tcW w:w="4500" w:type="dxa"/>
          </w:tcPr>
          <w:p>
            <w:r>
              <w:rPr>
                <w:sz w:val="18"/>
                <w:szCs w:val="18"/>
              </w:rPr>
              <w:t xml:space="preserve">Standardise per-task evaluations and pin approved models per customer</w:t>
            </w:r>
          </w:p>
        </w:tc>
      </w:tr>
      <w:tr>
        <w:tc>
          <w:tcPr>
            <w:tcW w:w="4500" w:type="dxa"/>
          </w:tcPr>
          <w:p>
            <w:r>
              <w:rPr>
                <w:sz w:val="18"/>
                <w:szCs w:val="18"/>
              </w:rPr>
              <w:t xml:space="preserve">Polyglot boundary at the connector</w:t>
            </w:r>
          </w:p>
        </w:tc>
        <w:tc>
          <w:tcPr>
            <w:tcW w:w="4500" w:type="dxa"/>
          </w:tcPr>
          <w:p>
            <w:r>
              <w:rPr>
                <w:sz w:val="18"/>
                <w:szCs w:val="18"/>
              </w:rPr>
              <w:t xml:space="preserve">Keep the connector protocol contract-first and language-neutral, so the platform side remains TypeScript</w:t>
            </w:r>
          </w:p>
        </w:tc>
      </w:tr>
      <w:tr>
        <w:tc>
          <w:tcPr>
            <w:tcW w:w="4500" w:type="dxa"/>
          </w:tcPr>
          <w:p>
            <w:r>
              <w:rPr>
                <w:sz w:val="18"/>
                <w:szCs w:val="18"/>
              </w:rPr>
              <w:t xml:space="preserve">Untrusted-code escape</w:t>
            </w:r>
          </w:p>
        </w:tc>
        <w:tc>
          <w:tcPr>
            <w:tcW w:w="4500" w:type="dxa"/>
          </w:tcPr>
          <w:p>
            <w:r>
              <w:rPr>
                <w:sz w:val="18"/>
                <w:szCs w:val="18"/>
              </w:rPr>
              <w:t xml:space="preserve">Combine microVM isolation with the data-blind default posture and network egress controls on the workspace</w:t>
            </w:r>
          </w:p>
        </w:tc>
      </w:tr>
    </w:tbl>
    <w:p>
      <w:pPr>
        <w:pStyle w:val="Caption"/>
      </w:pPr>
      <w:r>
        <w:rPr>
          <w:i/>
          <w:iCs/>
        </w:rPr>
        <w:t xml:space="preserve">Table 4: Risks and mitigations.</w:t>
      </w:r>
    </w:p>
    <w:p>
      <w:pPr>
        <w:pageBreakBefore/>
        <w:spacing w:before="360" w:after="60"/>
      </w:pPr>
      <w:r>
        <w:rPr>
          <w:rFonts w:ascii="Cascadia Mono" w:eastAsia="Cascadia Mono" w:hAnsi="Cascadia Mono" w:cs="Cascadia Mono"/>
          <w:b/>
          <w:bCs/>
          <w:color w:val="EE2E24"/>
          <w:sz w:val="16"/>
          <w:szCs w:val="16"/>
        </w:rPr>
        <w:t>§ 08 · RECOMMENDATION AND NEXT STEPS</w:t>
      </w:r>
    </w:p>
    <w:p>
      <w:pPr>
        <w:pStyle w:val="Heading1"/>
        <w:pBdr>
          <w:bottom w:val="single" w:sz="12" w:space="6" w:color="213840"/>
        </w:pBdr>
        <w:spacing w:before="0" w:after="240"/>
      </w:pPr>
      <w:r>
        <w:t xml:space="preserve">Recommendation and Next Steps</w:t>
      </w:r>
    </w:p>
    <w:p>
      <w:pPr>
        <w:pStyle w:val="Normal"/>
        <w:jc w:val="both"/>
      </w:pPr>
      <w:r>
        <w:rPr>
          <w:sz w:val="22"/>
          <w:szCs w:val="22"/>
        </w:rPr>
        <w:t xml:space="preserve">It is recommended that the stack in Table 2 be adopted as the basis for building the LinkedERP AI Development Agent portal. The combination of Next.js, NestJS, the Vercel AI SDK, Temporal and Firecracker satisfies the three drivers — a TypeScript team, a provider-agnostic model strategy, and a control-and-security-first posture — while keeping every component self-hostable.</w:t>
      </w:r>
    </w:p>
    <w:p>
      <w:pPr>
        <w:pStyle w:val="Normal"/>
        <w:jc w:val="both"/>
      </w:pPr>
      <w:r>
        <w:rPr>
          <w:sz w:val="22"/>
          <w:szCs w:val="22"/>
        </w:rPr>
        <w:t xml:space="preserve">On approval, the recommended next steps are to update the Technical Architecture to version 1.2 to adopt these choices, to stand up a thin vertical slice of the core loop — connect repository, prompt the agent, analyse and modify code in an isolated workspace, review the diff, commit and push — on the selected stack, and to sequence the remaining work through the MVP Implementation Plan.</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09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ADR</w:t>
            </w:r>
          </w:p>
        </w:tc>
        <w:tc>
          <w:p>
            <w:r>
              <w:rPr>
                <w:sz w:val="22"/>
                <w:szCs w:val="22"/>
              </w:rPr>
              <w:t xml:space="preserve">Architecture Decision Record</w:t>
            </w:r>
          </w:p>
        </w:tc>
      </w:tr>
      <w:tr>
        <w:tc>
          <w:p>
            <w:r>
              <w:rPr>
                <w:sz w:val="22"/>
                <w:szCs w:val="22"/>
              </w:rPr>
              <w:t xml:space="preserve">AI</w:t>
            </w:r>
          </w:p>
        </w:tc>
        <w:tc>
          <w:p>
            <w:r>
              <w:rPr>
                <w:sz w:val="22"/>
                <w:szCs w:val="22"/>
              </w:rPr>
              <w:t xml:space="preserve">Artificial Intelligence</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JWT</w:t>
            </w:r>
          </w:p>
        </w:tc>
        <w:tc>
          <w:p>
            <w:r>
              <w:rPr>
                <w:sz w:val="22"/>
                <w:szCs w:val="22"/>
              </w:rPr>
              <w:t xml:space="preserve">JSON Web Token</w:t>
            </w:r>
          </w:p>
        </w:tc>
      </w:tr>
      <w:tr>
        <w:tc>
          <w:p>
            <w:r>
              <w:rPr>
                <w:sz w:val="22"/>
                <w:szCs w:val="22"/>
              </w:rPr>
              <w:t xml:space="preserve">MVP</w:t>
            </w:r>
          </w:p>
        </w:tc>
        <w:tc>
          <w:p>
            <w:r>
              <w:rPr>
                <w:sz w:val="22"/>
                <w:szCs w:val="22"/>
              </w:rPr>
              <w:t xml:space="preserve">Minimum Viable Product</w:t>
            </w:r>
          </w:p>
        </w:tc>
      </w:tr>
      <w:tr>
        <w:tc>
          <w:p>
            <w:r>
              <w:rPr>
                <w:sz w:val="22"/>
                <w:szCs w:val="22"/>
              </w:rPr>
              <w:t xml:space="preserve">ORM</w:t>
            </w:r>
          </w:p>
        </w:tc>
        <w:tc>
          <w:p>
            <w:r>
              <w:rPr>
                <w:sz w:val="22"/>
                <w:szCs w:val="22"/>
              </w:rPr>
              <w:t xml:space="preserve">Object-Relational Mapping</w:t>
            </w:r>
          </w:p>
        </w:tc>
      </w:tr>
      <w:tr>
        <w:tc>
          <w:p>
            <w:r>
              <w:rPr>
                <w:sz w:val="22"/>
                <w:szCs w:val="22"/>
              </w:rPr>
              <w:t xml:space="preserve">SDK</w:t>
            </w:r>
          </w:p>
        </w:tc>
        <w:tc>
          <w:p>
            <w:r>
              <w:rPr>
                <w:sz w:val="22"/>
                <w:szCs w:val="22"/>
              </w:rPr>
              <w:t xml:space="preserve">Software Development Kit</w:t>
            </w:r>
          </w:p>
        </w:tc>
      </w:tr>
      <w:tr>
        <w:tc>
          <w:p>
            <w:r>
              <w:rPr>
                <w:sz w:val="22"/>
                <w:szCs w:val="22"/>
              </w:rPr>
              <w:t xml:space="preserve">UI</w:t>
            </w:r>
          </w:p>
        </w:tc>
        <w:tc>
          <w:p>
            <w:r>
              <w:rPr>
                <w:sz w:val="22"/>
                <w:szCs w:val="22"/>
              </w:rPr>
              <w:t xml:space="preserve">User Interface</w:t>
            </w:r>
          </w:p>
        </w:tc>
      </w:tr>
      <w:tr>
        <w:tc>
          <w:p>
            <w:r>
              <w:rPr>
                <w:sz w:val="22"/>
                <w:szCs w:val="22"/>
              </w:rPr>
              <w:t xml:space="preserve">VM</w:t>
            </w:r>
          </w:p>
        </w:tc>
        <w:tc>
          <w:p>
            <w:r>
              <w:rPr>
                <w:sz w:val="22"/>
                <w:szCs w:val="22"/>
              </w:rPr>
              <w:t xml:space="preserve">Virtual Machine</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10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Carel Bouwer</cp:lastModifiedBy>
  <cp:revision>4</cp:revision>
  <dcterms:created xsi:type="dcterms:W3CDTF">2026-05-11T08:28:00Z</dcterms:created>
  <dcterms:modified xsi:type="dcterms:W3CDTF">2026-05-22T07:09:00Z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