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81C92" w14:textId="77777777" w:rsidR="00BA565F" w:rsidRDefault="00BA565F">
      <w:pPr>
        <w:pBdr>
          <w:bottom w:val="single" w:sz="24" w:space="0" w:color="EE2E24"/>
        </w:pBdr>
      </w:pPr>
    </w:p>
    <w:p w14:paraId="0E8CE72E" w14:textId="77777777" w:rsidR="00BA565F" w:rsidRDefault="00D40E89">
      <w:pPr>
        <w:spacing w:before="480"/>
      </w:pPr>
      <w:r>
        <w:rPr>
          <w:noProof/>
        </w:rPr>
        <w:drawing>
          <wp:inline distT="0" distB="0" distL="0" distR="0" wp14:anchorId="018F5281" wp14:editId="725CBF14">
            <wp:extent cx="1238250" cy="257175"/>
            <wp:effectExtent l="0" t="0" r="0" b="0"/>
            <wp:docPr id="1001" name="logo"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Linked Linked ERP logo"/>
                    <pic:cNvPicPr>
                      <a:picLocks noChangeAspect="1" noChangeArrowheads="1"/>
                    </pic:cNvPicPr>
                  </pic:nvPicPr>
                  <pic:blipFill>
                    <a:blip r:embed="rId10"/>
                    <a:stretch>
                      <a:fillRect/>
                    </a:stretch>
                  </pic:blipFill>
                  <pic:spPr bwMode="auto">
                    <a:xfrm>
                      <a:off x="0" y="0"/>
                      <a:ext cx="1238250" cy="257175"/>
                    </a:xfrm>
                    <a:prstGeom prst="rect">
                      <a:avLst/>
                    </a:prstGeom>
                  </pic:spPr>
                </pic:pic>
              </a:graphicData>
            </a:graphic>
          </wp:inline>
        </w:drawing>
      </w:r>
    </w:p>
    <w:p w14:paraId="4E8D96E4"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xml:space="preserve">INTERNAL</w:t>
      </w:r>
      <w:r w:rsidRPr="00944B56">
        <w:rPr>
          <w:lang w:val="fr-FR"/>
        </w:rPr>
        <w:tab/>
      </w:r>
      <w:r w:rsidRPr="00944B56">
        <w:rPr>
          <w:rFonts w:ascii="Cascadia Mono" w:eastAsia="Cascadia Mono" w:hAnsi="Cascadia Mono" w:cs="Cascadia Mono"/>
          <w:color w:val="546870"/>
          <w:sz w:val="16"/>
          <w:szCs w:val="16"/>
          <w:lang w:val="fr-FR"/>
        </w:rPr>
        <w:t>24 Sep 2026</w:t>
      </w:r>
    </w:p>
    <w:p w14:paraId="28E29819" w14:textId="77777777" w:rsidR="00BA565F" w:rsidRPr="00944B56" w:rsidRDefault="00BA565F">
      <w:pPr>
        <w:pBdr>
          <w:bottom w:val="single" w:sz="4" w:space="0" w:color="CFD1D4"/>
        </w:pBdr>
        <w:spacing w:before="60"/>
        <w:rPr>
          <w:lang w:val="fr-FR"/>
        </w:rPr>
      </w:pPr>
    </w:p>
    <w:p w14:paraId="17F1C6CF" w14:textId="77777777" w:rsidR="00BA565F" w:rsidRPr="00944B56" w:rsidRDefault="00BA565F">
      <w:pPr>
        <w:spacing w:before="1800"/>
        <w:rPr>
          <w:lang w:val="fr-FR"/>
        </w:rPr>
      </w:pPr>
    </w:p>
    <w:p w14:paraId="3164B0DE" w14:textId="77777777" w:rsidR="00BA565F" w:rsidRPr="00944B56" w:rsidRDefault="00D40E89">
      <w:pPr>
        <w:spacing w:after="80"/>
        <w:rPr>
          <w:lang w:val="fr-FR"/>
        </w:rPr>
      </w:pPr>
      <w:r w:rsidRPr="00944B56">
        <w:rPr>
          <w:rFonts w:ascii="Cascadia Mono" w:eastAsia="Cascadia Mono" w:hAnsi="Cascadia Mono" w:cs="Cascadia Mono"/>
          <w:color w:val="546870"/>
          <w:sz w:val="16"/>
          <w:szCs w:val="16"/>
          <w:lang w:val="fr-FR"/>
        </w:rPr>
        <w:t>USER MANUAL</w:t>
      </w:r>
    </w:p>
    <w:p w14:paraId="7EE1FAED" w14:textId="77777777" w:rsidR="00BA565F" w:rsidRPr="00944B56" w:rsidRDefault="00D40E89">
      <w:pPr>
        <w:spacing w:after="480"/>
        <w:rPr>
          <w:lang w:val="fr-FR"/>
        </w:rPr>
      </w:pPr>
      <w:r w:rsidRPr="00944B56">
        <w:rPr>
          <w:color w:val="3A5762"/>
          <w:sz w:val="22"/>
          <w:szCs w:val="22"/>
          <w:lang w:val="fr-FR"/>
        </w:rPr>
        <w:t>Cartenz AI Development Agent</w:t>
      </w:r>
    </w:p>
    <w:p w14:paraId="3E6464D6" w14:textId="77777777" w:rsidR="00BA565F" w:rsidRDefault="00D40E89">
      <w:pPr>
        <w:spacing w:after="160"/>
      </w:pPr>
      <w:r>
        <w:rPr>
          <w:b/>
          <w:bCs/>
          <w:sz w:val="84"/>
          <w:szCs w:val="84"/>
        </w:rPr>
        <w:t>AI-Assisted Odoo Development Platform</w:t>
      </w:r>
    </w:p>
    <w:p w14:paraId="2C7D40A2" w14:textId="77777777" w:rsidR="00BA565F" w:rsidRDefault="00D40E89">
      <w:pPr>
        <w:spacing w:after="1800"/>
      </w:pPr>
      <w:r>
        <w:rPr>
          <w:i/>
          <w:iCs/>
          <w:color w:val="3A5762"/>
          <w:sz w:val="24"/>
          <w:szCs w:val="24"/>
        </w:rPr>
        <w:t>How to use the Cartenz portal: connecting and creating projects, working with the agent, reviewing and approving changes, and what is coming next.</w:t>
      </w:r>
    </w:p>
    <w:p w14:paraId="5C2546FD" w14:textId="77777777" w:rsidR="00BA565F" w:rsidRDefault="00BA565F">
      <w:pPr>
        <w:pBdr>
          <w:bottom w:val="single" w:sz="4" w:space="0" w:color="CFD1D4"/>
        </w:pBdr>
      </w:pPr>
    </w:p>
    <w:tbl>
      <w:tblPr>
        <w:tblW w:w="9638" w:type="dxa"/>
        <w:tblLayout w:type="fixed"/>
        <w:tblCellMar>
          <w:top w:w="240" w:type="dxa"/>
          <w:left w:w="0" w:type="dxa"/>
          <w:bottom w:w="80" w:type="dxa"/>
          <w:right w:w="240" w:type="dxa"/>
        </w:tblCellMar>
        <w:tblLook w:val="04A0" w:firstRow="1" w:lastRow="0" w:firstColumn="1" w:lastColumn="0" w:noHBand="0" w:noVBand="1"/>
      </w:tblPr>
      <w:tblGrid>
        <w:gridCol w:w="3212"/>
        <w:gridCol w:w="3211"/>
        <w:gridCol w:w="3215"/>
      </w:tblGrid>
      <w:tr w:rsidR="00BA565F" w14:paraId="09DEE6A4" w14:textId="77777777">
        <w:tc>
          <w:tcPr>
            <w:tcW w:w="3212" w:type="dxa"/>
            <w:tcBorders>
              <w:right w:val="single" w:sz="4" w:space="0" w:color="CFD1D4"/>
            </w:tcBorders>
            <w:vAlign w:val="center"/>
          </w:tcPr>
          <w:p w14:paraId="1D214455" w14:textId="77777777" w:rsidR="00BA565F" w:rsidRDefault="00D40E89">
            <w:pPr>
              <w:spacing w:after="120"/>
            </w:pPr>
            <w:r>
              <w:rPr>
                <w:rFonts w:ascii="Cascadia Mono" w:eastAsia="Cascadia Mono" w:hAnsi="Cascadia Mono" w:cs="Cascadia Mono"/>
                <w:color w:val="546870"/>
                <w:sz w:val="14"/>
                <w:szCs w:val="14"/>
              </w:rPr>
              <w:t>CLIENT</w:t>
            </w:r>
          </w:p>
        </w:tc>
        <w:tc>
          <w:tcPr>
            <w:tcW w:w="3211" w:type="dxa"/>
            <w:tcBorders>
              <w:right w:val="single" w:sz="4" w:space="0" w:color="CFD1D4"/>
            </w:tcBorders>
            <w:tcMar>
              <w:left w:w="240" w:type="dxa"/>
            </w:tcMar>
            <w:vAlign w:val="center"/>
          </w:tcPr>
          <w:p w14:paraId="2047445A" w14:textId="77777777" w:rsidR="00BA565F" w:rsidRDefault="00D40E89">
            <w:pPr>
              <w:spacing w:after="120"/>
            </w:pPr>
            <w:r>
              <w:rPr>
                <w:rFonts w:ascii="Cascadia Mono" w:eastAsia="Cascadia Mono" w:hAnsi="Cascadia Mono" w:cs="Cascadia Mono"/>
                <w:color w:val="546870"/>
                <w:sz w:val="14"/>
                <w:szCs w:val="14"/>
              </w:rPr>
              <w:t>PREPARED BY</w:t>
            </w:r>
          </w:p>
        </w:tc>
        <w:tc>
          <w:tcPr>
            <w:tcW w:w="3215" w:type="dxa"/>
            <w:tcMar>
              <w:left w:w="240" w:type="dxa"/>
              <w:right w:w="0" w:type="dxa"/>
            </w:tcMar>
            <w:vAlign w:val="center"/>
          </w:tcPr>
          <w:p w14:paraId="6915F182" w14:textId="77777777" w:rsidR="00BA565F" w:rsidRDefault="00D40E89">
            <w:pPr>
              <w:spacing w:after="120"/>
            </w:pPr>
            <w:r>
              <w:rPr>
                <w:rFonts w:ascii="Cascadia Mono" w:eastAsia="Cascadia Mono" w:hAnsi="Cascadia Mono" w:cs="Cascadia Mono"/>
                <w:color w:val="546870"/>
                <w:sz w:val="14"/>
                <w:szCs w:val="14"/>
              </w:rPr>
              <w:t>VERSION</w:t>
            </w:r>
          </w:p>
        </w:tc>
      </w:tr>
      <w:tr w:rsidR="00BA565F" w14:paraId="53330716" w14:textId="77777777">
        <w:tc>
          <w:tcPr>
            <w:tcW w:w="3212" w:type="dxa"/>
            <w:tcBorders>
              <w:right w:val="single" w:sz="4" w:space="0" w:color="CFD1D4"/>
            </w:tcBorders>
            <w:tcMar>
              <w:top w:w="0" w:type="dxa"/>
              <w:bottom w:w="240" w:type="dxa"/>
            </w:tcMar>
            <w:vAlign w:val="center"/>
          </w:tcPr>
          <w:p w14:paraId="4742CFF5" w14:textId="77777777" w:rsidR="00BA565F" w:rsidRDefault="00D40E89">
            <w:pPr>
              <w:spacing w:after="120"/>
            </w:pPr>
            <w:r>
              <w:rPr>
                <w:b/>
                <w:bCs/>
                <w:sz w:val="22"/>
                <w:szCs w:val="22"/>
              </w:rPr>
              <w:t xml:space="preserve">Linked ERP (Pty) Ltd</w:t>
            </w:r>
          </w:p>
        </w:tc>
        <w:tc>
          <w:tcPr>
            <w:tcW w:w="3211" w:type="dxa"/>
            <w:tcBorders>
              <w:right w:val="single" w:sz="4" w:space="0" w:color="CFD1D4"/>
            </w:tcBorders>
            <w:tcMar>
              <w:top w:w="0" w:type="dxa"/>
              <w:left w:w="240" w:type="dxa"/>
              <w:bottom w:w="240" w:type="dxa"/>
            </w:tcMar>
            <w:vAlign w:val="center"/>
          </w:tcPr>
          <w:p w14:paraId="6930D48D" w14:textId="77777777" w:rsidR="00BA565F" w:rsidRDefault="00D40E89">
            <w:pPr>
              <w:spacing w:after="120"/>
            </w:pPr>
            <w:r>
              <w:rPr>
                <w:b/>
                <w:bCs/>
                <w:sz w:val="22"/>
                <w:szCs w:val="22"/>
              </w:rPr>
              <w:t xml:space="preserve">Bintang</w:t>
            </w:r>
          </w:p>
        </w:tc>
        <w:tc>
          <w:tcPr>
            <w:tcW w:w="3215" w:type="dxa"/>
            <w:tcMar>
              <w:top w:w="0" w:type="dxa"/>
              <w:left w:w="240" w:type="dxa"/>
              <w:bottom w:w="240" w:type="dxa"/>
              <w:right w:w="0" w:type="dxa"/>
            </w:tcMar>
            <w:vAlign w:val="center"/>
          </w:tcPr>
          <w:p>
            <w:r>
              <w:t>1.2</w:t>
            </w:r>
          </w:p>
        </w:tc>
      </w:tr>
      <w:tr w:rsidR="00BA565F" w14:paraId="27010AC9" w14:textId="77777777">
        <w:tc>
          <w:tcPr>
            <w:tcW w:w="3212" w:type="dxa"/>
            <w:tcBorders>
              <w:right w:val="single" w:sz="4" w:space="0" w:color="CFD1D4"/>
            </w:tcBorders>
            <w:tcMar>
              <w:top w:w="0" w:type="dxa"/>
              <w:bottom w:w="0" w:type="dxa"/>
            </w:tcMar>
            <w:vAlign w:val="center"/>
          </w:tcPr>
          <w:p w14:paraId="67A3AC09" w14:textId="77777777" w:rsidR="00BA565F" w:rsidRDefault="00D40E89">
            <w:pPr>
              <w:spacing w:after="120"/>
            </w:pPr>
            <w:r>
              <w:rPr>
                <w:rFonts w:ascii="Cascadia Mono" w:eastAsia="Cascadia Mono" w:hAnsi="Cascadia Mono" w:cs="Cascadia Mono"/>
                <w:color w:val="546870"/>
                <w:sz w:val="14"/>
                <w:szCs w:val="14"/>
              </w:rPr>
              <w:t xml:space="preserve"> </w:t>
            </w:r>
          </w:p>
        </w:tc>
        <w:tc>
          <w:tcPr>
            <w:tcW w:w="3211" w:type="dxa"/>
            <w:tcBorders>
              <w:right w:val="single" w:sz="4" w:space="0" w:color="CFD1D4"/>
            </w:tcBorders>
            <w:tcMar>
              <w:top w:w="0" w:type="dxa"/>
              <w:left w:w="240" w:type="dxa"/>
              <w:bottom w:w="0" w:type="dxa"/>
            </w:tcMar>
            <w:vAlign w:val="center"/>
          </w:tcPr>
          <w:p w14:paraId="0D0BB555" w14:textId="77777777" w:rsidR="00BA565F" w:rsidRDefault="00D40E89">
            <w:pPr>
              <w:spacing w:after="120"/>
            </w:pPr>
            <w:r>
              <w:rPr>
                <w:rFonts w:ascii="Cascadia Mono" w:eastAsia="Cascadia Mono" w:hAnsi="Cascadia Mono" w:cs="Cascadia Mono"/>
                <w:color w:val="546870"/>
                <w:sz w:val="14"/>
                <w:szCs w:val="14"/>
              </w:rPr>
              <w:t xml:space="preserve">Lead Software Architect</w:t>
            </w:r>
          </w:p>
        </w:tc>
        <w:tc>
          <w:tcPr>
            <w:tcW w:w="3215" w:type="dxa"/>
            <w:tcMar>
              <w:top w:w="0" w:type="dxa"/>
              <w:left w:w="240" w:type="dxa"/>
              <w:bottom w:w="0" w:type="dxa"/>
              <w:right w:w="0" w:type="dxa"/>
            </w:tcMar>
            <w:vAlign w:val="center"/>
          </w:tcPr>
          <w:p w14:paraId="15382C1D" w14:textId="77777777" w:rsidR="00BA565F" w:rsidRDefault="00D40E89">
            <w:pPr>
              <w:spacing w:after="120"/>
            </w:pPr>
            <w:r>
              <w:rPr>
                <w:rFonts w:ascii="Cascadia Mono" w:eastAsia="Cascadia Mono" w:hAnsi="Cascadia Mono" w:cs="Cascadia Mono"/>
                <w:color w:val="546870"/>
                <w:sz w:val="14"/>
                <w:szCs w:val="14"/>
              </w:rPr>
              <w:t xml:space="preserve"> </w:t>
            </w:r>
          </w:p>
        </w:tc>
      </w:tr>
    </w:tbl>
    <w:p w14:paraId="6E0787F9" w14:textId="77777777" w:rsidR="00BA565F" w:rsidRDefault="00BA565F">
      <w:pPr>
        <w:spacing w:before="600"/>
        <w:sectPr w:rsidR="00BA565F">
          <w:headerReference w:type="even" r:id="rId11"/>
          <w:headerReference w:type="default" r:id="rId12"/>
          <w:footerReference w:type="even" r:id="rId13"/>
          <w:footerReference w:type="default" r:id="rId14"/>
          <w:headerReference w:type="first" r:id="rId15"/>
          <w:footerReference w:type="first" r:id="rId16"/>
          <w:pgSz w:w="11906" w:h="16838"/>
          <w:pgMar w:top="1134" w:right="1134" w:bottom="1134" w:left="1134" w:header="708" w:footer="708" w:gutter="0"/>
          <w:cols w:space="720"/>
          <w:formProt w:val="0"/>
          <w:titlePg/>
          <w:docGrid w:linePitch="360" w:charSpace="8192"/>
        </w:sectPr>
      </w:pPr>
    </w:p>
    <w:p w14:paraId="31F85C2F" w14:textId="77777777" w:rsidR="00BA565F" w:rsidRDefault="00D40E89">
      <w:pPr>
        <w:spacing w:before="360" w:after="60"/>
      </w:pPr>
      <w:r>
        <w:rPr>
          <w:rFonts w:ascii="Cascadia Mono" w:eastAsia="Cascadia Mono" w:hAnsi="Cascadia Mono" w:cs="Cascadia Mono"/>
          <w:b/>
          <w:bCs/>
          <w:color w:val="EE2E24"/>
          <w:sz w:val="16"/>
          <w:szCs w:val="16"/>
        </w:rPr>
        <w:lastRenderedPageBreak/>
        <w:t>§ 00 · METADATA</w:t>
      </w:r>
    </w:p>
    <w:p w14:paraId="1FF55350" w14:textId="77777777" w:rsidR="00BA565F" w:rsidRDefault="00D40E89">
      <w:pPr>
        <w:pStyle w:val="Heading1"/>
        <w:pBdr>
          <w:bottom w:val="single" w:sz="12" w:space="6" w:color="213840"/>
        </w:pBdr>
        <w:spacing w:before="0" w:after="240"/>
      </w:pPr>
      <w:bookmarkStart w:id="0" w:name="__RefHeading___Toc1_SOW"/>
      <w:bookmarkStart w:id="1" w:name="_Toc228778199"/>
      <w:bookmarkEnd w:id="0"/>
      <w:r>
        <w:t>Revision History</w:t>
      </w:r>
      <w:bookmarkEnd w:id="1"/>
    </w:p>
    <w:p w14:paraId="2189EE8B" w14:textId="77777777" w:rsidR="00BA565F" w:rsidRDefault="00D40E89">
      <w:pPr>
        <w:spacing w:after="120" w:line="320" w:lineRule="exact"/>
        <w:jc w:val="both"/>
      </w:pPr>
      <w:r>
        <w:rPr>
          <w:sz w:val="22"/>
          <w:szCs w:val="22"/>
        </w:rPr>
        <w:t>Track every change to this document. Each published version should have a row.</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1800"/>
        <w:gridCol w:w="1600"/>
        <w:gridCol w:w="4738"/>
        <w:gridCol w:w="1500"/>
      </w:tblGrid>
      <w:tr w:rsidR="00BA565F" w14:paraId="00B0140B" w14:textId="77777777">
        <w:trPr>
          <w:tblHeader/>
        </w:trPr>
        <w:tc>
          <w:tcPr>
            <w:tcW w:w="1800" w:type="dxa"/>
            <w:shd w:val="clear" w:color="auto" w:fill="213840"/>
            <w:vAlign w:val="center"/>
          </w:tcPr>
          <w:p w14:paraId="4391131A" w14:textId="77777777" w:rsidR="00BA565F" w:rsidRDefault="00D40E89">
            <w:pPr>
              <w:spacing w:after="120"/>
            </w:pPr>
            <w:r>
              <w:rPr>
                <w:rFonts w:ascii="Cascadia Mono" w:eastAsia="Cascadia Mono" w:hAnsi="Cascadia Mono" w:cs="Cascadia Mono"/>
                <w:b/>
                <w:bCs/>
                <w:color w:val="FFFFFF"/>
                <w:sz w:val="16"/>
                <w:szCs w:val="16"/>
              </w:rPr>
              <w:t>DATE</w:t>
            </w:r>
          </w:p>
        </w:tc>
        <w:tc>
          <w:tcPr>
            <w:tcW w:w="1600" w:type="dxa"/>
            <w:shd w:val="clear" w:color="auto" w:fill="213840"/>
            <w:vAlign w:val="center"/>
          </w:tcPr>
          <w:p w14:paraId="2F96A6A9" w14:textId="77777777" w:rsidR="00BA565F" w:rsidRDefault="00D40E89">
            <w:pPr>
              <w:spacing w:after="120"/>
            </w:pPr>
            <w:r>
              <w:rPr>
                <w:rFonts w:ascii="Cascadia Mono" w:eastAsia="Cascadia Mono" w:hAnsi="Cascadia Mono" w:cs="Cascadia Mono"/>
                <w:b/>
                <w:bCs/>
                <w:color w:val="FFFFFF"/>
                <w:sz w:val="16"/>
                <w:szCs w:val="16"/>
              </w:rPr>
              <w:t>VERSION</w:t>
            </w:r>
          </w:p>
        </w:tc>
        <w:tc>
          <w:tcPr>
            <w:tcW w:w="4738" w:type="dxa"/>
            <w:shd w:val="clear" w:color="auto" w:fill="213840"/>
            <w:vAlign w:val="center"/>
          </w:tcPr>
          <w:p w14:paraId="41846F8C" w14:textId="77777777" w:rsidR="00BA565F" w:rsidRDefault="00D40E89">
            <w:pPr>
              <w:spacing w:after="120"/>
            </w:pPr>
            <w:r>
              <w:rPr>
                <w:rFonts w:ascii="Cascadia Mono" w:eastAsia="Cascadia Mono" w:hAnsi="Cascadia Mono" w:cs="Cascadia Mono"/>
                <w:b/>
                <w:bCs/>
                <w:color w:val="FFFFFF"/>
                <w:sz w:val="16"/>
                <w:szCs w:val="16"/>
              </w:rPr>
              <w:t>UPDATE DESCRIPTION</w:t>
            </w:r>
          </w:p>
        </w:tc>
        <w:tc>
          <w:tcPr>
            <w:tcW w:w="1500" w:type="dxa"/>
            <w:shd w:val="clear" w:color="auto" w:fill="213840"/>
            <w:vAlign w:val="center"/>
          </w:tcPr>
          <w:p w14:paraId="10B812A6" w14:textId="77777777" w:rsidR="00BA565F" w:rsidRDefault="00D40E89">
            <w:pPr>
              <w:spacing w:after="120"/>
            </w:pPr>
            <w:r>
              <w:rPr>
                <w:rFonts w:ascii="Cascadia Mono" w:eastAsia="Cascadia Mono" w:hAnsi="Cascadia Mono" w:cs="Cascadia Mono"/>
                <w:b/>
                <w:bCs/>
                <w:color w:val="FFFFFF"/>
                <w:sz w:val="16"/>
                <w:szCs w:val="16"/>
              </w:rPr>
              <w:t>AUTHOR</w:t>
            </w:r>
          </w:p>
        </w:tc>
      </w:tr>
      <w:tr w:rsidR="00BA565F" w14:paraId="5CEA8A60" w14:textId="77777777">
        <w:tc>
          <w:tcPr>
            <w:tcW w:w="1800" w:type="dxa"/>
            <w:tcBorders>
              <w:top w:val="single" w:sz="4" w:space="0" w:color="CFD1D4"/>
              <w:bottom w:val="single" w:sz="4" w:space="0" w:color="CFD1D4"/>
            </w:tcBorders>
            <w:shd w:val="clear" w:color="auto" w:fill="FFFFFF"/>
            <w:vAlign w:val="center"/>
          </w:tcPr>
          <w:p w14:paraId="7DFDA423" w14:textId="77777777" w:rsidR="00BA565F" w:rsidRDefault="00D40E89">
            <w:pPr>
              <w:spacing w:after="120"/>
            </w:pPr>
            <w:r>
              <w:rPr>
                <w:sz w:val="18"/>
                <w:szCs w:val="18"/>
              </w:rPr>
              <w:t xml:space="preserve">17 Sep 2026</w:t>
            </w:r>
          </w:p>
        </w:tc>
        <w:tc>
          <w:tcPr>
            <w:tcW w:w="1600" w:type="dxa"/>
            <w:tcBorders>
              <w:top w:val="single" w:sz="4" w:space="0" w:color="CFD1D4"/>
              <w:bottom w:val="single" w:sz="4" w:space="0" w:color="CFD1D4"/>
            </w:tcBorders>
            <w:shd w:val="clear" w:color="auto" w:fill="FFFFFF"/>
            <w:vAlign w:val="center"/>
          </w:tcPr>
          <w:p w14:paraId="068ED120" w14:textId="77777777" w:rsidR="00BA565F" w:rsidRDefault="00D40E89">
            <w:pPr>
              <w:spacing w:after="120"/>
            </w:pPr>
            <w:r>
              <w:rPr>
                <w:sz w:val="18"/>
                <w:szCs w:val="18"/>
              </w:rPr>
              <w:t xml:space="preserve">1.0</w:t>
            </w:r>
          </w:p>
        </w:tc>
        <w:tc>
          <w:tcPr>
            <w:tcW w:w="4738" w:type="dxa"/>
            <w:tcBorders>
              <w:top w:val="single" w:sz="4" w:space="0" w:color="CFD1D4"/>
              <w:bottom w:val="single" w:sz="4" w:space="0" w:color="CFD1D4"/>
            </w:tcBorders>
            <w:shd w:val="clear" w:color="auto" w:fill="FFFFFF"/>
            <w:vAlign w:val="center"/>
          </w:tcPr>
          <w:p w14:paraId="2FF961C3" w14:textId="77777777" w:rsidR="00BA565F" w:rsidRDefault="00D40E89">
            <w:pPr>
              <w:spacing w:after="120"/>
            </w:pPr>
            <w:r>
              <w:rPr>
                <w:sz w:val="18"/>
                <w:szCs w:val="18"/>
              </w:rPr>
              <w:t>Initial release: how to connect and create projects, work with the agent, review, approve and preview changes, manage access, and what is planned next.</w:t>
            </w:r>
          </w:p>
        </w:tc>
        <w:tc>
          <w:tcPr>
            <w:tcW w:w="1500" w:type="dxa"/>
            <w:tcBorders>
              <w:top w:val="single" w:sz="4" w:space="0" w:color="CFD1D4"/>
              <w:bottom w:val="single" w:sz="4" w:space="0" w:color="CFD1D4"/>
            </w:tcBorders>
            <w:shd w:val="clear" w:color="auto" w:fill="FFFFFF"/>
            <w:vAlign w:val="center"/>
          </w:tcPr>
          <w:p w14:paraId="0D2844F8" w14:textId="77777777" w:rsidR="00BA565F" w:rsidRDefault="00D40E89">
            <w:pPr>
              <w:spacing w:after="120"/>
            </w:pPr>
            <w:r>
              <w:rPr>
                <w:sz w:val="18"/>
                <w:szCs w:val="18"/>
              </w:rPr>
              <w:t xml:space="preserve">Bintang</w:t>
            </w:r>
          </w:p>
        </w:tc>
      </w:tr>
      <w:tr>
        <w:tc>
          <w:tcPr>
            <w:tcW w:type="dxa" w:w="1800"/>
          </w:tcPr>
          <w:p>
            <w:r>
              <w:t>19 Sep 2026</w:t>
            </w:r>
          </w:p>
        </w:tc>
        <w:tc>
          <w:tcPr>
            <w:tcW w:type="dxa" w:w="1600"/>
          </w:tcPr>
          <w:p>
            <w:r>
              <w:t>1.1</w:t>
            </w:r>
          </w:p>
        </w:tc>
        <w:tc>
          <w:tcPr>
            <w:tcW w:type="dxa" w:w="4738"/>
          </w:tcPr>
          <w:p>
            <w:r>
              <w:t>Added module selection when creating a new project with AI, and a description of the Ship to production action available on a project with a staging environment. Updated the capability list and the known-gaps table against what is now delivered: chat writes commit and push, per-client backups run before a staging or main push, and preview instances are live.</w:t>
            </w:r>
          </w:p>
        </w:tc>
        <w:tc>
          <w:tcPr>
            <w:tcW w:type="dxa" w:w="1500"/>
          </w:tcPr>
          <w:p>
            <w:r>
              <w:t>Bintang</w:t>
            </w:r>
          </w:p>
        </w:tc>
      </w:tr>
      <w:tr>
        <w:tc>
          <w:tcPr>
            <w:tcW w:type="dxa" w:w="1800"/>
          </w:tcPr>
          <w:p>
            <w:r>
              <w:t>24 Sep 2026</w:t>
            </w:r>
          </w:p>
        </w:tc>
        <w:tc>
          <w:tcPr>
            <w:tcW w:type="dxa" w:w="1600"/>
          </w:tcPr>
          <w:p>
            <w:r>
              <w:t>1.2</w:t>
            </w:r>
          </w:p>
        </w:tc>
        <w:tc>
          <w:tcPr>
            <w:tcW w:type="dxa" w:w="4738"/>
          </w:tcPr>
          <w:p>
            <w:r>
              <w:t>Documented the new deployment-wide Git credentials registry and each project's own Git access panel (transport and credential selection). Noted that a push now asks for approval exactly once, and that a push which does not reach its target branch is reported as a failed task rather than a false success. Updated the language FAQ to reflect that the agent replies in the language of your request, added a best-practice note on generated module names, and added two troubleshooting rows for a blank Chat answer and a retried model answer.</w:t>
            </w:r>
          </w:p>
        </w:tc>
        <w:tc>
          <w:tcPr>
            <w:tcW w:type="dxa" w:w="1500"/>
          </w:tcPr>
          <w:p>
            <w:r>
              <w:t>Bintang</w:t>
            </w:r>
          </w:p>
        </w:tc>
      </w:tr>
    </w:tbl>
    <w:p w14:paraId="2CCB6C21" w14:textId="3E975997" w:rsidR="00BA565F" w:rsidRDefault="00D40E89">
      <w:pPr>
        <w:pageBreakBefore/>
        <w:spacing w:before="360" w:after="60"/>
      </w:pPr>
      <w:r>
        <w:rPr>
          <w:rFonts w:ascii="Cascadia Mono" w:eastAsia="Cascadia Mono" w:hAnsi="Cascadia Mono" w:cs="Cascadia Mono"/>
          <w:b/>
          <w:bCs/>
          <w:color w:val="EE2E24"/>
          <w:sz w:val="16"/>
          <w:szCs w:val="16"/>
        </w:rPr>
        <w:lastRenderedPageBreak/>
        <w:t>§ 01 · NAVIGATION</w:t>
      </w:r>
    </w:p>
    <w:p w14:paraId="12FFED02" w14:textId="77777777" w:rsidR="00BA565F" w:rsidRDefault="00D40E89">
      <w:pPr>
        <w:pStyle w:val="Heading1"/>
        <w:pBdr>
          <w:bottom w:val="single" w:sz="12" w:space="6" w:color="213840"/>
        </w:pBdr>
        <w:spacing w:before="0" w:after="240"/>
      </w:pPr>
      <w:bookmarkStart w:id="2" w:name="__RefHeading___Toc2_SOW"/>
      <w:bookmarkStart w:id="3" w:name="_Toc228778200"/>
      <w:bookmarkEnd w:id="2"/>
      <w:r>
        <w:t>Table of Contents</w:t>
      </w:r>
      <w:bookmarkEnd w:id="3"/>
    </w:p>
    <w:sdt>
      <w:sdtPr>
        <w:id w:val="-1180420394"/>
        <w:docPartObj>
          <w:docPartGallery w:val="Table of Contents"/>
          <w:docPartUnique/>
        </w:docPartObj>
      </w:sdtPr>
      <w:sdtContent>
        <w:p w14:paraId="7F340FFC" w14:textId="77777777" w:rsidR="001C10C5" w:rsidRDefault="00D40E89">
          <w:pPr>
            <w:pStyle w:val="TOC1"/>
            <w:rPr>
              <w:rFonts w:asciiTheme="minorHAnsi" w:eastAsiaTheme="minorEastAsia" w:hAnsiTheme="minorHAnsi" w:cstheme="minorBidi"/>
              <w:noProof/>
              <w:color w:val="auto"/>
              <w:kern w:val="2"/>
              <w:sz w:val="24"/>
              <w:szCs w:val="24"/>
              <w:lang w:val="en-ZA" w:eastAsia="en-ZA" w:bidi="ar-SA"/>
              <w14:ligatures w14:val="standardContextual"/>
            </w:rPr>
          </w:pPr>
          <w:r>
            <w:fldChar w:fldCharType="begin"/>
          </w:r>
          <w:r>
            <w:instrText xml:space="preserve"> TOC \o "1-3" \h </w:instrText>
          </w:r>
          <w:r>
            <w:fldChar w:fldCharType="separate"/>
          </w:r>
          <w:r>
            <w:t>Right-click and select 'Update Field' (or press F9) to populate the Table of Contents.</w:t>
          </w:r>
          <w:r>
            <w:fldChar w:fldCharType="end"/>
          </w:r>
        </w:p>
      </w:sdtContent>
    </w:sdt>
    <w:p>
      <w:pPr>
        <w:pageBreakBefore/>
        <w:spacing w:before="360" w:after="60"/>
      </w:pPr>
      <w:r>
        <w:rPr>
          <w:rFonts w:ascii="Cascadia Mono" w:eastAsia="Cascadia Mono" w:hAnsi="Cascadia Mono" w:cs="Cascadia Mono"/>
          <w:b/>
          <w:bCs/>
          <w:color w:val="EE2E24"/>
          <w:sz w:val="16"/>
          <w:szCs w:val="16"/>
        </w:rPr>
        <w:t>§ 02 · INTRODUCTION</w:t>
      </w:r>
    </w:p>
    <w:p>
      <w:pPr>
        <w:pStyle w:val="Heading1"/>
        <w:pBdr>
          <w:bottom w:val="single" w:sz="12" w:space="6" w:color="213840"/>
        </w:pBdr>
        <w:spacing w:before="0" w:after="240"/>
      </w:pPr>
      <w:r>
        <w:t xml:space="preserve">Introduction</w:t>
      </w:r>
    </w:p>
    <w:p>
      <w:pPr>
        <w:pStyle w:val="Normal"/>
        <w:jc w:val="both"/>
      </w:pPr>
      <w:r>
        <w:rPr>
          <w:sz w:val="22"/>
          <w:szCs w:val="22"/>
        </w:rPr>
        <w:t xml:space="preserve">Cartenz is LinkedERP's AI-assisted development platform for Odoo. A user connects or creates a project, describes a change in plain language, and an agent analyses the project, proposes a plan, and — after a person approves it — modifies the code, validates it, commits it, and pushes it.</w:t>
      </w:r>
    </w:p>
    <w:p>
      <w:pPr>
        <w:pStyle w:val="Heading2"/>
      </w:pPr>
      <w:r>
        <w:t xml:space="preserve">Who this manual is for</w:t>
      </w:r>
    </w:p>
    <w:p>
      <w:pPr>
        <w:pStyle w:val="Normal"/>
        <w:jc w:val="both"/>
      </w:pPr>
      <w:r>
        <w:rPr>
          <w:sz w:val="22"/>
          <w:szCs w:val="22"/>
        </w:rPr>
        <w:t xml:space="preserve">Anyone who signs into the Cartenz portal to submit a request, review a plan, approve a change, or manage a project's settings and access. It does not cover installing or administering the platform itself; that is a separate operator guide.</w:t>
      </w:r>
    </w:p>
    <w:p>
      <w:pPr>
        <w:pStyle w:val="Heading2"/>
      </w:pPr>
      <w:r>
        <w:t xml:space="preserve">The two guiding principles</w:t>
      </w:r>
    </w:p>
    <w:p>
      <w:pPr>
        <w:pStyle w:val="ListParagraph"/>
        <w:numPr>
          <w:ilvl w:val="0"/>
          <w:numId w:val="1"/>
        </w:numPr>
      </w:pPr>
      <w:r>
        <w:rPr>
          <w:sz w:val="22"/>
          <w:szCs w:val="22"/>
        </w:rPr>
        <w:t xml:space="preserve">The AI can request an action; the platform decides whether it happens. Every step the agent takes passes through a permission check and, where the action matters, a human approval — before anything changes.</w:t>
      </w:r>
    </w:p>
    <w:p>
      <w:pPr>
        <w:pStyle w:val="ListParagraph"/>
        <w:numPr>
          <w:ilvl w:val="0"/>
          <w:numId w:val="1"/>
        </w:numPr>
      </w:pPr>
      <w:r>
        <w:rPr>
          <w:sz w:val="22"/>
          <w:szCs w:val="22"/>
        </w:rPr>
        <w:t xml:space="preserve">The agent is code-aware but data-blind by default. It reads and writes source code. It does not read a customer's production database records unless that is explicitly and narrowly enabled, and export or backup of a database is never something the agent can be granted.</w:t>
      </w:r>
    </w:p>
    <w:tbl>
      <w:tblPr>
        <w:tblW w:w="9000" w:type="dxa"/>
      </w:tblPr>
      <w:tblGrid>
        <w:gridCol w:w="1500"/>
        <w:gridCol w:w="7500"/>
      </w:tblGrid>
      <w:tr>
        <w:tc>
          <w:tcPr>
            <w:tcW w:w="1500" w:type="dxa"/>
            <w:shd w:val="clear" w:color="auto" w:fill="3A5762"/>
          </w:tcPr>
          <w:p>
            <w:r>
              <w:rPr>
                <w:rFonts w:ascii="Cascadia Mono" w:eastAsia="Cascadia Mono" w:hAnsi="Cascadia Mono" w:cs="Cascadia Mono"/>
                <w:b/>
                <w:bCs/>
                <w:color w:val="FFFFFF"/>
                <w:sz w:val="16"/>
                <w:szCs w:val="16"/>
              </w:rPr>
              <w:t>INFO</w:t>
            </w:r>
          </w:p>
        </w:tc>
        <w:tc>
          <w:tcPr>
            <w:tcW w:w="7500" w:type="dxa"/>
            <w:shd w:val="clear" w:color="auto" w:fill="E3EAEE"/>
          </w:tcPr>
          <w:p>
            <w:r>
              <w:rPr>
                <w:sz w:val="18"/>
                <w:szCs w:val="18"/>
              </w:rPr>
              <w:t xml:space="preserve">Everything sent to, and received from, an AI model provider passes through a data-protection boundary first. This is not a setting a project can turn off.</w:t>
            </w:r>
          </w:p>
        </w:tc>
      </w:tr>
    </w:tbl>
    <w:p>
      <w:pPr>
        <w:pageBreakBefore/>
        <w:spacing w:before="360" w:after="60"/>
      </w:pPr>
      <w:r>
        <w:rPr>
          <w:rFonts w:ascii="Cascadia Mono" w:eastAsia="Cascadia Mono" w:hAnsi="Cascadia Mono" w:cs="Cascadia Mono"/>
          <w:b/>
          <w:bCs/>
          <w:color w:val="EE2E24"/>
          <w:sz w:val="16"/>
          <w:szCs w:val="16"/>
        </w:rPr>
        <w:t>§ 03 · GETTING STARTED</w:t>
      </w:r>
    </w:p>
    <w:p>
      <w:pPr>
        <w:pStyle w:val="Heading1"/>
        <w:pBdr>
          <w:bottom w:val="single" w:sz="12" w:space="6" w:color="213840"/>
        </w:pBdr>
        <w:spacing w:before="0" w:after="240"/>
      </w:pPr>
      <w:r>
        <w:t xml:space="preserve">Getting Started</w:t>
      </w:r>
    </w:p>
    <w:p>
      <w:pPr>
        <w:pStyle w:val="Heading2"/>
      </w:pPr>
      <w:r>
        <w:t xml:space="preserve">Creating an account</w:t>
      </w:r>
    </w:p>
    <w:p>
      <w:pPr>
        <w:pStyle w:val="ListParagraph"/>
        <w:numPr>
          <w:ilvl w:val="0"/>
          <w:numId w:val="2"/>
        </w:numPr>
      </w:pPr>
      <w:r>
        <w:rPr>
          <w:sz w:val="22"/>
          <w:szCs w:val="22"/>
        </w:rPr>
        <w:t xml:space="preserve">On the sign-in page, select "Create one".</w:t>
      </w:r>
    </w:p>
    <w:p>
      <w:pPr>
        <w:pStyle w:val="ListParagraph"/>
        <w:numPr>
          <w:ilvl w:val="0"/>
          <w:numId w:val="2"/>
        </w:numPr>
      </w:pPr>
      <w:r>
        <w:rPr>
          <w:sz w:val="22"/>
          <w:szCs w:val="22"/>
        </w:rPr>
        <w:t xml:space="preserve">Enter your full name, your email address, and your region.</w:t>
      </w:r>
    </w:p>
    <w:p>
      <w:pPr>
        <w:pStyle w:val="ListParagraph"/>
        <w:numPr>
          <w:ilvl w:val="0"/>
          <w:numId w:val="2"/>
        </w:numPr>
      </w:pPr>
      <w:r>
        <w:rPr>
          <w:sz w:val="22"/>
          <w:szCs w:val="22"/>
        </w:rPr>
        <w:t xml:space="preserve">Choose a password of at least twelve characters.</w:t>
      </w:r>
    </w:p>
    <w:p>
      <w:pPr>
        <w:pStyle w:val="ListParagraph"/>
        <w:numPr>
          <w:ilvl w:val="0"/>
          <w:numId w:val="2"/>
        </w:numPr>
      </w:pPr>
      <w:r>
        <w:rPr>
          <w:sz w:val="22"/>
          <w:szCs w:val="22"/>
        </w:rPr>
        <w:t xml:space="preserve">Select "Create account".</w:t>
      </w:r>
    </w:p>
    <w:p>
      <w:pPr>
        <w:pStyle w:val="Normal"/>
        <w:jc w:val="both"/>
      </w:pPr>
      <w:r>
        <w:rPr>
          <w:sz w:val="22"/>
          <w:szCs w:val="22"/>
        </w:rPr>
        <w:t xml:space="preserve">Your region decides which projects you see by default — it is explained fully in the Access Control chapter.</w:t>
      </w:r>
    </w:p>
    <w:p>
      <w:pPr>
        <w:pStyle w:val="Heading2"/>
      </w:pPr>
      <w:r>
        <w:t xml:space="preserve">Signing in</w:t>
      </w:r>
    </w:p>
    <w:p>
      <w:pPr>
        <w:pStyle w:val="Normal"/>
        <w:jc w:val="both"/>
      </w:pPr>
      <w:r>
        <w:rPr>
          <w:sz w:val="22"/>
          <w:szCs w:val="22"/>
        </w:rPr>
        <w:t xml:space="preserve">Enter your email address and password, then select "Sign in". You will land on your dashboard, which lists your projects and recent activity.</w:t>
      </w:r>
    </w:p>
    <w:p>
      <w:pPr>
        <w:pageBreakBefore/>
        <w:spacing w:before="360" w:after="60"/>
      </w:pPr>
      <w:r>
        <w:rPr>
          <w:rFonts w:ascii="Cascadia Mono" w:eastAsia="Cascadia Mono" w:hAnsi="Cascadia Mono" w:cs="Cascadia Mono"/>
          <w:b/>
          <w:bCs/>
          <w:color w:val="EE2E24"/>
          <w:sz w:val="16"/>
          <w:szCs w:val="16"/>
        </w:rPr>
        <w:t>§ 04 · CREATING AND CONNECTING A PROJECT</w:t>
      </w:r>
    </w:p>
    <w:p>
      <w:pPr>
        <w:pStyle w:val="Heading1"/>
        <w:pBdr>
          <w:bottom w:val="single" w:sz="12" w:space="6" w:color="213840"/>
        </w:pBdr>
        <w:spacing w:before="0" w:after="240"/>
      </w:pPr>
      <w:r>
        <w:t xml:space="preserve">Creating and Connecting a Project</w:t>
      </w:r>
    </w:p>
    <w:p>
      <w:pPr>
        <w:pStyle w:val="Normal"/>
        <w:jc w:val="both"/>
      </w:pPr>
      <w:r>
        <w:rPr>
          <w:sz w:val="22"/>
          <w:szCs w:val="22"/>
        </w:rPr>
        <w:t xml:space="preserve">A project can be connected — pointed at an Odoo installation that already exists — or created, in which case Cartenz builds it from a description.</w:t>
      </w:r>
    </w:p>
    <w:p>
      <w:pPr>
        <w:pStyle w:val="Heading2"/>
      </w:pPr>
      <w:r>
        <w:t xml:space="preserve">Connecting an existing project</w:t>
      </w:r>
    </w:p>
    <w:p>
      <w:pPr>
        <w:pStyle w:val="Normal"/>
        <w:jc w:val="both"/>
      </w:pPr>
      <w:r>
        <w:rPr>
          <w:sz w:val="22"/>
          <w:szCs w:val="22"/>
        </w:rPr>
        <w:t xml:space="preserve">On the Projects page, select "New project", then "Connect an existing project". Choose the kind of installation:</w:t>
      </w:r>
    </w:p>
    <w:tbl>
      <w:tblPr>
        <w:tblW w:w="9000" w:type="dxa"/>
        <w:tblBorders>
          <w:top w:val="single" w:sz="4" w:color="D0D0D0"/>
          <w:left w:val="single" w:sz="4" w:color="D0D0D0"/>
          <w:bottom w:val="single" w:sz="4" w:color="D0D0D0"/>
          <w:right w:val="single" w:sz="4" w:color="D0D0D0"/>
          <w:insideH w:val="single" w:sz="4" w:color="D0D0D0"/>
          <w:insideV w:val="single" w:sz="4" w:color="D0D0D0"/>
        </w:tblBorders>
      </w:tblPr>
      <w:tblGrid>
        <w:gridCol w:w="4500"/>
        <w:gridCol w:w="4500"/>
      </w:tblGrid>
      <w:tr>
        <w:trPr>
          <w:tblHeader/>
        </w:trPr>
        <w:tc>
          <w:tcPr>
            <w:tcW w:w="4500" w:type="dxa"/>
            <w:shd w:val="clear" w:color="auto" w:fill="213840"/>
          </w:tcPr>
          <w:p>
            <w:r>
              <w:rPr>
                <w:rFonts w:ascii="Cascadia Mono" w:eastAsia="Cascadia Mono" w:hAnsi="Cascadia Mono" w:cs="Cascadia Mono"/>
                <w:b/>
                <w:bCs/>
                <w:color w:val="FFFFFF"/>
                <w:sz w:val="16"/>
                <w:szCs w:val="16"/>
              </w:rPr>
              <w:t xml:space="preserve">PROJECT TYPE</w:t>
            </w:r>
          </w:p>
        </w:tc>
        <w:tc>
          <w:tcPr>
            <w:tcW w:w="4500" w:type="dxa"/>
            <w:shd w:val="clear" w:color="auto" w:fill="213840"/>
          </w:tcPr>
          <w:p>
            <w:r>
              <w:rPr>
                <w:rFonts w:ascii="Cascadia Mono" w:eastAsia="Cascadia Mono" w:hAnsi="Cascadia Mono" w:cs="Cascadia Mono"/>
                <w:b/>
                <w:bCs/>
                <w:color w:val="FFFFFF"/>
                <w:sz w:val="16"/>
                <w:szCs w:val="16"/>
              </w:rPr>
              <w:t xml:space="preserve">WHAT IT MEANS</w:t>
            </w:r>
          </w:p>
        </w:tc>
      </w:tr>
      <w:tr>
        <w:tc>
          <w:tcPr>
            <w:tcW w:w="4500" w:type="dxa"/>
          </w:tcPr>
          <w:p>
            <w:r>
              <w:rPr>
                <w:sz w:val="18"/>
                <w:szCs w:val="18"/>
              </w:rPr>
              <w:t xml:space="preserve">Git repository (GitHub or GitLab)</w:t>
            </w:r>
          </w:p>
        </w:tc>
        <w:tc>
          <w:tcPr>
            <w:tcW w:w="4500" w:type="dxa"/>
          </w:tcPr>
          <w:p>
            <w:r>
              <w:rPr>
                <w:sz w:val="18"/>
                <w:szCs w:val="18"/>
              </w:rPr>
              <w:t xml:space="preserve">The agent works on a private, disposable clone of the repository for each task, then pushes the result to the branch you targeted.</w:t>
            </w:r>
          </w:p>
        </w:tc>
      </w:tr>
      <w:tr>
        <w:tc>
          <w:tcPr>
            <w:tcW w:w="4500" w:type="dxa"/>
          </w:tcPr>
          <w:p>
            <w:r>
              <w:rPr>
                <w:sz w:val="18"/>
                <w:szCs w:val="18"/>
              </w:rPr>
              <w:t xml:space="preserve">Odoo.sh</w:t>
            </w:r>
          </w:p>
        </w:tc>
        <w:tc>
          <w:tcPr>
            <w:tcW w:w="4500" w:type="dxa"/>
          </w:tcPr>
          <w:p>
            <w:r>
              <w:rPr>
                <w:sz w:val="18"/>
                <w:szCs w:val="18"/>
              </w:rPr>
              <w:t xml:space="preserve">The same clone-based workflow, tailored to Odoo.sh's own branching and build behaviour.</w:t>
            </w:r>
          </w:p>
        </w:tc>
      </w:tr>
      <w:tr>
        <w:tc>
          <w:tcPr>
            <w:tcW w:w="4500" w:type="dxa"/>
          </w:tcPr>
          <w:p>
            <w:r>
              <w:rPr>
                <w:sz w:val="18"/>
                <w:szCs w:val="18"/>
              </w:rPr>
              <w:t xml:space="preserve">On-premise</w:t>
            </w:r>
          </w:p>
        </w:tc>
        <w:tc>
          <w:tcPr>
            <w:tcW w:w="4500" w:type="dxa"/>
          </w:tcPr>
          <w:p>
            <w:r>
              <w:rPr>
                <w:sz w:val="18"/>
                <w:szCs w:val="18"/>
              </w:rPr>
              <w:t xml:space="preserve">The agent works directly on a local directory — the installation is on the same host as Cartenz, or Cartenz has been given a repository for one that is not.</w:t>
            </w:r>
          </w:p>
        </w:tc>
      </w:tr>
      <w:tr>
        <w:tc>
          <w:tcPr>
            <w:tcW w:w="4500" w:type="dxa"/>
          </w:tcPr>
          <w:p>
            <w:r>
              <w:rPr>
                <w:sz w:val="18"/>
                <w:szCs w:val="18"/>
              </w:rPr>
              <w:t xml:space="preserve">Odoo Online</w:t>
            </w:r>
          </w:p>
        </w:tc>
        <w:tc>
          <w:tcPr>
            <w:tcW w:w="4500" w:type="dxa"/>
          </w:tcPr>
          <w:p>
            <w:r>
              <w:rPr>
                <w:sz w:val="18"/>
                <w:szCs w:val="18"/>
              </w:rPr>
              <w:t xml:space="preserve">The agent customises schema and views through Odoo's own API; it has no filesystem access and cannot read or write business records.</w:t>
            </w:r>
          </w:p>
        </w:tc>
      </w:tr>
    </w:tbl>
    <w:p>
      <w:pPr>
        <w:pStyle w:val="Caption"/>
      </w:pPr>
      <w:r>
        <w:rPr>
          <w:i/>
          <w:iCs/>
        </w:rPr>
        <w:t xml:space="preserve">Table 1: The four project types and how the agent reaches each one.</w:t>
      </w:r>
    </w:p>
    <w:p>
      <w:pPr>
        <w:pStyle w:val="Normal"/>
        <w:jc w:val="both"/>
      </w:pPr>
      <w:r>
        <w:rPr>
          <w:sz w:val="22"/>
          <w:szCs w:val="22"/>
        </w:rPr>
        <w:t xml:space="preserve">You will also record the Odoo version, the edition (Community or Enterprise), and at least one environment — a named branch the agent may target, such as Development or Staging. A project without at least one environment cannot run a task.</w:t>
      </w:r>
    </w:p>
    <w:tbl>
      <w:tblPr>
        <w:tblW w:w="9000" w:type="dxa"/>
      </w:tblPr>
      <w:tblGrid>
        <w:gridCol w:w="1500"/>
        <w:gridCol w:w="7500"/>
      </w:tblGrid>
      <w:tr>
        <w:tc>
          <w:tcPr>
            <w:tcW w:w="1500" w:type="dxa"/>
            <w:shd w:val="clear" w:color="auto" w:fill="546870"/>
          </w:tcPr>
          <w:p>
            <w:r>
              <w:rPr>
                <w:rFonts w:ascii="Cascadia Mono" w:eastAsia="Cascadia Mono" w:hAnsi="Cascadia Mono" w:cs="Cascadia Mono"/>
                <w:b/>
                <w:bCs/>
                <w:color w:val="FFFFFF"/>
                <w:sz w:val="16"/>
                <w:szCs w:val="16"/>
              </w:rPr>
              <w:t>NOTE</w:t>
            </w:r>
          </w:p>
        </w:tc>
        <w:tc>
          <w:tcPr>
            <w:tcW w:w="7500" w:type="dxa"/>
            <w:shd w:val="clear" w:color="auto" w:fill="F0F2F4"/>
          </w:tcPr>
          <w:p>
            <w:r>
              <w:rPr>
                <w:sz w:val="18"/>
                <w:szCs w:val="18"/>
              </w:rPr>
              <w:t xml:space="preserve">Reading a private repository's branches needs a credential. If one is already registered under Settings → Git credentials, it is used automatically; otherwise, paste a personal access token or your full SSH private key — line breaks included — when you connect.</w:t>
            </w:r>
          </w:p>
        </w:tc>
      </w:tr>
    </w:tbl>
    <w:p>
      <w:pPr>
        <w:pStyle w:val="Heading2"/>
      </w:pPr>
      <w:r>
        <w:t xml:space="preserve">Creating a new project with AI</w:t>
      </w:r>
    </w:p>
    <w:p>
      <w:pPr>
        <w:pStyle w:val="Normal"/>
        <w:jc w:val="both"/>
      </w:pPr>
      <w:r>
        <w:rPr>
          <w:sz w:val="22"/>
          <w:szCs w:val="22"/>
        </w:rPr>
        <w:t xml:space="preserve">Select "Create a new project with AI" instead, then provide a project name, the Odoo version and edition, your region, a description, and one or more requirements. Cartenz turns this into a project specification.</w:t>
      </w:r>
    </w:p>
    <w:tbl>
      <w:tblPr>
        <w:tblW w:w="9000" w:type="dxa"/>
      </w:tblPr>
      <w:tblGrid>
        <w:gridCol w:w="1500"/>
        <w:gridCol w:w="7500"/>
      </w:tblGrid>
      <w:tr>
        <w:tc>
          <w:tcPr>
            <w:tcW w:w="1500" w:type="dxa"/>
            <w:shd w:val="clear" w:color="auto" w:fill="546870"/>
          </w:tcPr>
          <w:p>
            <w:r>
              <w:rPr>
                <w:rFonts w:ascii="Cascadia Mono" w:eastAsia="Cascadia Mono" w:hAnsi="Cascadia Mono" w:cs="Cascadia Mono"/>
                <w:b/>
                <w:bCs/>
                <w:color w:val="FFFFFF"/>
                <w:sz w:val="16"/>
                <w:szCs w:val="16"/>
              </w:rPr>
              <w:t>NOTE</w:t>
            </w:r>
          </w:p>
        </w:tc>
        <w:tc>
          <w:tcPr>
            <w:tcW w:w="7500" w:type="dxa"/>
            <w:shd w:val="clear" w:color="auto" w:fill="F0F2F4"/>
          </w:tcPr>
          <w:p>
            <w:r>
              <w:rPr>
                <w:sz w:val="18"/>
                <w:szCs w:val="18"/>
              </w:rPr>
              <w:t xml:space="preserve">A project created this way starts with no repository. Once it is scaffolded — a real Git repository, a runnable Odoo configuration, and staging and development branches, all created together — you can begin submitting requests against it.</w:t>
            </w:r>
          </w:p>
        </w:tc>
      </w:tr>
    </w:tbl>
    <w:p>
      <w:r>
        <w:t>By default a new project starts with every application of its edition already installed. You may instead pick which applications to install: select the ones you need from the module list shown on the creation form, and Cartenz resolves anything they depend on automatically before provisioning starts. Leaving nothing selected keeps the default: everything installed.</w:t>
      </w:r>
    </w:p>
    <w:p>
      <w:pPr>
        <w:pStyle w:val="Heading2"/>
      </w:pPr>
      <w:r>
        <w:t xml:space="preserve">What happens behind the scenes</w:t>
      </w:r>
    </w:p>
    <w:p>
      <w:pPr>
        <w:pStyle w:val="Normal"/>
        <w:jc w:val="both"/>
      </w:pPr>
      <w:r>
        <w:rPr>
          <w:sz w:val="22"/>
          <w:szCs w:val="22"/>
        </w:rPr>
        <w:t xml:space="preserve">Creating a project can also provision a real, running Odoo instance: its own database (cloned instantly from a pre-built template for that version and edition, so it starts with every application already installed), its own service, and — where enabled — its own HTTPS certificate and its own GitHub repository. None of this costs AI usage: the Odoo source code and the installed applications are prepared once per version, not regenerated for every new project.</w:t>
      </w:r>
    </w:p>
    <w:p>
      <w:pPr>
        <w:pageBreakBefore/>
        <w:spacing w:before="360" w:after="60"/>
      </w:pPr>
      <w:r>
        <w:rPr>
          <w:rFonts w:ascii="Cascadia Mono" w:eastAsia="Cascadia Mono" w:hAnsi="Cascadia Mono" w:cs="Cascadia Mono"/>
          <w:b/>
          <w:bCs/>
          <w:color w:val="EE2E24"/>
          <w:sz w:val="16"/>
          <w:szCs w:val="16"/>
        </w:rPr>
        <w:t>§ 05 · MANAGING YOUR PROJECTS</w:t>
      </w:r>
    </w:p>
    <w:p>
      <w:pPr>
        <w:pStyle w:val="Heading1"/>
        <w:pBdr>
          <w:bottom w:val="single" w:sz="12" w:space="6" w:color="213840"/>
        </w:pBdr>
        <w:spacing w:before="0" w:after="240"/>
      </w:pPr>
      <w:r>
        <w:t xml:space="preserve">Managing Your Projects</w:t>
      </w:r>
    </w:p>
    <w:p>
      <w:pPr>
        <w:pStyle w:val="Heading2"/>
      </w:pPr>
      <w:r>
        <w:t xml:space="preserve">The project list</w:t>
      </w:r>
    </w:p>
    <w:p>
      <w:pPr>
        <w:pStyle w:val="Normal"/>
        <w:jc w:val="both"/>
      </w:pPr>
      <w:r>
        <w:rPr>
          <w:sz w:val="22"/>
          <w:szCs w:val="22"/>
        </w:rPr>
        <w:t xml:space="preserve">The Projects page lists every project you can see. You can search by name, description, or repository URL, and toggle whether archived projects are shown. Each card shows the project's type, its Odoo version, its default branch, and how many tasks are open.</w:t>
      </w:r>
    </w:p>
    <w:p>
      <w:pPr>
        <w:pStyle w:val="Heading2"/>
      </w:pPr>
      <w:r>
        <w:t xml:space="preserve">A project you cannot open</w:t>
      </w:r>
    </w:p>
    <w:p>
      <w:pPr>
        <w:pStyle w:val="Normal"/>
        <w:jc w:val="both"/>
      </w:pPr>
      <w:r>
        <w:rPr>
          <w:sz w:val="22"/>
          <w:szCs w:val="22"/>
        </w:rPr>
        <w:t xml:space="preserve">A project outside your access still appears in the list — with its description and repository URL withheld — rather than disappearing. Select "Request access" beneath the card, add a short reason if you like, and send the request. It goes to that project's administrators to approve or decline.</w:t>
      </w:r>
    </w:p>
    <w:p>
      <w:pPr>
        <w:pStyle w:val="Heading2"/>
      </w:pPr>
      <w:r>
        <w:t xml:space="preserve">The project detail page</w:t>
      </w:r>
    </w:p>
    <w:p>
      <w:pPr>
        <w:pStyle w:val="Normal"/>
        <w:jc w:val="both"/>
      </w:pPr>
      <w:r>
        <w:rPr>
          <w:sz w:val="22"/>
          <w:szCs w:val="22"/>
        </w:rPr>
        <w:t xml:space="preserve">Opening a project shows its recent tasks, what the agent has already learned about it (the detected Odoo version, its modules, its structure), its specification if it has one, its provisioned instance details if it has those, and a link into its settings and its agent workspace.</w:t>
      </w:r>
    </w:p>
    <w:p>
      <w:pPr>
        <w:pageBreakBefore/>
        <w:spacing w:before="360" w:after="60"/>
      </w:pPr>
      <w:r>
        <w:rPr>
          <w:rFonts w:ascii="Cascadia Mono" w:eastAsia="Cascadia Mono" w:hAnsi="Cascadia Mono" w:cs="Cascadia Mono"/>
          <w:b/>
          <w:bCs/>
          <w:color w:val="EE2E24"/>
          <w:sz w:val="16"/>
          <w:szCs w:val="16"/>
        </w:rPr>
        <w:t>§ 06 · THE AGENT WORKSPACE</w:t>
      </w:r>
    </w:p>
    <w:p>
      <w:pPr>
        <w:pStyle w:val="Heading1"/>
        <w:pBdr>
          <w:bottom w:val="single" w:sz="12" w:space="6" w:color="213840"/>
        </w:pBdr>
        <w:spacing w:before="0" w:after="240"/>
      </w:pPr>
      <w:r>
        <w:t xml:space="preserve">The Agent Workspace</w:t>
      </w:r>
    </w:p>
    <w:p>
      <w:pPr>
        <w:pStyle w:val="Normal"/>
        <w:jc w:val="both"/>
      </w:pPr>
      <w:r>
        <w:rPr>
          <w:sz w:val="22"/>
          <w:szCs w:val="22"/>
        </w:rPr>
        <w:t xml:space="preserve">The workspace is a three-pane view: your conversations on the left, the active conversation in the centre, and the selected task's detail on the right.</w:t>
      </w:r>
    </w:p>
    <w:p>
      <w:pPr>
        <w:pStyle w:val="Heading2"/>
      </w:pPr>
      <w:r>
        <w:t xml:space="preserve">Conversations</w:t>
      </w:r>
    </w:p>
    <w:p>
      <w:pPr>
        <w:pStyle w:val="Normal"/>
        <w:jc w:val="both"/>
      </w:pPr>
      <w:r>
        <w:rPr>
          <w:sz w:val="22"/>
          <w:szCs w:val="22"/>
        </w:rPr>
        <w:t xml:space="preserve">Every request you submit belongs to a conversation. Submitting a request with none open starts one; selecting "New" starts another. Reopening an earlier conversation restores it exactly as you left it — each of its requests is still there, in order, with its own outcome.</w:t>
      </w:r>
    </w:p>
    <w:p>
      <w:pPr>
        <w:pStyle w:val="Heading2"/>
      </w:pPr>
      <w:r>
        <w:t xml:space="preserve">Two kinds of request</w:t>
      </w:r>
    </w:p>
    <w:tbl>
      <w:tblPr>
        <w:tblW w:w="9000" w:type="dxa"/>
        <w:tblBorders>
          <w:top w:val="single" w:sz="4" w:color="D0D0D0"/>
          <w:left w:val="single" w:sz="4" w:color="D0D0D0"/>
          <w:bottom w:val="single" w:sz="4" w:color="D0D0D0"/>
          <w:right w:val="single" w:sz="4" w:color="D0D0D0"/>
          <w:insideH w:val="single" w:sz="4" w:color="D0D0D0"/>
          <w:insideV w:val="single" w:sz="4" w:color="D0D0D0"/>
        </w:tblBorders>
      </w:tblPr>
      <w:tblGrid>
        <w:gridCol w:w="4500"/>
        <w:gridCol w:w="4500"/>
      </w:tblGrid>
      <w:tr>
        <w:trPr>
          <w:tblHeader/>
        </w:trPr>
        <w:tc>
          <w:tcPr>
            <w:tcW w:w="4500" w:type="dxa"/>
            <w:shd w:val="clear" w:color="auto" w:fill="213840"/>
          </w:tcPr>
          <w:p>
            <w:r>
              <w:rPr>
                <w:rFonts w:ascii="Cascadia Mono" w:eastAsia="Cascadia Mono" w:hAnsi="Cascadia Mono" w:cs="Cascadia Mono"/>
                <w:b/>
                <w:bCs/>
                <w:color w:val="FFFFFF"/>
                <w:sz w:val="16"/>
                <w:szCs w:val="16"/>
              </w:rPr>
              <w:t xml:space="preserve">MODE</w:t>
            </w:r>
          </w:p>
        </w:tc>
        <w:tc>
          <w:tcPr>
            <w:tcW w:w="4500" w:type="dxa"/>
            <w:shd w:val="clear" w:color="auto" w:fill="213840"/>
          </w:tcPr>
          <w:p>
            <w:r>
              <w:rPr>
                <w:rFonts w:ascii="Cascadia Mono" w:eastAsia="Cascadia Mono" w:hAnsi="Cascadia Mono" w:cs="Cascadia Mono"/>
                <w:b/>
                <w:bCs/>
                <w:color w:val="FFFFFF"/>
                <w:sz w:val="16"/>
                <w:szCs w:val="16"/>
              </w:rPr>
              <w:t xml:space="preserve">USE IT FOR</w:t>
            </w:r>
          </w:p>
        </w:tc>
      </w:tr>
      <w:tr>
        <w:tc>
          <w:tcPr>
            <w:tcW w:w="4500" w:type="dxa"/>
          </w:tcPr>
          <w:p>
            <w:r>
              <w:rPr>
                <w:sz w:val="18"/>
                <w:szCs w:val="18"/>
              </w:rPr>
              <w:t xml:space="preserve">Change</w:t>
            </w:r>
          </w:p>
        </w:tc>
        <w:tc>
          <w:tcPr>
            <w:tcW w:w="4500" w:type="dxa"/>
          </w:tcPr>
          <w:p>
            <w:r>
              <w:rPr>
                <w:sz w:val="18"/>
                <w:szCs w:val="18"/>
              </w:rPr>
              <w:t xml:space="preserve">A request that should modify code — add a field, adjust a view, fix a calculation.</w:t>
            </w:r>
          </w:p>
        </w:tc>
      </w:tr>
      <w:tr>
        <w:tc>
          <w:tcPr>
            <w:tcW w:w="4500" w:type="dxa"/>
          </w:tcPr>
          <w:p>
            <w:r>
              <w:rPr>
                <w:sz w:val="18"/>
                <w:szCs w:val="18"/>
              </w:rPr>
              <w:t xml:space="preserve">Chat</w:t>
            </w:r>
          </w:p>
        </w:tc>
        <w:tc>
          <w:tcPr>
            <w:tcW w:w="4500" w:type="dxa"/>
          </w:tcPr>
          <w:p>
            <w:r>
              <w:rPr>
                <w:sz w:val="18"/>
                <w:szCs w:val="18"/>
              </w:rPr>
              <w:t xml:space="preserve">A question about the project that needs no code change — "does this model already have a customer reference field?"</w:t>
            </w:r>
          </w:p>
        </w:tc>
      </w:tr>
    </w:tbl>
    <w:p>
      <w:pPr>
        <w:pStyle w:val="Caption"/>
      </w:pPr>
      <w:r>
        <w:rPr>
          <w:i/>
          <w:iCs/>
        </w:rPr>
        <w:t xml:space="preserve">Table 2: Change mode and Chat mode.</w:t>
      </w:r>
    </w:p>
    <w:p>
      <w:pPr>
        <w:pStyle w:val="Normal"/>
        <w:jc w:val="both"/>
      </w:pPr>
      <w:r>
        <w:rPr>
          <w:sz w:val="22"/>
          <w:szCs w:val="22"/>
        </w:rPr>
        <w:t xml:space="preserve">A Chat request can still result in a proposed file edit if you ask for one; it is applied only after the same approval a Change request needs. What a Chat request does not yet do is described in the next chapter.</w:t>
      </w:r>
    </w:p>
    <w:p>
      <w:pPr>
        <w:pStyle w:val="Heading2"/>
      </w:pPr>
      <w:r>
        <w:t xml:space="preserve">Submitting a request</w:t>
      </w:r>
    </w:p>
    <w:p>
      <w:pPr>
        <w:pStyle w:val="ListParagraph"/>
        <w:numPr>
          <w:ilvl w:val="0"/>
          <w:numId w:val="2"/>
        </w:numPr>
      </w:pPr>
      <w:r>
        <w:rPr>
          <w:sz w:val="22"/>
          <w:szCs w:val="22"/>
        </w:rPr>
        <w:t xml:space="preserve">Choose the target environment (for example, Development).</w:t>
      </w:r>
    </w:p>
    <w:p>
      <w:pPr>
        <w:pStyle w:val="ListParagraph"/>
        <w:numPr>
          <w:ilvl w:val="0"/>
          <w:numId w:val="2"/>
        </w:numPr>
      </w:pPr>
      <w:r>
        <w:rPr>
          <w:sz w:val="22"/>
          <w:szCs w:val="22"/>
        </w:rPr>
        <w:t xml:space="preserve">Describe what you want, specifically enough for the agent to act on it.</w:t>
      </w:r>
    </w:p>
    <w:p>
      <w:pPr>
        <w:pStyle w:val="ListParagraph"/>
        <w:numPr>
          <w:ilvl w:val="0"/>
          <w:numId w:val="2"/>
        </w:numPr>
      </w:pPr>
      <w:r>
        <w:rPr>
          <w:sz w:val="22"/>
          <w:szCs w:val="22"/>
        </w:rPr>
        <w:t xml:space="preserve">Optionally attach a document (a specification, a design note) or paste an image directly into the prompt — a screenshot of a mock-up, an error message, a form you want reproduced.</w:t>
      </w:r>
    </w:p>
    <w:p>
      <w:pPr>
        <w:pStyle w:val="ListParagraph"/>
        <w:numPr>
          <w:ilvl w:val="0"/>
          <w:numId w:val="2"/>
        </w:numPr>
      </w:pPr>
      <w:r>
        <w:rPr>
          <w:sz w:val="22"/>
          <w:szCs w:val="22"/>
        </w:rPr>
        <w:t xml:space="preserve">Select "Submit request".</w:t>
      </w:r>
    </w:p>
    <w:tbl>
      <w:tblPr>
        <w:tblW w:w="9000" w:type="dxa"/>
      </w:tblPr>
      <w:tblGrid>
        <w:gridCol w:w="1500"/>
        <w:gridCol w:w="7500"/>
      </w:tblGrid>
      <w:tr>
        <w:tc>
          <w:tcPr>
            <w:tcW w:w="1500" w:type="dxa"/>
            <w:shd w:val="clear" w:color="auto" w:fill="546870"/>
          </w:tcPr>
          <w:p>
            <w:r>
              <w:rPr>
                <w:rFonts w:ascii="Cascadia Mono" w:eastAsia="Cascadia Mono" w:hAnsi="Cascadia Mono" w:cs="Cascadia Mono"/>
                <w:b/>
                <w:bCs/>
                <w:color w:val="FFFFFF"/>
                <w:sz w:val="16"/>
                <w:szCs w:val="16"/>
              </w:rPr>
              <w:t>NOTE</w:t>
            </w:r>
          </w:p>
        </w:tc>
        <w:tc>
          <w:tcPr>
            <w:tcW w:w="7500" w:type="dxa"/>
            <w:shd w:val="clear" w:color="auto" w:fill="F0F2F4"/>
          </w:tcPr>
          <w:p>
            <w:r>
              <w:rPr>
                <w:sz w:val="18"/>
                <w:szCs w:val="18"/>
              </w:rPr>
              <w:t xml:space="preserve">Pasting an image works exactly like the upload button — up to 5 MB per image, in PNG, JPEG, WebP or GIF. Pasting a file that is not an image is not yet supported; use the upload button for those.</w:t>
            </w:r>
          </w:p>
        </w:tc>
      </w:tr>
    </w:tbl>
    <w:p>
      <w:pPr>
        <w:pStyle w:val="Heading2"/>
      </w:pPr>
      <w:r>
        <w:t xml:space="preserve">What happens after you submit</w:t>
      </w:r>
    </w:p>
    <w:p>
      <w:pPr>
        <w:pStyle w:val="Normal"/>
        <w:jc w:val="both"/>
      </w:pPr>
      <w:r>
        <w:rPr>
          <w:sz w:val="22"/>
          <w:szCs w:val="22"/>
        </w:rPr>
        <w:t xml:space="preserve">A Change request moves through a fixed sequence, shown live in the activity stream:</w:t>
      </w:r>
    </w:p>
    <w:p>
      <w:pPr>
        <w:pStyle w:val="ListParagraph"/>
        <w:numPr>
          <w:ilvl w:val="0"/>
          <w:numId w:val="2"/>
        </w:numPr>
      </w:pPr>
      <w:r>
        <w:rPr>
          <w:sz w:val="22"/>
          <w:szCs w:val="22"/>
        </w:rPr>
        <w:t xml:space="preserve">Analysing — the agent reads the project and works out what it is dealing with.</w:t>
      </w:r>
    </w:p>
    <w:p>
      <w:pPr>
        <w:pStyle w:val="ListParagraph"/>
        <w:numPr>
          <w:ilvl w:val="0"/>
          <w:numId w:val="2"/>
        </w:numPr>
      </w:pPr>
      <w:r>
        <w:rPr>
          <w:sz w:val="22"/>
          <w:szCs w:val="22"/>
        </w:rPr>
        <w:t xml:space="preserve">Planning — a model proposes which files to change and how.</w:t>
      </w:r>
    </w:p>
    <w:p>
      <w:pPr>
        <w:pStyle w:val="ListParagraph"/>
        <w:numPr>
          <w:ilvl w:val="0"/>
          <w:numId w:val="2"/>
        </w:numPr>
      </w:pPr>
      <w:r>
        <w:rPr>
          <w:sz w:val="22"/>
          <w:szCs w:val="22"/>
        </w:rPr>
        <w:t xml:space="preserve">Waiting for approval — the plan is shown to you; nothing has changed yet.</w:t>
      </w:r>
    </w:p>
    <w:p>
      <w:pPr>
        <w:pStyle w:val="ListParagraph"/>
        <w:numPr>
          <w:ilvl w:val="0"/>
          <w:numId w:val="2"/>
        </w:numPr>
      </w:pPr>
      <w:r>
        <w:rPr>
          <w:sz w:val="22"/>
          <w:szCs w:val="22"/>
        </w:rPr>
        <w:t xml:space="preserve">Implementing — once approved, the agent makes the edits, one tool call at a time, each one logged.</w:t>
      </w:r>
    </w:p>
    <w:p>
      <w:pPr>
        <w:pStyle w:val="ListParagraph"/>
        <w:numPr>
          <w:ilvl w:val="0"/>
          <w:numId w:val="2"/>
        </w:numPr>
      </w:pPr>
      <w:r>
        <w:rPr>
          <w:sz w:val="22"/>
          <w:szCs w:val="22"/>
        </w:rPr>
        <w:t xml:space="preserve">Testing — where validation is configured, the change is run against a real, disposable Odoo database; where it is not, the task says so plainly.</w:t>
      </w:r>
    </w:p>
    <w:p>
      <w:pPr>
        <w:pStyle w:val="ListParagraph"/>
        <w:numPr>
          <w:ilvl w:val="0"/>
          <w:numId w:val="2"/>
        </w:numPr>
      </w:pPr>
      <w:r>
        <w:rPr>
          <w:sz w:val="22"/>
          <w:szCs w:val="22"/>
        </w:rPr>
        <w:t xml:space="preserve">Committing — a real commit is made on the branch your environment targets.</w:t>
      </w:r>
    </w:p>
    <w:p>
      <w:pPr>
        <w:pStyle w:val="ListParagraph"/>
        <w:numPr>
          <w:ilvl w:val="0"/>
          <w:numId w:val="2"/>
        </w:numPr>
      </w:pPr>
      <w:r>
        <w:rPr>
          <w:sz w:val="22"/>
          <w:szCs w:val="22"/>
        </w:rPr>
        <w:t xml:space="preserve">Waiting for approval (again) — the push itself is a separate decision, unless routine pushes to a non-production environment have been set to approve automatically.</w:t>
      </w:r>
    </w:p>
    <w:p>
      <w:pPr>
        <w:pStyle w:val="ListParagraph"/>
        <w:numPr>
          <w:ilvl w:val="0"/>
          <w:numId w:val="2"/>
        </w:numPr>
      </w:pPr>
      <w:r>
        <w:rPr>
          <w:sz w:val="22"/>
          <w:szCs w:val="22"/>
        </w:rPr>
        <w:t xml:space="preserve">Pushing — the branch is pushed to the connected repository.</w:t>
      </w:r>
    </w:p>
    <w:p>
      <w:pPr>
        <w:pStyle w:val="ListParagraph"/>
        <w:numPr>
          <w:ilvl w:val="0"/>
          <w:numId w:val="2"/>
        </w:numPr>
      </w:pPr>
      <w:r>
        <w:rPr>
          <w:sz w:val="22"/>
          <w:szCs w:val="22"/>
        </w:rPr>
        <w:t xml:space="preserve">Completed.</w:t>
      </w:r>
    </w:p>
    <w:tbl>
      <w:tblPr>
        <w:tblW w:w="9000" w:type="dxa"/>
      </w:tblPr>
      <w:tblGrid>
        <w:gridCol w:w="1500"/>
        <w:gridCol w:w="7500"/>
      </w:tblGrid>
      <w:tr>
        <w:tc>
          <w:tcPr>
            <w:tcW w:w="1500" w:type="dxa"/>
            <w:shd w:val="clear" w:color="auto" w:fill="546870"/>
          </w:tcPr>
          <w:p>
            <w:r>
              <w:rPr>
                <w:rFonts w:ascii="Cascadia Mono" w:eastAsia="Cascadia Mono" w:hAnsi="Cascadia Mono" w:cs="Cascadia Mono"/>
                <w:b/>
                <w:bCs/>
                <w:color w:val="FFFFFF"/>
                <w:sz w:val="16"/>
                <w:szCs w:val="16"/>
              </w:rPr>
              <w:t>NOTE</w:t>
            </w:r>
          </w:p>
        </w:tc>
        <w:tc>
          <w:tcPr>
            <w:tcW w:w="7500" w:type="dxa"/>
            <w:shd w:val="clear" w:color="auto" w:fill="F0F2F4"/>
          </w:tcPr>
          <w:p>
            <w:r>
              <w:rPr>
                <w:sz w:val="18"/>
                <w:szCs w:val="18"/>
              </w:rPr>
              <w:t xml:space="preserve">A push now asks for approval exactly once. If a push does not actually reach the branch it targeted, the task is reported as failed, with the reason, rather than completing as if it had.</w:t>
            </w:r>
          </w:p>
        </w:tc>
      </w:tr>
    </w:tbl>
    <w:p>
      <w:pPr>
        <w:pStyle w:val="Normal"/>
        <w:jc w:val="both"/>
      </w:pPr>
      <w:r>
        <w:rPr>
          <w:sz w:val="22"/>
          <w:szCs w:val="22"/>
        </w:rPr>
        <w:t xml:space="preserve">A request never lands on your project's main or production branch directly, and a task cannot even be created against one — that refusal happens before anything is written.</w:t>
      </w:r>
    </w:p>
    <w:p>
      <w:pPr>
        <w:pStyle w:val="Heading2"/>
      </w:pPr>
      <w:r>
        <w:t xml:space="preserve">Reviewing a change</w:t>
      </w:r>
    </w:p>
    <w:p>
      <w:pPr>
        <w:pStyle w:val="Normal"/>
        <w:jc w:val="both"/>
      </w:pPr>
      <w:r>
        <w:rPr>
          <w:sz w:val="22"/>
          <w:szCs w:val="22"/>
        </w:rPr>
        <w:t xml:space="preserve">Once implemented, select the task to see its diff — every changed file, with the lines added and removed. The Preview action, where available, goes further: it builds a real, temporary Odoo instance from the proposed change, so you can see the change on screen rather than read it as a patch, before you decide.</w:t>
      </w:r>
    </w:p>
    <w:p>
      <w:pPr>
        <w:pStyle w:val="Heading3"/>
      </w:pPr>
      <w:r>
        <w:t xml:space="preserve">Using Preview</w:t>
      </w:r>
    </w:p>
    <w:p>
      <w:pPr>
        <w:pStyle w:val="Normal"/>
        <w:jc w:val="both"/>
      </w:pPr>
      <w:r>
        <w:rPr>
          <w:sz w:val="22"/>
          <w:szCs w:val="22"/>
        </w:rPr>
        <w:t xml:space="preserve">Select "Preview" on a task awaiting the push approval. Cartenz builds a short-lived Odoo instance — the proposed code, on a safe, non-customer database prepared for this — and gives you a link, valid for a limited time, to open and explore it. The instance and its database are removed automatically once you are done, once the window expires, or once the task is decided, whichever comes first.</w:t>
      </w:r>
    </w:p>
    <w:tbl>
      <w:tblPr>
        <w:tblW w:w="9000" w:type="dxa"/>
      </w:tblPr>
      <w:tblGrid>
        <w:gridCol w:w="1500"/>
        <w:gridCol w:w="7500"/>
      </w:tblGrid>
      <w:tr>
        <w:tc>
          <w:tcPr>
            <w:tcW w:w="1500" w:type="dxa"/>
            <w:shd w:val="clear" w:color="auto" w:fill="EE2E24"/>
          </w:tcPr>
          <w:p>
            <w:r>
              <w:rPr>
                <w:rFonts w:ascii="Cascadia Mono" w:eastAsia="Cascadia Mono" w:hAnsi="Cascadia Mono" w:cs="Cascadia Mono"/>
                <w:b/>
                <w:bCs/>
                <w:color w:val="FFFFFF"/>
                <w:sz w:val="16"/>
                <w:szCs w:val="16"/>
              </w:rPr>
              <w:t>WARNING</w:t>
            </w:r>
          </w:p>
        </w:tc>
        <w:tc>
          <w:tcPr>
            <w:tcW w:w="7500" w:type="dxa"/>
            <w:shd w:val="clear" w:color="auto" w:fill="FCEAEA"/>
          </w:tcPr>
          <w:p>
            <w:r>
              <w:rPr>
                <w:sz w:val="18"/>
                <w:szCs w:val="18"/>
              </w:rPr>
              <w:t xml:space="preserve">A preview always runs on a standard baseline database, never on a customer's own records. If a change depends on specific customer data, the preview will look different from the live system — that is expected, not a fault in the change.</w:t>
            </w:r>
          </w:p>
        </w:tc>
      </w:tr>
    </w:tbl>
    <w:p>
      <w:pPr>
        <w:pStyle w:val="Heading2"/>
      </w:pPr>
      <w:r>
        <w:t xml:space="preserve">If something goes wrong</w:t>
      </w:r>
    </w:p>
    <w:p>
      <w:pPr>
        <w:pStyle w:val="Normal"/>
        <w:jc w:val="both"/>
      </w:pPr>
      <w:r>
        <w:rPr>
          <w:sz w:val="22"/>
          <w:szCs w:val="22"/>
        </w:rPr>
        <w:t xml:space="preserve">Select "Cancel task" in the activity header to stop a running task. Note that a commit already made is not undone by cancelling — cancelling stops further work, it does not revert what has already landed on the branch.</w:t>
      </w:r>
    </w:p>
    <w:p>
      <w:pPr>
        <w:pageBreakBefore/>
        <w:spacing w:before="360" w:after="60"/>
      </w:pPr>
      <w:r>
        <w:rPr>
          <w:rFonts w:ascii="Cascadia Mono" w:eastAsia="Cascadia Mono" w:hAnsi="Cascadia Mono" w:cs="Cascadia Mono"/>
          <w:b/>
          <w:bCs/>
          <w:color w:val="EE2E24"/>
          <w:sz w:val="16"/>
          <w:szCs w:val="16"/>
        </w:rPr>
        <w:t>§ 07 · PROJECT SETTINGS AND PERMISSIONS</w:t>
      </w:r>
    </w:p>
    <w:p>
      <w:pPr>
        <w:pStyle w:val="Heading1"/>
        <w:pBdr>
          <w:bottom w:val="single" w:sz="12" w:space="6" w:color="213840"/>
        </w:pBdr>
        <w:spacing w:before="0" w:after="240"/>
      </w:pPr>
      <w:r>
        <w:t xml:space="preserve">Project Settings and Permissions</w:t>
      </w:r>
    </w:p>
    <w:p>
      <w:pPr>
        <w:pStyle w:val="Heading2"/>
      </w:pPr>
      <w:r>
        <w:t>Shipping a Change to Production</w:t>
      </w:r>
    </w:p>
    <w:p>
      <w:r>
        <w:t>A task's own push lands on the branch your environment targets — typically Development or Staging. Getting reviewed work from Staging onto Production, and having Production actually serve it, is a separate, deliberate action, available from the project's own page once it has a repository and a Staging environment: “Ship to production”.</w:t>
      </w:r>
    </w:p>
    <w:p>
      <w:r>
        <w:t>Selecting it does two things in sequence. First, Staging is merged onto the main branch — always producing a new commit, because Staging is what a person already reviewed by asking for this. Second, the live instance is brought up to that commit and restarted with any pending module changes applied, so what the merge added is not just on disk but actually running. If the second step fails, the instance is rolled back to what it was serving before the attempt, and the failure is reported rather than left as a silently broken deployment.</w:t>
      </w:r>
    </w:p>
    <w:p>
      <w:r>
        <w:t>This action requires project administrator access, and is refused outright on a project with no repository or no Staging environment. It is a named action a person takes, never a side effect of a task completing.</w:t>
      </w:r>
    </w:p>
    <w:p>
      <w:pPr>
        <w:pStyle w:val="Heading2"/>
      </w:pPr>
      <w:r>
        <w:t xml:space="preserve">Agent permissions</w:t>
      </w:r>
    </w:p>
    <w:p>
      <w:pPr>
        <w:pStyle w:val="Normal"/>
        <w:jc w:val="both"/>
      </w:pPr>
      <w:r>
        <w:rPr>
          <w:sz w:val="22"/>
          <w:szCs w:val="22"/>
        </w:rPr>
        <w:t xml:space="preserve">Each project has its own set of switches deciding what the agent may do on it — reading and writing the repository, committing, pushing, running tests, reading database schema. Two things are never grantable to any project, by anyone: exporting a database, and backing one up. These settings are independent of who you are as a user; an administrator does not gain the ability to grant record-level database access just by being an administrator.</w:t>
      </w:r>
    </w:p>
    <w:p>
      <w:pPr>
        <w:pStyle w:val="Heading2"/>
      </w:pPr>
      <w:r>
        <w:t xml:space="preserve">Git access</w:t>
      </w:r>
    </w:p>
    <w:p>
      <w:pPr>
        <w:pStyle w:val="Normal"/>
        <w:jc w:val="both"/>
      </w:pPr>
      <w:r>
        <w:rPr>
          <w:sz w:val="22"/>
          <w:szCs w:val="22"/>
        </w:rPr>
        <w:t xml:space="preserve">An administrator can register one or more Git credentials for the whole deployment — a personal access token or an SSH key — under Settings → Git credentials. Each credential can be tested, marked as the default, edited, or removed; the value itself is never shown again once it has been saved.</w:t>
      </w:r>
    </w:p>
    <w:p>
      <w:pPr>
        <w:pStyle w:val="Normal"/>
        <w:jc w:val="both"/>
      </w:pPr>
      <w:r>
        <w:rPr>
          <w:sz w:val="22"/>
          <w:szCs w:val="22"/>
        </w:rPr>
        <w:t xml:space="preserve">Each project also has its own Git access panel, where a project administrator picks the transport a push or clone actually uses — Auto, SSH, or HTTPS — and, optionally, a specific registered credential in place of the deployment default. Changing either setting requires an administrator role.</w:t>
      </w:r>
    </w:p>
    <w:tbl>
      <w:tblPr>
        <w:tblW w:w="9000" w:type="dxa"/>
      </w:tblPr>
      <w:tblGrid>
        <w:gridCol w:w="1500"/>
        <w:gridCol w:w="7500"/>
      </w:tblGrid>
      <w:tr>
        <w:tc>
          <w:tcPr>
            <w:tcW w:w="1500" w:type="dxa"/>
            <w:shd w:val="clear" w:color="auto" w:fill="546870"/>
          </w:tcPr>
          <w:p>
            <w:r>
              <w:rPr>
                <w:rFonts w:ascii="Cascadia Mono" w:eastAsia="Cascadia Mono" w:hAnsi="Cascadia Mono" w:cs="Cascadia Mono"/>
                <w:b/>
                <w:bCs/>
                <w:color w:val="FFFFFF"/>
                <w:sz w:val="16"/>
                <w:szCs w:val="16"/>
              </w:rPr>
              <w:t>NOTE</w:t>
            </w:r>
          </w:p>
        </w:tc>
        <w:tc>
          <w:tcPr>
            <w:tcW w:w="7500" w:type="dxa"/>
            <w:shd w:val="clear" w:color="auto" w:fill="F0F2F4"/>
          </w:tcPr>
          <w:p>
            <w:r>
              <w:rPr>
                <w:sz w:val="18"/>
                <w:szCs w:val="18"/>
              </w:rPr>
              <w:t xml:space="preserve">A mismatch is flagged before it can fail a push: a project whose transport is HTTPS with only an SSH credential in effect, or the reverse, is called out on its own Git access panel.</w:t>
            </w:r>
          </w:p>
        </w:tc>
      </w:tr>
    </w:tbl>
    <w:p>
      <w:pPr>
        <w:pStyle w:val="Heading2"/>
      </w:pPr>
      <w:r>
        <w:t xml:space="preserve">Environments</w:t>
      </w:r>
    </w:p>
    <w:p>
      <w:pPr>
        <w:pStyle w:val="Normal"/>
        <w:jc w:val="both"/>
      </w:pPr>
      <w:r>
        <w:rPr>
          <w:sz w:val="22"/>
          <w:szCs w:val="22"/>
        </w:rPr>
        <w:t xml:space="preserve">An environment names a branch and a kind — Development, Staging, or Production. A project needs at least one before any task can run. You may read the repository's actual branches to populate one, or type a branch name directly. A Production environment can never be the target of a task.</w:t>
      </w:r>
    </w:p>
    <w:p>
      <w:pPr>
        <w:pStyle w:val="Heading2"/>
      </w:pPr>
      <w:r>
        <w:t xml:space="preserve">Archiving and deleting</w:t>
      </w:r>
    </w:p>
    <w:p>
      <w:pPr>
        <w:pStyle w:val="Normal"/>
        <w:jc w:val="both"/>
      </w:pPr>
      <w:r>
        <w:rPr>
          <w:sz w:val="22"/>
          <w:szCs w:val="22"/>
        </w:rPr>
        <w:t xml:space="preserve">Archiving hides a project and stops it accepting new work, without deleting anything — it can be restored at any time. Deleting permanently is different: it requires typing the project's name back to confirm, cannot be undone, and removes its tasks, approvals, environments, connections, and stored credentials. It never touches the repository itself.</w:t>
      </w:r>
    </w:p>
    <w:p>
      <w:pPr>
        <w:pageBreakBefore/>
        <w:spacing w:before="360" w:after="60"/>
      </w:pPr>
      <w:r>
        <w:rPr>
          <w:rFonts w:ascii="Cascadia Mono" w:eastAsia="Cascadia Mono" w:hAnsi="Cascadia Mono" w:cs="Cascadia Mono"/>
          <w:b/>
          <w:bCs/>
          <w:color w:val="EE2E24"/>
          <w:sz w:val="16"/>
          <w:szCs w:val="16"/>
        </w:rPr>
        <w:t>§ 08 · ACCESS CONTROL</w:t>
      </w:r>
    </w:p>
    <w:p>
      <w:pPr>
        <w:pStyle w:val="Heading1"/>
        <w:pBdr>
          <w:bottom w:val="single" w:sz="12" w:space="6" w:color="213840"/>
        </w:pBdr>
        <w:spacing w:before="0" w:after="240"/>
      </w:pPr>
      <w:r>
        <w:t xml:space="preserve">Access Control</w:t>
      </w:r>
    </w:p>
    <w:p>
      <w:pPr>
        <w:pStyle w:val="Normal"/>
        <w:jc w:val="both"/>
      </w:pPr>
      <w:r>
        <w:rPr>
          <w:sz w:val="22"/>
          <w:szCs w:val="22"/>
        </w:rPr>
        <w:t xml:space="preserve">Whether you can open a project is decided by three things together.</w:t>
      </w:r>
    </w:p>
    <w:tbl>
      <w:tblPr>
        <w:tblW w:w="9000" w:type="dxa"/>
        <w:tblBorders>
          <w:top w:val="single" w:sz="4" w:color="D0D0D0"/>
          <w:left w:val="single" w:sz="4" w:color="D0D0D0"/>
          <w:bottom w:val="single" w:sz="4" w:color="D0D0D0"/>
          <w:right w:val="single" w:sz="4" w:color="D0D0D0"/>
          <w:insideH w:val="single" w:sz="4" w:color="D0D0D0"/>
          <w:insideV w:val="single" w:sz="4" w:color="D0D0D0"/>
        </w:tblBorders>
      </w:tblPr>
      <w:tblGrid>
        <w:gridCol w:w="4500"/>
        <w:gridCol w:w="4500"/>
      </w:tblGrid>
      <w:tr>
        <w:trPr>
          <w:tblHeader/>
        </w:trPr>
        <w:tc>
          <w:tcPr>
            <w:tcW w:w="4500" w:type="dxa"/>
            <w:shd w:val="clear" w:color="auto" w:fill="213840"/>
          </w:tcPr>
          <w:p>
            <w:r>
              <w:rPr>
                <w:rFonts w:ascii="Cascadia Mono" w:eastAsia="Cascadia Mono" w:hAnsi="Cascadia Mono" w:cs="Cascadia Mono"/>
                <w:b/>
                <w:bCs/>
                <w:color w:val="FFFFFF"/>
                <w:sz w:val="16"/>
                <w:szCs w:val="16"/>
              </w:rPr>
              <w:t xml:space="preserve">LAYER</w:t>
            </w:r>
          </w:p>
        </w:tc>
        <w:tc>
          <w:tcPr>
            <w:tcW w:w="4500" w:type="dxa"/>
            <w:shd w:val="clear" w:color="auto" w:fill="213840"/>
          </w:tcPr>
          <w:p>
            <w:r>
              <w:rPr>
                <w:rFonts w:ascii="Cascadia Mono" w:eastAsia="Cascadia Mono" w:hAnsi="Cascadia Mono" w:cs="Cascadia Mono"/>
                <w:b/>
                <w:bCs/>
                <w:color w:val="FFFFFF"/>
                <w:sz w:val="16"/>
                <w:szCs w:val="16"/>
              </w:rPr>
              <w:t xml:space="preserve">WHAT IT DECIDES</w:t>
            </w:r>
          </w:p>
        </w:tc>
      </w:tr>
      <w:tr>
        <w:tc>
          <w:tcPr>
            <w:tcW w:w="4500" w:type="dxa"/>
          </w:tcPr>
          <w:p>
            <w:r>
              <w:rPr>
                <w:sz w:val="18"/>
                <w:szCs w:val="18"/>
              </w:rPr>
              <w:t xml:space="preserve">Region</w:t>
            </w:r>
          </w:p>
        </w:tc>
        <w:tc>
          <w:tcPr>
            <w:tcW w:w="4500" w:type="dxa"/>
          </w:tcPr>
          <w:p>
            <w:r>
              <w:rPr>
                <w:sz w:val="18"/>
                <w:szCs w:val="18"/>
              </w:rPr>
              <w:t xml:space="preserve">Your account and every project each belong to a region. By default you see the projects in your own region. An administrator sees every region.</w:t>
            </w:r>
          </w:p>
        </w:tc>
      </w:tr>
      <w:tr>
        <w:tc>
          <w:tcPr>
            <w:tcW w:w="4500" w:type="dxa"/>
          </w:tcPr>
          <w:p>
            <w:r>
              <w:rPr>
                <w:sz w:val="18"/>
                <w:szCs w:val="18"/>
              </w:rPr>
              <w:t xml:space="preserve">A grant</w:t>
            </w:r>
          </w:p>
        </w:tc>
        <w:tc>
          <w:tcPr>
            <w:tcW w:w="4500" w:type="dxa"/>
          </w:tcPr>
          <w:p>
            <w:r>
              <w:rPr>
                <w:sz w:val="18"/>
                <w:szCs w:val="18"/>
              </w:rPr>
              <w:t xml:space="preserve">A named person can be admitted to one project across the region boundary — the same request-and-approve mechanism described in the previous chapters.</w:t>
            </w:r>
          </w:p>
        </w:tc>
      </w:tr>
      <w:tr>
        <w:tc>
          <w:tcPr>
            <w:tcW w:w="4500" w:type="dxa"/>
          </w:tcPr>
          <w:p>
            <w:r>
              <w:rPr>
                <w:sz w:val="18"/>
                <w:szCs w:val="18"/>
              </w:rPr>
              <w:t xml:space="preserve">The administrator flag</w:t>
            </w:r>
          </w:p>
        </w:tc>
        <w:tc>
          <w:tcPr>
            <w:tcW w:w="4500" w:type="dxa"/>
          </w:tcPr>
          <w:p>
            <w:r>
              <w:rPr>
                <w:sz w:val="18"/>
                <w:szCs w:val="18"/>
              </w:rPr>
              <w:t xml:space="preserve">An account is either an administrator or it is not. An administrator manages settings, users, and provisioning; there is no rank in between.</w:t>
            </w:r>
          </w:p>
        </w:tc>
      </w:tr>
    </w:tbl>
    <w:p>
      <w:pPr>
        <w:pStyle w:val="Caption"/>
      </w:pPr>
      <w:r>
        <w:rPr>
          <w:i/>
          <w:iCs/>
        </w:rPr>
        <w:t xml:space="preserve">Table 3: The three layers of access.</w:t>
      </w:r>
    </w:p>
    <w:p>
      <w:pPr>
        <w:pStyle w:val="Normal"/>
        <w:jc w:val="both"/>
      </w:pPr>
      <w:r>
        <w:rPr>
          <w:sz w:val="22"/>
          <w:szCs w:val="22"/>
        </w:rPr>
        <w:t xml:space="preserve">Whoever created a project can always open it, in addition to the layers above. A grant only decides whether you may open a project — what you may then do inside it is governed by the project's own agent permissions, described in the previous chapter.</w:t>
      </w:r>
    </w:p>
    <w:p>
      <w:pPr>
        <w:pStyle w:val="Heading2"/>
      </w:pPr>
      <w:r>
        <w:t xml:space="preserve">Requesting and granting access</w:t>
      </w:r>
    </w:p>
    <w:p>
      <w:pPr>
        <w:pStyle w:val="Normal"/>
        <w:jc w:val="both"/>
      </w:pPr>
      <w:r>
        <w:rPr>
          <w:sz w:val="22"/>
          <w:szCs w:val="22"/>
        </w:rPr>
        <w:t xml:space="preserve">A person without access sees the project listed, with its details withheld, and a "Request access" action. Opening it directly returns a plain access-denied response rather than pretending the project does not exist — the list already told you it does. An administrator sees pending requests in a queue and approves or declines each one; an approval writes the grant and the decision together, so there is no window in which a request could be read as approved without the access actually existing.</w:t>
      </w:r>
    </w:p>
    <w:p>
      <w:pPr>
        <w:pageBreakBefore/>
        <w:spacing w:before="360" w:after="60"/>
      </w:pPr>
      <w:r>
        <w:rPr>
          <w:rFonts w:ascii="Cascadia Mono" w:eastAsia="Cascadia Mono" w:hAnsi="Cascadia Mono" w:cs="Cascadia Mono"/>
          <w:b/>
          <w:bCs/>
          <w:color w:val="EE2E24"/>
          <w:sz w:val="16"/>
          <w:szCs w:val="16"/>
        </w:rPr>
        <w:t>§ 09 · WHAT CARTENZ CAN DO TODAY</w:t>
      </w:r>
    </w:p>
    <w:p>
      <w:pPr>
        <w:pStyle w:val="Heading1"/>
        <w:pBdr>
          <w:bottom w:val="single" w:sz="12" w:space="6" w:color="213840"/>
        </w:pBdr>
        <w:spacing w:before="0" w:after="240"/>
      </w:pPr>
      <w:r>
        <w:t xml:space="preserve">What Cartenz Can Do Today</w:t>
      </w:r>
    </w:p>
    <w:p>
      <w:pPr>
        <w:pStyle w:val="Normal"/>
        <w:jc w:val="both"/>
      </w:pPr>
      <w:r>
        <w:rPr>
          <w:sz w:val="22"/>
          <w:szCs w:val="22"/>
        </w:rPr>
        <w:t xml:space="preserve">A summary of the platform's delivered capabilities, gathered in one place.</w:t>
      </w:r>
    </w:p>
    <w:p>
      <w:pPr>
        <w:pStyle w:val="ListParagraph"/>
        <w:numPr>
          <w:ilvl w:val="0"/>
          <w:numId w:val="1"/>
        </w:numPr>
      </w:pPr>
      <w:r>
        <w:rPr>
          <w:sz w:val="22"/>
          <w:szCs w:val="22"/>
        </w:rPr>
        <w:t xml:space="preserve">Connect a Git repository, an Odoo.sh project, an on-premise installation, or an Odoo Online instance, and work on any of them through the same conversation-based workspace.</w:t>
      </w:r>
    </w:p>
    <w:p>
      <w:pPr>
        <w:pStyle w:val="ListParagraph"/>
        <w:numPr>
          <w:ilvl w:val="0"/>
          <w:numId w:val="1"/>
        </w:numPr>
      </w:pPr>
      <w:r>
        <w:rPr>
          <w:sz w:val="22"/>
          <w:szCs w:val="22"/>
        </w:rPr>
        <w:t xml:space="preserve">Create a new project from a plain-language description, with Cartenz scaffolding a real repository, a runnable configuration, and staging and development branches.</w:t>
      </w:r>
    </w:p>
    <w:p>
      <w:pPr>
        <w:pStyle w:val="ListParagraph"/>
        <w:numPr>
          <w:ilvl w:val="0"/>
          <w:numId w:val="1"/>
        </w:numPr>
      </w:pPr>
      <w:r>
        <w:rPr>
          <w:sz w:val="22"/>
          <w:szCs w:val="22"/>
        </w:rPr>
        <w:t xml:space="preserve">Provision a real, running Odoo instance for a created project — its own database, service, and, where enabled, its own HTTPS certificate and its own GitHub repository.</w:t>
      </w:r>
    </w:p>
    <w:p>
      <w:pPr>
        <w:pStyle w:val="ListParagraph"/>
        <w:numPr>
          <w:ilvl w:val="0"/>
          <w:numId w:val="1"/>
        </w:numPr>
      </w:pPr>
      <w:r>
        <w:rPr>
          <w:sz w:val="22"/>
          <w:szCs w:val="22"/>
        </w:rPr>
        <w:t xml:space="preserve">Draw every new project's Odoo source and starting database from a shared, centrally maintained catalogue, per version and edition — so a new installation costs a database clone rather than a fresh build, and no AI usage at all.</w:t>
      </w:r>
    </w:p>
    <w:p>
      <w:pPr>
        <w:pStyle w:val="ListParagraph"/>
        <w:numPr>
          <w:ilvl w:val="0"/>
          <w:numId w:val="1"/>
        </w:numPr>
      </w:pPr>
      <w:r>
        <w:rPr>
          <w:sz w:val="22"/>
          <w:szCs w:val="22"/>
        </w:rPr>
        <w:t xml:space="preserve">Ask the agent a question (Chat) or ask it to make a change (Change), in plain language, in any language you write in.</w:t>
      </w:r>
    </w:p>
    <w:p>
      <w:pPr>
        <w:pStyle w:val="ListParagraph"/>
        <w:numPr>
          <w:ilvl w:val="0"/>
          <w:numId w:val="1"/>
        </w:numPr>
      </w:pPr>
      <w:r>
        <w:rPr>
          <w:sz w:val="22"/>
          <w:szCs w:val="22"/>
        </w:rPr>
        <w:t xml:space="preserve">Attach a specification document, or paste a screenshot or image directly into a request, instead of only uploading a file.</w:t>
      </w:r>
    </w:p>
    <w:p>
      <w:pPr>
        <w:pStyle w:val="ListParagraph"/>
        <w:numPr>
          <w:ilvl w:val="0"/>
          <w:numId w:val="1"/>
        </w:numPr>
      </w:pPr>
      <w:r>
        <w:rPr>
          <w:sz w:val="22"/>
          <w:szCs w:val="22"/>
        </w:rPr>
        <w:t xml:space="preserve">Review a generated plan and its diff before anything is written, and approve or reject each step that matters — the plan, and separately, the push.</w:t>
      </w:r>
    </w:p>
    <w:p>
      <w:pPr>
        <w:pStyle w:val="ListParagraph"/>
        <w:numPr>
          <w:ilvl w:val="0"/>
          <w:numId w:val="1"/>
        </w:numPr>
      </w:pPr>
      <w:r>
        <w:rPr>
          <w:sz w:val="22"/>
          <w:szCs w:val="22"/>
        </w:rPr>
        <w:t xml:space="preserve">See a real, temporary running Odoo built from a proposed change, before deciding whether to approve it.</w:t>
      </w:r>
    </w:p>
    <w:p>
      <w:pPr>
        <w:pStyle w:val="ListParagraph"/>
        <w:numPr>
          <w:ilvl w:val="0"/>
          <w:numId w:val="1"/>
        </w:numPr>
      </w:pPr>
      <w:r>
        <w:rPr>
          <w:sz w:val="22"/>
          <w:szCs w:val="22"/>
        </w:rPr>
        <w:t xml:space="preserve">Have the agent validate a change against a real, disposable Odoo test run, where a runtime is configured for the project's version.</w:t>
      </w:r>
    </w:p>
    <w:p>
      <w:pPr>
        <w:pStyle w:val="ListParagraph"/>
        <w:numPr>
          <w:ilvl w:val="0"/>
          <w:numId w:val="1"/>
        </w:numPr>
      </w:pPr>
      <w:r>
        <w:rPr>
          <w:sz w:val="22"/>
          <w:szCs w:val="22"/>
        </w:rPr>
        <w:t xml:space="preserve">Have a change land on the branch you actually targeted, rather than a throwaway branch that then needs merging by hand.</w:t>
      </w:r>
    </w:p>
    <w:p>
      <w:pPr>
        <w:pStyle w:val="ListParagraph"/>
        <w:numPr>
          <w:ilvl w:val="0"/>
          <w:numId w:val="1"/>
        </w:numPr>
      </w:pPr>
      <w:r>
        <w:rPr>
          <w:sz w:val="22"/>
          <w:szCs w:val="22"/>
        </w:rPr>
        <w:t xml:space="preserve">See your history as conversations rather than a flat list of individual requests, with an earlier conversation reopening exactly where you left it.</w:t>
      </w:r>
    </w:p>
    <w:p>
      <w:pPr>
        <w:pStyle w:val="ListParagraph"/>
        <w:numPr>
          <w:ilvl w:val="0"/>
          <w:numId w:val="1"/>
        </w:numPr>
      </w:pPr>
      <w:r>
        <w:rPr>
          <w:sz w:val="22"/>
          <w:szCs w:val="22"/>
        </w:rPr>
        <w:t xml:space="preserve">See a locked project in your list rather than have it disappear, and request access to it with one action.</w:t>
      </w:r>
    </w:p>
    <w:p>
      <w:pPr>
        <w:pStyle w:val="ListParagraph"/>
        <w:numPr>
          <w:ilvl w:val="0"/>
          <w:numId w:val="1"/>
        </w:numPr>
      </w:pPr>
      <w:r>
        <w:rPr>
          <w:sz w:val="22"/>
          <w:szCs w:val="22"/>
        </w:rPr>
        <w:t xml:space="preserve">Have an administrator grant or revoke access to a specific project for a specific person, across a region boundary when needed.</w:t>
      </w:r>
    </w:p>
    <w:p>
      <w:pPr>
        <w:pStyle w:val="ListParagraph"/>
        <w:numPr>
          <w:ilvl w:val="0"/>
          <w:numId w:val="1"/>
        </w:numPr>
      </w:pPr>
      <w:r>
        <w:rPr>
          <w:sz w:val="22"/>
          <w:szCs w:val="22"/>
        </w:rPr>
        <w:t xml:space="preserve">Rely on production being unreachable by the agent as a rule enforced before a task is even created, not as a setting that can be missed.</w:t>
      </w:r>
    </w:p>
    <w:p>
      <w:pPr>
        <w:pStyle w:val="ListParagraph"/>
        <w:numPr>
          <w:ilvl w:val="0"/>
          <w:numId w:val="1"/>
        </w:numPr>
      </w:pPr>
      <w:r>
        <w:rPr>
          <w:sz w:val="22"/>
          <w:szCs w:val="22"/>
        </w:rPr>
        <w:t xml:space="preserve">Rely on your credentials, tokens, and any sealed secret never being returned by any part of the platform once entered.</w:t>
      </w:r>
    </w:p>
    <w:p>
      <w:pPr>
        <w:pageBreakBefore/>
        <w:spacing w:before="360" w:after="60"/>
      </w:pPr>
      <w:r>
        <w:rPr>
          <w:rFonts w:ascii="Cascadia Mono" w:eastAsia="Cascadia Mono" w:hAnsi="Cascadia Mono" w:cs="Cascadia Mono"/>
          <w:b/>
          <w:bCs/>
          <w:color w:val="EE2E24"/>
          <w:sz w:val="16"/>
          <w:szCs w:val="16"/>
        </w:rPr>
        <w:t>§ 10 · WHAT IS COMING NEXT</w:t>
      </w:r>
    </w:p>
    <w:p>
      <w:pPr>
        <w:pStyle w:val="Heading1"/>
        <w:pBdr>
          <w:bottom w:val="single" w:sz="12" w:space="6" w:color="213840"/>
        </w:pBdr>
        <w:spacing w:before="0" w:after="240"/>
      </w:pPr>
      <w:r>
        <w:t xml:space="preserve">What Is Coming Next</w:t>
      </w:r>
    </w:p>
    <w:p>
      <w:pPr>
        <w:pStyle w:val="Normal"/>
        <w:jc w:val="both"/>
      </w:pPr>
      <w:r>
        <w:rPr>
          <w:sz w:val="22"/>
          <w:szCs w:val="22"/>
        </w:rPr>
        <w:t xml:space="preserve">Cartenz is under active development. The items below are known, named gaps — not oversights — each with a short note on what stands in the way. None of them is a secret; this chapter exists so that what to expect is stated plainly rather than discovered.</w:t>
      </w:r>
    </w:p>
    <w:tbl>
      <w:tblPr>
        <w:tblW w:w="9000" w:type="dxa"/>
        <w:tblBorders>
          <w:top w:val="single" w:sz="4" w:color="D0D0D0"/>
          <w:left w:val="single" w:sz="4" w:color="D0D0D0"/>
          <w:bottom w:val="single" w:sz="4" w:color="D0D0D0"/>
          <w:right w:val="single" w:sz="4" w:color="D0D0D0"/>
          <w:insideH w:val="single" w:sz="4" w:color="D0D0D0"/>
          <w:insideV w:val="single" w:sz="4" w:color="D0D0D0"/>
        </w:tblBorders>
      </w:tblPr>
      <w:tblGrid>
        <w:gridCol w:w="3000"/>
        <w:gridCol w:w="3000"/>
        <w:gridCol w:w="3000"/>
      </w:tblGrid>
      <w:tr>
        <w:trPr>
          <w:tblHeader/>
        </w:trPr>
        <w:tc>
          <w:tcPr>
            <w:tcW w:w="3000" w:type="dxa"/>
            <w:shd w:val="clear" w:color="auto" w:fill="213840"/>
          </w:tcPr>
          <w:p>
            <w:r>
              <w:rPr>
                <w:rFonts w:ascii="Cascadia Mono" w:eastAsia="Cascadia Mono" w:hAnsi="Cascadia Mono" w:cs="Cascadia Mono"/>
                <w:b/>
                <w:bCs/>
                <w:color w:val="FFFFFF"/>
                <w:sz w:val="16"/>
                <w:szCs w:val="16"/>
              </w:rPr>
              <w:t xml:space="preserve">AREA</w:t>
            </w:r>
          </w:p>
        </w:tc>
        <w:tc>
          <w:tcPr>
            <w:tcW w:w="3000" w:type="dxa"/>
            <w:shd w:val="clear" w:color="auto" w:fill="213840"/>
          </w:tcPr>
          <w:p>
            <w:r>
              <w:rPr>
                <w:rFonts w:ascii="Cascadia Mono" w:eastAsia="Cascadia Mono" w:hAnsi="Cascadia Mono" w:cs="Cascadia Mono"/>
                <w:b/>
                <w:bCs/>
                <w:color w:val="FFFFFF"/>
                <w:sz w:val="16"/>
                <w:szCs w:val="16"/>
              </w:rPr>
              <w:t xml:space="preserve">CURRENT STATE</w:t>
            </w:r>
          </w:p>
        </w:tc>
        <w:tc>
          <w:tcPr>
            <w:tcW w:w="3000" w:type="dxa"/>
            <w:shd w:val="clear" w:color="auto" w:fill="213840"/>
          </w:tcPr>
          <w:p>
            <w:r>
              <w:rPr>
                <w:rFonts w:ascii="Cascadia Mono" w:eastAsia="Cascadia Mono" w:hAnsi="Cascadia Mono" w:cs="Cascadia Mono"/>
                <w:b/>
                <w:bCs/>
                <w:color w:val="FFFFFF"/>
                <w:sz w:val="16"/>
                <w:szCs w:val="16"/>
              </w:rPr>
              <w:t xml:space="preserve">WHAT IS PLANNED</w:t>
            </w:r>
          </w:p>
        </w:tc>
      </w:tr>
      <w:tr>
        <w:tc>
          <w:tcPr>
            <w:tcW w:w="3000" w:type="dxa"/>
          </w:tcPr>
          <w:p>
            <w:r>
              <w:rPr>
                <w:sz w:val="18"/>
                <w:szCs w:val="18"/>
              </w:rPr>
              <w:t xml:space="preserve">Independent backup and restore</w:t>
            </w:r>
          </w:p>
        </w:tc>
        <w:tc>
          <w:tcPr>
            <w:tcW w:w="3000" w:type="dxa"/>
          </w:tcPr>
          <w:p>
            <w:r>
              <w:t>Done for the push path: a per-client backup (database, filestore, and the addons repository as a full bundle) is taken automatically before a push reaches Staging or main, and a failed backup blocks that push. A scheduled, routine backup independent of any push is still not offered.</w:t>
            </w:r>
          </w:p>
        </w:tc>
        <w:tc>
          <w:tcPr>
            <w:tcW w:w="3000" w:type="dxa"/>
          </w:tcPr>
          <w:p>
            <w:r>
              <w:t>A stated backup schedule in addition to the push-triggered one, and a documented restore procedure for an administrator.</w:t>
            </w:r>
          </w:p>
        </w:tc>
      </w:tr>
      <w:tr>
        <w:tc>
          <w:tcPr>
            <w:tcW w:w="3000" w:type="dxa"/>
          </w:tcPr>
          <w:p>
            <w:r>
              <w:rPr>
                <w:sz w:val="18"/>
                <w:szCs w:val="18"/>
              </w:rPr>
              <w:t xml:space="preserve">Backup before a push to Staging or Main</w:t>
            </w:r>
          </w:p>
        </w:tc>
        <w:tc>
          <w:tcPr>
            <w:tcW w:w="3000" w:type="dxa"/>
          </w:tcPr>
          <w:p>
            <w:r>
              <w:t>Done. See the row above.</w:t>
            </w:r>
          </w:p>
        </w:tc>
        <w:tc>
          <w:tcPr>
            <w:tcW w:w="3000" w:type="dxa"/>
          </w:tcPr>
          <w:p>
            <w:r>
              <w:t>—</w:t>
            </w:r>
          </w:p>
        </w:tc>
      </w:tr>
      <w:tr>
        <w:tc>
          <w:tcPr>
            <w:tcW w:w="3000" w:type="dxa"/>
          </w:tcPr>
          <w:p>
            <w:r>
              <w:rPr>
                <w:sz w:val="18"/>
                <w:szCs w:val="18"/>
              </w:rPr>
              <w:t xml:space="preserve">Server administration for a linked hosted server</w:t>
            </w:r>
          </w:p>
        </w:tc>
        <w:tc>
          <w:tcPr>
            <w:tcW w:w="3000" w:type="dxa"/>
          </w:tcPr>
          <w:p>
            <w:r>
              <w:t>A first monitoring script now checks platform services, every provisioned Odoo instance, disk headroom, and certificate renewal; nothing yet runs it on a schedule or sends an alert.</w:t>
            </w:r>
          </w:p>
        </w:tc>
        <w:tc>
          <w:tcPr>
            <w:tcW w:w="3000" w:type="dxa"/>
          </w:tcPr>
          <w:p>
            <w:r>
              <w:rPr>
                <w:sz w:val="18"/>
                <w:szCs w:val="18"/>
              </w:rPr>
              <w:t xml:space="preserve">A stated schedule for security updates, disk and service monitoring, and a dashboard that notifies rather than only displaying a count.</w:t>
            </w:r>
          </w:p>
        </w:tc>
      </w:tr>
      <w:tr>
        <w:tc>
          <w:tcPr>
            <w:tcW w:w="3000" w:type="dxa"/>
          </w:tcPr>
          <w:p>
            <w:r>
              <w:rPr>
                <w:sz w:val="18"/>
                <w:szCs w:val="18"/>
              </w:rPr>
              <w:t xml:space="preserve">A Chat request that changes code</w:t>
            </w:r>
          </w:p>
        </w:tc>
        <w:tc>
          <w:tcPr>
            <w:tcW w:w="3000" w:type="dxa"/>
          </w:tcPr>
          <w:p>
            <w:r>
              <w:t>Done. An approved Chat edit is committed and pushed exactly as a Change request's edit is.</w:t>
            </w:r>
          </w:p>
        </w:tc>
        <w:tc>
          <w:tcPr>
            <w:tcW w:w="3000" w:type="dxa"/>
          </w:tcPr>
          <w:p>
            <w:r>
              <w:t>—</w:t>
            </w:r>
          </w:p>
        </w:tc>
      </w:tr>
      <w:tr>
        <w:tc>
          <w:tcPr>
            <w:tcW w:w="3000" w:type="dxa"/>
          </w:tcPr>
          <w:p>
            <w:r>
              <w:rPr>
                <w:sz w:val="18"/>
                <w:szCs w:val="18"/>
              </w:rPr>
              <w:t xml:space="preserve">Pasting a non-image file</w:t>
            </w:r>
          </w:p>
        </w:tc>
        <w:tc>
          <w:tcPr>
            <w:tcW w:w="3000" w:type="dxa"/>
          </w:tcPr>
          <w:p>
            <w:r>
              <w:rPr>
                <w:sz w:val="18"/>
                <w:szCs w:val="18"/>
              </w:rPr>
              <w:t xml:space="preserve">Only an image paste is currently handled; a PDF or document copied to the clipboard still needs the upload button.</w:t>
            </w:r>
          </w:p>
        </w:tc>
        <w:tc>
          <w:tcPr>
            <w:tcW w:w="3000" w:type="dxa"/>
          </w:tcPr>
          <w:p>
            <w:r>
              <w:rPr>
                <w:sz w:val="18"/>
                <w:szCs w:val="18"/>
              </w:rPr>
              <w:t xml:space="preserve">Extending the same paste handling to any supported document type.</w:t>
            </w:r>
          </w:p>
        </w:tc>
      </w:tr>
      <w:tr>
        <w:tc>
          <w:tcPr>
            <w:tcW w:w="3000" w:type="dxa"/>
          </w:tcPr>
          <w:p>
            <w:r>
              <w:rPr>
                <w:sz w:val="18"/>
                <w:szCs w:val="18"/>
              </w:rPr>
              <w:t xml:space="preserve">Notification when access is requested or granted</w:t>
            </w:r>
          </w:p>
        </w:tc>
        <w:tc>
          <w:tcPr>
            <w:tcW w:w="3000" w:type="dxa"/>
          </w:tcPr>
          <w:p>
            <w:r>
              <w:rPr>
                <w:sz w:val="18"/>
                <w:szCs w:val="18"/>
              </w:rPr>
              <w:t xml:space="preserve">A pending request appears in an administrator's queue with a count; nothing actively notifies anyone.</w:t>
            </w:r>
          </w:p>
        </w:tc>
        <w:tc>
          <w:tcPr>
            <w:tcW w:w="3000" w:type="dxa"/>
          </w:tcPr>
          <w:p>
            <w:r>
              <w:rPr>
                <w:sz w:val="18"/>
                <w:szCs w:val="18"/>
              </w:rPr>
              <w:t xml:space="preserve">An administration dashboard with a genuine notification route, covering this and the server-administration item above together.</w:t>
            </w:r>
          </w:p>
        </w:tc>
      </w:tr>
    </w:tbl>
    <w:p>
      <w:pPr>
        <w:pStyle w:val="Caption"/>
      </w:pPr>
      <w:r>
        <w:rPr>
          <w:i/>
          <w:iCs/>
        </w:rPr>
        <w:t xml:space="preserve">Table 4: Known gaps and what addresses each one.</w:t>
      </w:r>
    </w:p>
    <w:tbl>
      <w:tblPr>
        <w:tblW w:w="9000" w:type="dxa"/>
      </w:tblPr>
      <w:tblGrid>
        <w:gridCol w:w="1500"/>
        <w:gridCol w:w="7500"/>
      </w:tblGrid>
      <w:tr>
        <w:tc>
          <w:tcPr>
            <w:tcW w:w="1500" w:type="dxa"/>
            <w:shd w:val="clear" w:color="auto" w:fill="3A5762"/>
          </w:tcPr>
          <w:p>
            <w:r>
              <w:rPr>
                <w:rFonts w:ascii="Cascadia Mono" w:eastAsia="Cascadia Mono" w:hAnsi="Cascadia Mono" w:cs="Cascadia Mono"/>
                <w:b/>
                <w:bCs/>
                <w:color w:val="FFFFFF"/>
                <w:sz w:val="16"/>
                <w:szCs w:val="16"/>
              </w:rPr>
              <w:t>INFO</w:t>
            </w:r>
          </w:p>
        </w:tc>
        <w:tc>
          <w:tcPr>
            <w:tcW w:w="7500" w:type="dxa"/>
            <w:shd w:val="clear" w:color="auto" w:fill="E3EAEE"/>
          </w:tcPr>
          <w:p>
            <w:r>
              <w:rPr>
                <w:sz w:val="18"/>
                <w:szCs w:val="18"/>
              </w:rPr>
              <w:t xml:space="preserve">None of the items above is required for the platform's core safety guarantees. Production is unreachable, credentials are sealed, and customer data is never used to build a preview or a test run, regardless of what is still on this list.</w:t>
            </w:r>
          </w:p>
        </w:tc>
      </w:tr>
    </w:tbl>
    <w:p>
      <w:pPr>
        <w:pageBreakBefore/>
        <w:spacing w:before="360" w:after="60"/>
      </w:pPr>
      <w:r>
        <w:rPr>
          <w:rFonts w:ascii="Cascadia Mono" w:eastAsia="Cascadia Mono" w:hAnsi="Cascadia Mono" w:cs="Cascadia Mono"/>
          <w:b/>
          <w:bCs/>
          <w:color w:val="EE2E24"/>
          <w:sz w:val="16"/>
          <w:szCs w:val="16"/>
        </w:rPr>
        <w:t>§ 11 · BEST PRACTICES</w:t>
      </w:r>
    </w:p>
    <w:p>
      <w:pPr>
        <w:pStyle w:val="Heading1"/>
        <w:pBdr>
          <w:bottom w:val="single" w:sz="12" w:space="6" w:color="213840"/>
        </w:pBdr>
        <w:spacing w:before="0" w:after="240"/>
      </w:pPr>
      <w:r>
        <w:t xml:space="preserve">Best Practices</w:t>
      </w:r>
    </w:p>
    <w:p>
      <w:pPr>
        <w:pStyle w:val="ListParagraph"/>
        <w:numPr>
          <w:ilvl w:val="0"/>
          <w:numId w:val="1"/>
        </w:numPr>
      </w:pPr>
      <w:r>
        <w:rPr>
          <w:sz w:val="22"/>
          <w:szCs w:val="22"/>
        </w:rPr>
        <w:t xml:space="preserve">Be specific. "Add an approval workflow before an invoice is posted" gives the agent something to plan against; "make invoicing better" does not.</w:t>
      </w:r>
    </w:p>
    <w:p>
      <w:pPr>
        <w:pStyle w:val="ListParagraph"/>
        <w:numPr>
          <w:ilvl w:val="0"/>
          <w:numId w:val="1"/>
        </w:numPr>
      </w:pPr>
      <w:r>
        <w:rPr>
          <w:sz w:val="22"/>
          <w:szCs w:val="22"/>
        </w:rPr>
        <w:t xml:space="preserve">Attach context for a non-trivial change — a specification, a related module name, a screenshot of the current behaviour.</w:t>
      </w:r>
    </w:p>
    <w:p>
      <w:pPr>
        <w:pStyle w:val="ListParagraph"/>
        <w:numPr>
          <w:ilvl w:val="0"/>
          <w:numId w:val="1"/>
        </w:numPr>
      </w:pPr>
      <w:r>
        <w:rPr>
          <w:sz w:val="22"/>
          <w:szCs w:val="22"/>
        </w:rPr>
        <w:t xml:space="preserve">Use Chat mode to ask before you ask for a change — confirm the model or field you expect exists before requesting work built on it.</w:t>
      </w:r>
    </w:p>
    <w:p>
      <w:pPr>
        <w:pStyle w:val="ListParagraph"/>
        <w:numPr>
          <w:ilvl w:val="0"/>
          <w:numId w:val="1"/>
        </w:numPr>
      </w:pPr>
      <w:r>
        <w:rPr>
          <w:sz w:val="22"/>
          <w:szCs w:val="22"/>
        </w:rPr>
        <w:t xml:space="preserve">Read the plan, not just its outcome. Approving without reading is the one step in this whole workflow that the platform cannot do on your behalf.</w:t>
      </w:r>
    </w:p>
    <w:p>
      <w:pPr>
        <w:pStyle w:val="ListParagraph"/>
        <w:numPr>
          <w:ilvl w:val="0"/>
          <w:numId w:val="1"/>
        </w:numPr>
      </w:pPr>
      <w:r>
        <w:rPr>
          <w:sz w:val="22"/>
          <w:szCs w:val="22"/>
        </w:rPr>
        <w:t xml:space="preserve">Use Preview for anything touching a view, a form, or a report layout — a diff will not show you a misaligned field the way a running screen will.</w:t>
      </w:r>
    </w:p>
    <w:p>
      <w:pPr>
        <w:pStyle w:val="ListParagraph"/>
        <w:numPr>
          <w:ilvl w:val="0"/>
          <w:numId w:val="1"/>
        </w:numPr>
      </w:pPr>
      <w:r>
        <w:rPr>
          <w:sz w:val="22"/>
          <w:szCs w:val="22"/>
        </w:rPr>
        <w:t xml:space="preserve">Keep Production out of the loop. Develop on Development, promote to Staging, and let a deliberate, separate process carry a change from Staging into Production.</w:t>
      </w:r>
    </w:p>
    <w:p>
      <w:pPr>
        <w:pStyle w:val="ListParagraph"/>
        <w:numPr>
          <w:ilvl w:val="0"/>
          <w:numId w:val="1"/>
        </w:numPr>
      </w:pPr>
      <w:r>
        <w:rPr>
          <w:sz w:val="22"/>
          <w:szCs w:val="22"/>
        </w:rPr>
        <w:t xml:space="preserve">Expect a generated Odoo module to be named &lt;project&gt;_&lt;app&gt;_modifier — the agent applies this pattern automatically, so a name you did not type is not a mistake.</w:t>
      </w:r>
    </w:p>
    <w:p>
      <w:pPr>
        <w:pageBreakBefore/>
        <w:spacing w:before="360" w:after="60"/>
      </w:pPr>
      <w:r>
        <w:rPr>
          <w:rFonts w:ascii="Cascadia Mono" w:eastAsia="Cascadia Mono" w:hAnsi="Cascadia Mono" w:cs="Cascadia Mono"/>
          <w:b/>
          <w:bCs/>
          <w:color w:val="EE2E24"/>
          <w:sz w:val="16"/>
          <w:szCs w:val="16"/>
        </w:rPr>
        <w:t>§ 12 · FREQUENTLY ASKED QUESTIONS</w:t>
      </w:r>
    </w:p>
    <w:p>
      <w:pPr>
        <w:pStyle w:val="Heading1"/>
        <w:pBdr>
          <w:bottom w:val="single" w:sz="12" w:space="6" w:color="213840"/>
        </w:pBdr>
        <w:spacing w:before="0" w:after="240"/>
      </w:pPr>
      <w:r>
        <w:t xml:space="preserve">Frequently Asked Questions</w:t>
      </w:r>
    </w:p>
    <w:p>
      <w:pPr>
        <w:pStyle w:val="Heading3"/>
      </w:pPr>
      <w:r>
        <w:t xml:space="preserve">Can the agent read my customer's records?</w:t>
      </w:r>
    </w:p>
    <w:p>
      <w:pPr>
        <w:pStyle w:val="Normal"/>
        <w:jc w:val="both"/>
      </w:pPr>
      <w:r>
        <w:rPr>
          <w:sz w:val="22"/>
          <w:szCs w:val="22"/>
        </w:rPr>
        <w:t xml:space="preserve">No, not by default, and record-level access is not something any project's settings can enable through the ordinary permission list — it is denied structurally, not merely by a switch left off.</w:t>
      </w:r>
    </w:p>
    <w:p>
      <w:pPr>
        <w:pStyle w:val="Heading3"/>
      </w:pPr>
      <w:r>
        <w:t xml:space="preserve">Where is my access token or password stored?</w:t>
      </w:r>
    </w:p>
    <w:p>
      <w:pPr>
        <w:pStyle w:val="Normal"/>
        <w:jc w:val="both"/>
      </w:pPr>
      <w:r>
        <w:rPr>
          <w:sz w:val="22"/>
          <w:szCs w:val="22"/>
        </w:rPr>
        <w:t xml:space="preserve">It is sealed the moment it is entered and is never returned by any endpoint, logged, or sent to a model provider.</w:t>
      </w:r>
    </w:p>
    <w:p>
      <w:pPr>
        <w:pStyle w:val="Heading3"/>
      </w:pPr>
      <w:r>
        <w:t xml:space="preserve">Can I undo a change after it has been pushed?</w:t>
      </w:r>
    </w:p>
    <w:p>
      <w:pPr>
        <w:pStyle w:val="Normal"/>
        <w:jc w:val="both"/>
      </w:pPr>
      <w:r>
        <w:rPr>
          <w:sz w:val="22"/>
          <w:szCs w:val="22"/>
        </w:rPr>
        <w:t xml:space="preserve">Cancelling a task stops further work; it does not revert a commit that has already landed. Reverting a pushed change is an ordinary Git operation, the same as it would be for any other commit.</w:t>
      </w:r>
    </w:p>
    <w:p>
      <w:pPr>
        <w:pStyle w:val="Heading3"/>
      </w:pPr>
      <w:r>
        <w:t xml:space="preserve">What languages can I write my request in?</w:t>
      </w:r>
    </w:p>
    <w:p>
      <w:pPr>
        <w:pStyle w:val="Normal"/>
        <w:jc w:val="both"/>
      </w:pPr>
      <w:r>
        <w:rPr>
          <w:sz w:val="22"/>
          <w:szCs w:val="22"/>
        </w:rPr>
        <w:t xml:space="preserve">Whichever you are comfortable with. Odoo's own technical vocabulary — model names, field names — stays technical regardless.</w:t>
      </w:r>
    </w:p>
    <w:p>
      <w:pPr>
        <w:pStyle w:val="Heading3"/>
      </w:pPr>
      <w:r>
        <w:t xml:space="preserve">Will the agent reply in the language I wrote in?</w:t>
      </w:r>
    </w:p>
    <w:p>
      <w:pPr>
        <w:pStyle w:val="Normal"/>
        <w:jc w:val="both"/>
      </w:pPr>
      <w:r>
        <w:rPr>
          <w:sz w:val="22"/>
          <w:szCs w:val="22"/>
        </w:rPr>
        <w:t xml:space="preserve">Yes. The agent now replies in the same language you wrote your request in, rather than sometimes answering in an unrelated one.</w:t>
      </w:r>
    </w:p>
    <w:p>
      <w:pPr>
        <w:pStyle w:val="Heading3"/>
      </w:pPr>
      <w:r>
        <w:t xml:space="preserve">Why can't I target Production?</w:t>
      </w:r>
    </w:p>
    <w:p>
      <w:pPr>
        <w:pStyle w:val="Normal"/>
        <w:jc w:val="both"/>
      </w:pPr>
      <w:r>
        <w:rPr>
          <w:sz w:val="22"/>
          <w:szCs w:val="22"/>
        </w:rPr>
        <w:t xml:space="preserve">Because the platform refuses to create a task against it at all. This is deliberate: a change reaches the live system only through a human decision to promote it there, never directly from the agent.</w:t>
      </w:r>
    </w:p>
    <w:p>
      <w:pPr>
        <w:pStyle w:val="Heading3"/>
      </w:pPr>
      <w:r>
        <w:t xml:space="preserve">Why does my Preview look different from the live system?</w:t>
      </w:r>
    </w:p>
    <w:p>
      <w:pPr>
        <w:pStyle w:val="Normal"/>
        <w:jc w:val="both"/>
      </w:pPr>
      <w:r>
        <w:rPr>
          <w:sz w:val="22"/>
          <w:szCs w:val="22"/>
        </w:rPr>
        <w:t xml:space="preserve">A preview always runs on a standard, non-customer database. If the change you are reviewing depends on data specific to the customer's own records, the preview will not show that data — this is intentional, not an error.</w:t>
      </w:r>
    </w:p>
    <w:p>
      <w:pPr>
        <w:pStyle w:val="Heading3"/>
      </w:pPr>
      <w:r>
        <w:t>How do I get my change onto Production?</w:t>
      </w:r>
    </w:p>
    <w:p>
      <w:r>
        <w:t>An administrator ships it: open the project and select “Ship to production”, which merges Staging onto main and brings the live instance up to date. The agent never reaches Production on its own, and a task cannot even be created against it.</w:t>
      </w:r>
    </w:p>
    <w:p>
      <w:pPr>
        <w:pageBreakBefore/>
        <w:spacing w:before="360" w:after="60"/>
      </w:pPr>
      <w:r>
        <w:rPr>
          <w:rFonts w:ascii="Cascadia Mono" w:eastAsia="Cascadia Mono" w:hAnsi="Cascadia Mono" w:cs="Cascadia Mono"/>
          <w:b/>
          <w:bCs/>
          <w:color w:val="EE2E24"/>
          <w:sz w:val="16"/>
          <w:szCs w:val="16"/>
        </w:rPr>
        <w:t>§ 13 · TROUBLESHOOTING AND SUPPORT</w:t>
      </w:r>
    </w:p>
    <w:p>
      <w:pPr>
        <w:pStyle w:val="Heading1"/>
        <w:pBdr>
          <w:bottom w:val="single" w:sz="12" w:space="6" w:color="213840"/>
        </w:pBdr>
        <w:spacing w:before="0" w:after="240"/>
      </w:pPr>
      <w:r>
        <w:t xml:space="preserve">Troubleshooting and Support</w:t>
      </w:r>
    </w:p>
    <w:tbl>
      <w:tblPr>
        <w:tblW w:w="9000" w:type="dxa"/>
        <w:tblBorders>
          <w:top w:val="single" w:sz="4" w:color="D0D0D0"/>
          <w:left w:val="single" w:sz="4" w:color="D0D0D0"/>
          <w:bottom w:val="single" w:sz="4" w:color="D0D0D0"/>
          <w:right w:val="single" w:sz="4" w:color="D0D0D0"/>
          <w:insideH w:val="single" w:sz="4" w:color="D0D0D0"/>
          <w:insideV w:val="single" w:sz="4" w:color="D0D0D0"/>
        </w:tblBorders>
      </w:tblPr>
      <w:tblGrid>
        <w:gridCol w:w="4500"/>
        <w:gridCol w:w="4500"/>
      </w:tblGrid>
      <w:tr>
        <w:trPr>
          <w:tblHeader/>
        </w:trPr>
        <w:tc>
          <w:tcPr>
            <w:tcW w:w="4500" w:type="dxa"/>
            <w:shd w:val="clear" w:color="auto" w:fill="213840"/>
          </w:tcPr>
          <w:p>
            <w:r>
              <w:rPr>
                <w:rFonts w:ascii="Cascadia Mono" w:eastAsia="Cascadia Mono" w:hAnsi="Cascadia Mono" w:cs="Cascadia Mono"/>
                <w:b/>
                <w:bCs/>
                <w:color w:val="FFFFFF"/>
                <w:sz w:val="16"/>
                <w:szCs w:val="16"/>
              </w:rPr>
              <w:t xml:space="preserve">SYMPTOM</w:t>
            </w:r>
          </w:p>
        </w:tc>
        <w:tc>
          <w:tcPr>
            <w:tcW w:w="4500" w:type="dxa"/>
            <w:shd w:val="clear" w:color="auto" w:fill="213840"/>
          </w:tcPr>
          <w:p>
            <w:r>
              <w:rPr>
                <w:rFonts w:ascii="Cascadia Mono" w:eastAsia="Cascadia Mono" w:hAnsi="Cascadia Mono" w:cs="Cascadia Mono"/>
                <w:b/>
                <w:bCs/>
                <w:color w:val="FFFFFF"/>
                <w:sz w:val="16"/>
                <w:szCs w:val="16"/>
              </w:rPr>
              <w:t xml:space="preserve">LIKELY CAUSE AND WHAT TO DO</w:t>
            </w:r>
          </w:p>
        </w:tc>
      </w:tr>
      <w:tr>
        <w:tc>
          <w:tcPr>
            <w:tcW w:w="4500" w:type="dxa"/>
          </w:tcPr>
          <w:p>
            <w:r>
              <w:rPr>
                <w:sz w:val="18"/>
                <w:szCs w:val="18"/>
              </w:rPr>
              <w:t xml:space="preserve">A page fails to load after an update</w:t>
            </w:r>
          </w:p>
        </w:tc>
        <w:tc>
          <w:tcPr>
            <w:tcW w:w="4500" w:type="dxa"/>
          </w:tcPr>
          <w:p>
            <w:r>
              <w:rPr>
                <w:sz w:val="18"/>
                <w:szCs w:val="18"/>
              </w:rPr>
              <w:t xml:space="preserve">Clear your browser cache and reload. If it persists, contact an administrator.</w:t>
            </w:r>
          </w:p>
        </w:tc>
      </w:tr>
      <w:tr>
        <w:tc>
          <w:tcPr>
            <w:tcW w:w="4500" w:type="dxa"/>
          </w:tcPr>
          <w:p>
            <w:r>
              <w:rPr>
                <w:sz w:val="18"/>
                <w:szCs w:val="18"/>
              </w:rPr>
              <w:t xml:space="preserve">A project will not load</w:t>
            </w:r>
          </w:p>
        </w:tc>
        <w:tc>
          <w:tcPr>
            <w:tcW w:w="4500" w:type="dxa"/>
          </w:tcPr>
          <w:p>
            <w:r>
              <w:rPr>
                <w:sz w:val="18"/>
                <w:szCs w:val="18"/>
              </w:rPr>
              <w:t xml:space="preserve">The platform's own services may be down; contact an administrator to check.</w:t>
            </w:r>
          </w:p>
        </w:tc>
      </w:tr>
      <w:tr>
        <w:tc>
          <w:tcPr>
            <w:tcW w:w="4500" w:type="dxa"/>
          </w:tcPr>
          <w:p>
            <w:r>
              <w:rPr>
                <w:sz w:val="18"/>
                <w:szCs w:val="18"/>
              </w:rPr>
              <w:t xml:space="preserve">The agent will not push a change</w:t>
            </w:r>
          </w:p>
        </w:tc>
        <w:tc>
          <w:tcPr>
            <w:tcW w:w="4500" w:type="dxa"/>
          </w:tcPr>
          <w:p>
            <w:r>
              <w:rPr>
                <w:sz w:val="18"/>
                <w:szCs w:val="18"/>
              </w:rPr>
              <w:t xml:space="preserve">Pushing may be disabled for this deployment, or it may be waiting on the separate push approval — check the task's status before assuming a fault.</w:t>
            </w:r>
          </w:p>
        </w:tc>
      </w:tr>
      <w:tr>
        <w:tc>
          <w:tcPr>
            <w:tcW w:w="4500" w:type="dxa"/>
          </w:tcPr>
          <w:p>
            <w:r>
              <w:rPr>
                <w:sz w:val="18"/>
                <w:szCs w:val="18"/>
              </w:rPr>
              <w:t xml:space="preserve">A task fails during testing</w:t>
            </w:r>
          </w:p>
        </w:tc>
        <w:tc>
          <w:tcPr>
            <w:tcW w:w="4500" w:type="dxa"/>
          </w:tcPr>
          <w:p>
            <w:r>
              <w:rPr>
                <w:sz w:val="18"/>
                <w:szCs w:val="18"/>
              </w:rPr>
              <w:t xml:space="preserve">Validation may not be configured for this project's Odoo version on this deployment. The task will state this plainly rather than fail silently.</w:t>
            </w:r>
          </w:p>
        </w:tc>
      </w:tr>
      <w:tr>
        <w:tc>
          <w:tcPr>
            <w:tcW w:w="4500" w:type="dxa"/>
          </w:tcPr>
          <w:p>
            <w:r>
              <w:rPr>
                <w:sz w:val="18"/>
                <w:szCs w:val="18"/>
              </w:rPr>
              <w:t xml:space="preserve">Preview is not offered on a task</w:t>
            </w:r>
          </w:p>
        </w:tc>
        <w:tc>
          <w:tcPr>
            <w:tcW w:w="4500" w:type="dxa"/>
          </w:tcPr>
          <w:p>
            <w:r>
              <w:rPr>
                <w:sz w:val="18"/>
                <w:szCs w:val="18"/>
              </w:rPr>
              <w:t xml:space="preserve">Preview is not available for Odoo Online projects, and is refused if the task's change could not be reconstructed cleanly — the reason is shown when this happens.</w:t>
            </w:r>
          </w:p>
        </w:tc>
      </w:tr>
      <w:tr>
        <w:tc>
          <w:tcPr>
            <w:tcW w:w="4500" w:type="dxa"/>
          </w:tcPr>
          <w:p>
            <w:r>
              <w:rPr>
                <w:sz w:val="18"/>
                <w:szCs w:val="18"/>
              </w:rPr>
              <w:t xml:space="preserve">A Chat request ends with no answer</w:t>
            </w:r>
          </w:p>
        </w:tc>
        <w:tc>
          <w:tcPr>
            <w:tcW w:w="4500" w:type="dxa"/>
          </w:tcPr>
          <w:p>
            <w:r>
              <w:rPr>
                <w:sz w:val="18"/>
                <w:szCs w:val="18"/>
              </w:rPr>
              <w:t xml:space="preserve">This is now reported as a failed task rather than completing silently — resubmit the request; if it recurs, contact your administrator.</w:t>
            </w:r>
          </w:p>
        </w:tc>
      </w:tr>
      <w:tr>
        <w:tc>
          <w:tcPr>
            <w:tcW w:w="4500" w:type="dxa"/>
          </w:tcPr>
          <w:p>
            <w:r>
              <w:rPr>
                <w:sz w:val="18"/>
                <w:szCs w:val="18"/>
              </w:rPr>
              <w:t xml:space="preserve">A Change task fails immediately with a provider or model error</w:t>
            </w:r>
          </w:p>
        </w:tc>
        <w:tc>
          <w:tcPr>
            <w:tcW w:w="4500" w:type="dxa"/>
          </w:tcPr>
          <w:p>
            <w:r>
              <w:rPr>
                <w:sz w:val="18"/>
                <w:szCs w:val="18"/>
              </w:rPr>
              <w:t xml:space="preserve">A malformed or empty model answer is retried automatically (three attempts by default) before the task fails — resubmitting often succeeds, since this reflects a transient answer from the model provider rather than a rejected request.</w:t>
            </w:r>
          </w:p>
        </w:tc>
      </w:tr>
    </w:tbl>
    <w:p>
      <w:pPr>
        <w:pStyle w:val="Caption"/>
      </w:pPr>
      <w:r>
        <w:rPr>
          <w:i/>
          <w:iCs/>
        </w:rPr>
        <w:t xml:space="preserve">Table 5: Common symptoms and what they usually mean.</w:t>
      </w:r>
    </w:p>
    <w:p>
      <w:pPr>
        <w:pStyle w:val="Normal"/>
        <w:jc w:val="both"/>
      </w:pPr>
      <w:r>
        <w:rPr>
          <w:sz w:val="22"/>
          <w:szCs w:val="22"/>
        </w:rPr>
        <w:t xml:space="preserve">For anything not covered here, contact your project's administrator or, for access and account matters, your organisation's Cartenz administrator.</w:t>
      </w:r>
    </w:p>
    <w:p w14:paraId="2AA07ABF" w14:textId="77777777" w:rsidR="00BA565F" w:rsidRDefault="00D40E89">
      <w:pPr>
        <w:pageBreakBefore/>
        <w:spacing w:before="360" w:after="60"/>
      </w:pPr>
      <w:r>
        <w:rPr>
          <w:rFonts w:ascii="Cascadia Mono" w:eastAsia="Cascadia Mono" w:hAnsi="Cascadia Mono" w:cs="Cascadia Mono"/>
          <w:b/>
          <w:bCs/>
          <w:color w:val="EE2E24"/>
          <w:sz w:val="16"/>
          <w:szCs w:val="16"/>
        </w:rPr>
        <w:lastRenderedPageBreak/>
        <w:t>§ 14 · ACRONYMS AND ABBREVIATIONS</w:t>
      </w:r>
    </w:p>
    <w:p w14:paraId="6991A8AE" w14:textId="77777777" w:rsidR="00BA565F" w:rsidRDefault="00D40E89">
      <w:pPr>
        <w:pStyle w:val="Heading1"/>
        <w:pBdr>
          <w:bottom w:val="single" w:sz="12" w:space="6" w:color="213840"/>
        </w:pBdr>
        <w:spacing w:before="0" w:after="240"/>
      </w:pPr>
      <w:r>
        <w:t>Chapter 7 — Acronyms and Abbreviations</w:t>
      </w:r>
    </w:p>
    <w:p w14:paraId="14011D5D" w14:textId="77777777" w:rsidR="00BA565F" w:rsidRDefault="00D40E89">
      <w:pPr>
        <w:spacing w:after="120" w:line="320" w:lineRule="exact"/>
        <w:jc w:val="both"/>
      </w:pPr>
      <w:r>
        <w:rPr>
          <w:sz w:val="22"/>
          <w:szCs w:val="22"/>
        </w:rPr>
        <w:t>Acronyms and abbreviations used throughout this document are defined below. Authors should populate this list with terms used in the document and remove example rows that do not apply.</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4819"/>
        <w:gridCol w:w="4819"/>
      </w:tblGrid>
      <w:tr w:rsidR="00BA565F" w14:paraId="25D935D5" w14:textId="77777777">
        <w:trPr>
          <w:tblHeader/>
        </w:trPr>
        <w:tc>
          <w:tcPr>
            <w:tcW w:w="4500" w:type="dxa"/>
            <w:shd w:val="clear" w:color="auto" w:fill="213840"/>
            <w:vAlign w:val="center"/>
          </w:tcPr>
          <w:p w14:paraId="152D1643" w14:textId="77777777" w:rsidR="00BA565F" w:rsidRDefault="00D40E89">
            <w:pPr>
              <w:spacing w:after="120"/>
            </w:pPr>
            <w:r>
              <w:rPr>
                <w:rFonts w:ascii="Cascadia Mono" w:eastAsia="Cascadia Mono" w:hAnsi="Cascadia Mono" w:cs="Cascadia Mono"/>
                <w:b/>
                <w:bCs/>
                <w:color w:val="FFFFFF"/>
                <w:sz w:val="16"/>
                <w:szCs w:val="16"/>
              </w:rPr>
              <w:t>ACRONYM</w:t>
            </w:r>
          </w:p>
        </w:tc>
        <w:tc>
          <w:tcPr>
            <w:tcW w:w="4500" w:type="dxa"/>
            <w:shd w:val="clear" w:color="auto" w:fill="213840"/>
            <w:vAlign w:val="center"/>
          </w:tcPr>
          <w:p w14:paraId="7DBBB9F0" w14:textId="77777777" w:rsidR="00BA565F" w:rsidRDefault="00D40E89">
            <w:pPr>
              <w:spacing w:after="120"/>
            </w:pPr>
            <w:r>
              <w:rPr>
                <w:rFonts w:ascii="Cascadia Mono" w:eastAsia="Cascadia Mono" w:hAnsi="Cascadia Mono" w:cs="Cascadia Mono"/>
                <w:b/>
                <w:bCs/>
                <w:color w:val="FFFFFF"/>
                <w:sz w:val="16"/>
                <w:szCs w:val="16"/>
              </w:rPr>
              <w:t>DEFINITION</w:t>
            </w:r>
          </w:p>
        </w:tc>
      </w:tr>
      <w:tr>
        <w:tc>
          <w:p>
            <w:r>
              <w:rPr>
                <w:sz w:val="22"/>
                <w:szCs w:val="22"/>
              </w:rPr>
              <w:t xml:space="preserve">AI</w:t>
            </w:r>
          </w:p>
        </w:tc>
        <w:tc>
          <w:p>
            <w:r>
              <w:rPr>
                <w:sz w:val="22"/>
                <w:szCs w:val="22"/>
              </w:rPr>
              <w:t xml:space="preserve">Artificial Intelligence</w:t>
            </w:r>
          </w:p>
        </w:tc>
      </w:tr>
      <w:tr>
        <w:tc>
          <w:p>
            <w:r>
              <w:rPr>
                <w:sz w:val="22"/>
                <w:szCs w:val="22"/>
              </w:rPr>
              <w:t xml:space="preserve">API</w:t>
            </w:r>
          </w:p>
        </w:tc>
        <w:tc>
          <w:p>
            <w:r>
              <w:rPr>
                <w:sz w:val="22"/>
                <w:szCs w:val="22"/>
              </w:rPr>
              <w:t xml:space="preserve">Application Programming Interface</w:t>
            </w:r>
          </w:p>
        </w:tc>
      </w:tr>
      <w:tr>
        <w:tc>
          <w:p>
            <w:r>
              <w:rPr>
                <w:sz w:val="22"/>
                <w:szCs w:val="22"/>
              </w:rPr>
              <w:t xml:space="preserve">GIF</w:t>
            </w:r>
          </w:p>
        </w:tc>
        <w:tc>
          <w:p>
            <w:r>
              <w:rPr>
                <w:sz w:val="22"/>
                <w:szCs w:val="22"/>
              </w:rPr>
              <w:t xml:space="preserve">Graphics Interchange Format</w:t>
            </w:r>
          </w:p>
        </w:tc>
      </w:tr>
      <w:tr>
        <w:tc>
          <w:p>
            <w:r>
              <w:rPr>
                <w:sz w:val="22"/>
                <w:szCs w:val="22"/>
              </w:rPr>
              <w:t xml:space="preserve">HTTPS</w:t>
            </w:r>
          </w:p>
        </w:tc>
        <w:tc>
          <w:p>
            <w:r>
              <w:rPr>
                <w:sz w:val="22"/>
                <w:szCs w:val="22"/>
              </w:rPr>
              <w:t xml:space="preserve">Hypertext Transfer Protocol Secure</w:t>
            </w:r>
          </w:p>
        </w:tc>
      </w:tr>
      <w:tr>
        <w:tc>
          <w:p>
            <w:r>
              <w:rPr>
                <w:sz w:val="22"/>
                <w:szCs w:val="22"/>
              </w:rPr>
              <w:t xml:space="preserve">JPEG</w:t>
            </w:r>
          </w:p>
        </w:tc>
        <w:tc>
          <w:p>
            <w:r>
              <w:rPr>
                <w:sz w:val="22"/>
                <w:szCs w:val="22"/>
              </w:rPr>
              <w:t xml:space="preserve">Joint Photographic Experts Group (image format)</w:t>
            </w:r>
          </w:p>
        </w:tc>
      </w:tr>
      <w:tr>
        <w:tc>
          <w:p>
            <w:r>
              <w:rPr>
                <w:sz w:val="22"/>
                <w:szCs w:val="22"/>
              </w:rPr>
              <w:t xml:space="preserve">PDF</w:t>
            </w:r>
          </w:p>
        </w:tc>
        <w:tc>
          <w:p>
            <w:r>
              <w:rPr>
                <w:sz w:val="22"/>
                <w:szCs w:val="22"/>
              </w:rPr>
              <w:t xml:space="preserve">Portable Document Format</w:t>
            </w:r>
          </w:p>
        </w:tc>
      </w:tr>
      <w:tr>
        <w:tc>
          <w:p>
            <w:r>
              <w:rPr>
                <w:sz w:val="22"/>
                <w:szCs w:val="22"/>
              </w:rPr>
              <w:t xml:space="preserve">PNG</w:t>
            </w:r>
          </w:p>
        </w:tc>
        <w:tc>
          <w:p>
            <w:r>
              <w:rPr>
                <w:sz w:val="22"/>
                <w:szCs w:val="22"/>
              </w:rPr>
              <w:t xml:space="preserve">Portable Network Graphics</w:t>
            </w:r>
          </w:p>
        </w:tc>
      </w:tr>
      <w:tr>
        <w:tc>
          <w:p>
            <w:r>
              <w:rPr>
                <w:sz w:val="22"/>
                <w:szCs w:val="22"/>
              </w:rPr>
              <w:t xml:space="preserve">UI</w:t>
            </w:r>
          </w:p>
        </w:tc>
        <w:tc>
          <w:p>
            <w:r>
              <w:rPr>
                <w:sz w:val="22"/>
                <w:szCs w:val="22"/>
              </w:rPr>
              <w:t xml:space="preserve">User Interface</w:t>
            </w:r>
          </w:p>
        </w:tc>
      </w:tr>
      <w:tr>
        <w:tc>
          <w:p>
            <w:r>
              <w:rPr>
                <w:sz w:val="22"/>
                <w:szCs w:val="22"/>
              </w:rPr>
              <w:t xml:space="preserve">URL</w:t>
            </w:r>
          </w:p>
        </w:tc>
        <w:tc>
          <w:p>
            <w:r>
              <w:rPr>
                <w:sz w:val="22"/>
                <w:szCs w:val="22"/>
              </w:rPr>
              <w:t xml:space="preserve">Uniform Resource Locator</w:t>
            </w:r>
          </w:p>
        </w:tc>
      </w:tr>
    </w:tbl>
    <w:p w14:paraId="3CA170FE" w14:textId="77777777" w:rsidR="00BA565F" w:rsidRDefault="00D40E89">
      <w:pPr>
        <w:spacing w:after="120" w:line="320" w:lineRule="exact"/>
        <w:jc w:val="both"/>
      </w:pPr>
      <w:r>
        <w:rPr>
          <w:sz w:val="22"/>
          <w:szCs w:val="22"/>
        </w:rPr>
        <w:t>Acronyms should be defined in full at first use in the body text and listed in this chapter for reference.</w:t>
      </w:r>
    </w:p>
    <w:p w14:paraId="7807CE44" w14:textId="77777777" w:rsidR="00BA565F" w:rsidRDefault="00D40E89">
      <w:pPr>
        <w:pageBreakBefore/>
        <w:spacing w:before="360" w:after="60"/>
      </w:pPr>
      <w:r>
        <w:rPr>
          <w:rFonts w:ascii="Cascadia Mono" w:eastAsia="Cascadia Mono" w:hAnsi="Cascadia Mono" w:cs="Cascadia Mono"/>
          <w:b/>
          <w:bCs/>
          <w:color w:val="EE2E24"/>
          <w:sz w:val="16"/>
          <w:szCs w:val="16"/>
        </w:rPr>
        <w:lastRenderedPageBreak/>
        <w:t>§ 15 · LEGAL NOTICE</w:t>
      </w:r>
    </w:p>
    <w:p w14:paraId="5E80EE41" w14:textId="77777777" w:rsidR="00BA565F" w:rsidRDefault="00D40E89">
      <w:pPr>
        <w:pStyle w:val="Heading1"/>
        <w:pBdr>
          <w:bottom w:val="single" w:sz="12" w:space="6" w:color="213840"/>
        </w:pBdr>
        <w:spacing w:before="0" w:after="240"/>
      </w:pPr>
      <w:bookmarkStart w:id="4" w:name="__RefHeading___Toc30_SOW"/>
      <w:bookmarkStart w:id="5" w:name="_Toc228778231"/>
      <w:bookmarkEnd w:id="4"/>
      <w:r>
        <w:t>Legal Notice</w:t>
      </w:r>
      <w:bookmarkEnd w:id="5"/>
    </w:p>
    <w:p w14:paraId="13410EA7" w14:textId="77777777" w:rsidR="00BA565F" w:rsidRDefault="00D40E89">
      <w:pPr>
        <w:spacing w:after="160" w:line="300" w:lineRule="exact"/>
        <w:jc w:val="both"/>
      </w:pPr>
      <w:r>
        <w:rPr>
          <w:b/>
          <w:color w:val="3A5762"/>
          <w:sz w:val="18"/>
          <w:szCs w:val="18"/>
        </w:rPr>
        <w:t xml:space="preserve">Confidentiality. </w:t>
      </w:r>
      <w:r>
        <w:rPr>
          <w:color w:val="3A5762"/>
          <w:sz w:val="18"/>
          <w:szCs w:val="18"/>
        </w:rPr>
        <w:t>This document is the property of Linked ERP and is provided on a confidential basis. It may not be reproduced, distributed, or disclosed to any third party without the prior written consent of Linked ERP.</w:t>
      </w:r>
    </w:p>
    <w:p w14:paraId="41DBEABE" w14:textId="77777777" w:rsidR="00BA565F" w:rsidRDefault="00D40E89">
      <w:pPr>
        <w:spacing w:after="160" w:line="300" w:lineRule="exact"/>
        <w:jc w:val="both"/>
      </w:pPr>
      <w:r>
        <w:rPr>
          <w:b/>
          <w:color w:val="3A5762"/>
          <w:sz w:val="18"/>
          <w:szCs w:val="18"/>
        </w:rPr>
        <w:t xml:space="preserve">Intellectual Property. </w:t>
      </w:r>
      <w:r>
        <w:rPr>
          <w:color w:val="3A5762"/>
          <w:sz w:val="18"/>
          <w:szCs w:val="18"/>
        </w:rPr>
        <w:t>All rights, title, and interest in any intellectual property contained in this document vest in Linked ERP. No licence, express or implied, is granted to the recipient by virtue of receiving this document.</w:t>
      </w:r>
    </w:p>
    <w:p w14:paraId="2CC95F34" w14:textId="77777777" w:rsidR="00BA565F" w:rsidRDefault="00D40E89">
      <w:pPr>
        <w:spacing w:after="160" w:line="300" w:lineRule="exact"/>
        <w:jc w:val="both"/>
      </w:pPr>
      <w:r>
        <w:rPr>
          <w:b/>
          <w:color w:val="3A5762"/>
          <w:sz w:val="18"/>
          <w:szCs w:val="18"/>
        </w:rPr>
        <w:t xml:space="preserve">Disclaimer. </w:t>
      </w:r>
      <w:r>
        <w:rPr>
          <w:color w:val="3A5762"/>
          <w:sz w:val="18"/>
          <w:szCs w:val="18"/>
        </w:rPr>
        <w:t>The information contained in this document is provided for general informational purposes only and does not constitute professional, legal, or financial advice. Linked ERP makes no representation or warranty as to the accuracy, completeness, or fitness for purpose of the information provided. Recipients should obtain their own independent advice before acting on any content.</w:t>
      </w:r>
    </w:p>
    <w:p w14:paraId="4456221C" w14:textId="77777777" w:rsidR="00BA565F" w:rsidRDefault="00D40E89">
      <w:pPr>
        <w:spacing w:after="160" w:line="300" w:lineRule="exact"/>
        <w:jc w:val="both"/>
      </w:pPr>
      <w:r>
        <w:rPr>
          <w:b/>
          <w:color w:val="3A5762"/>
          <w:sz w:val="18"/>
          <w:szCs w:val="18"/>
        </w:rPr>
        <w:t xml:space="preserve">Forward-looking Statements. </w:t>
      </w:r>
      <w:r>
        <w:rPr>
          <w:color w:val="3A5762"/>
          <w:sz w:val="18"/>
          <w:szCs w:val="18"/>
        </w:rPr>
        <w:t>Where this document contains forecasts, projections, roadmaps, schedules, or other forward-looking statements, these reflect Linked ERP’s current views as at the date of issue and are subject to risks, uncertainties, and assumptions. Actual outcomes may differ materially. Linked ERP undertakes no obligation to update such statements following the date of issue.</w:t>
      </w:r>
    </w:p>
    <w:p w14:paraId="37676C4E" w14:textId="77777777" w:rsidR="00BA565F" w:rsidRDefault="00D40E89">
      <w:pPr>
        <w:spacing w:after="160" w:line="300" w:lineRule="exact"/>
        <w:jc w:val="both"/>
      </w:pPr>
      <w:r>
        <w:rPr>
          <w:b/>
          <w:color w:val="3A5762"/>
          <w:sz w:val="18"/>
          <w:szCs w:val="18"/>
        </w:rPr>
        <w:t xml:space="preserve">Trademarks. </w:t>
      </w:r>
      <w:r>
        <w:rPr>
          <w:color w:val="3A5762"/>
          <w:sz w:val="18"/>
          <w:szCs w:val="18"/>
        </w:rPr>
        <w:t>“Linked”, the Linked logo, and “Linked ERP” are trademarks of Linked ERP. Other names referenced in this document may be trademarks of their respective owners.</w:t>
      </w:r>
    </w:p>
    <w:p w14:paraId="15B2C7E7" w14:textId="77777777" w:rsidR="00BA565F" w:rsidRDefault="00D40E89">
      <w:pPr>
        <w:spacing w:after="160" w:line="300" w:lineRule="exact"/>
        <w:jc w:val="both"/>
      </w:pPr>
      <w:r>
        <w:rPr>
          <w:b/>
          <w:color w:val="3A5762"/>
          <w:sz w:val="18"/>
          <w:szCs w:val="18"/>
        </w:rPr>
        <w:t xml:space="preserve">Personal Information (POPIA). </w:t>
      </w:r>
      <w:r>
        <w:rPr>
          <w:color w:val="3A5762"/>
          <w:sz w:val="18"/>
          <w:szCs w:val="18"/>
        </w:rPr>
        <w:t>Where this document contains personal information of identifiable individuals, that information is processed in accordance with the Protection of Personal Information Act (POPIA, Act No. 4 of 2013) and Linked ERP’s privacy policy. This clause may be removed where the document contains no personal information.</w:t>
      </w:r>
    </w:p>
    <w:p w14:paraId="06AB9B0C" w14:textId="77777777" w:rsidR="00BA565F" w:rsidRDefault="00D40E89">
      <w:pPr>
        <w:spacing w:after="160" w:line="300" w:lineRule="exact"/>
        <w:jc w:val="both"/>
      </w:pPr>
      <w:r>
        <w:rPr>
          <w:b/>
          <w:color w:val="3A5762"/>
          <w:sz w:val="18"/>
          <w:szCs w:val="18"/>
        </w:rPr>
        <w:t xml:space="preserve">Document Status. </w:t>
      </w:r>
      <w:r>
        <w:rPr>
          <w:color w:val="3A5762"/>
          <w:sz w:val="18"/>
          <w:szCs w:val="18"/>
        </w:rPr>
        <w:t>Specifications and other information in this document may be subject to change without notice. The most recent version issued by Linked ERP is the authoritative version.</w:t>
      </w:r>
    </w:p>
    <w:sectPr w:rsidR="00BA565F">
      <w:headerReference w:type="default" r:id="rId18"/>
      <w:footerReference w:type="default" r:id="rId19"/>
      <w:headerReference w:type="first" r:id="rId20"/>
      <w:footerReference w:type="first" r:id="rId21"/>
      <w:pgSz w:w="11906" w:h="16838"/>
      <w:pgMar w:top="1700" w:right="1134" w:bottom="1134" w:left="1134" w:header="708" w:footer="708" w:gutter="0"/>
      <w:pgNumType w:start="1"/>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6C4D5" w14:textId="77777777" w:rsidR="00AC794E" w:rsidRDefault="00AC794E">
      <w:r>
        <w:separator/>
      </w:r>
    </w:p>
  </w:endnote>
  <w:endnote w:type="continuationSeparator" w:id="0">
    <w:p w14:paraId="038A4DD9" w14:textId="77777777" w:rsidR="00AC794E" w:rsidRDefault="00AC79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scadia Mono">
    <w:panose1 w:val="020B0609020000020004"/>
    <w:charset w:val="00"/>
    <w:family w:val="modern"/>
    <w:pitch w:val="fixed"/>
    <w:sig w:usb0="A1002AFF" w:usb1="C200F9FB" w:usb2="00040020"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libri"/>
    <w:charset w:val="01"/>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9AD8" w14:textId="77777777" w:rsidR="00BA565F" w:rsidRDefault="00BA565F">
    <w:pPr>
      <w:pBdr>
        <w:top w:val="single" w:sz="4" w:space="6" w:color="CFD1D4"/>
      </w:pBdr>
    </w:pPr>
  </w:p>
  <w:p w14:paraId="6C824534"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396B9" w14:textId="77777777" w:rsidR="00BA565F" w:rsidRDefault="00BA565F">
    <w:pPr>
      <w:pBdr>
        <w:top w:val="single" w:sz="4" w:space="6" w:color="CFD1D4"/>
      </w:pBdr>
    </w:pPr>
  </w:p>
  <w:p w14:paraId="58EA1FCE"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DC930" w14:textId="77777777" w:rsidR="00BA565F" w:rsidRDefault="00BA565F">
    <w:pPr>
      <w:pBdr>
        <w:top w:val="single" w:sz="4" w:space="6" w:color="CFD1D4"/>
      </w:pBdr>
    </w:pPr>
  </w:p>
  <w:p w14:paraId="6B6C09AE"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CF4F9" w14:textId="77777777" w:rsidR="00BA565F" w:rsidRDefault="00BA565F">
    <w:pPr>
      <w:pBdr>
        <w:top w:val="single" w:sz="4" w:space="6" w:color="CFD1D4"/>
      </w:pBdr>
    </w:pPr>
  </w:p>
  <w:p w14:paraId="670ECB72"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r>
      <w:tab/>
    </w:r>
    <w:r>
      <w:rPr>
        <w:rFonts w:ascii="Cascadia Mono" w:eastAsia="Cascadia Mono" w:hAnsi="Cascadia Mono" w:cs="Cascadia Mono"/>
        <w:color w:val="546870"/>
        <w:sz w:val="14"/>
        <w:szCs w:val="14"/>
      </w:rPr>
      <w:t xml:space="preserve">Page </w:t>
    </w:r>
    <w:r>
      <w:fldChar w:fldCharType="begin"/>
    </w:r>
    <w:r>
      <w:instrText xml:space="preserve"> PAGE </w:instrText>
    </w:r>
    <w:r>
      <w:fldChar w:fldCharType="separate"/>
    </w:r>
    <w:r>
      <w:t>1</w:t>
    </w:r>
    <w:r>
      <w:fldChar w:fldCharType="end"/>
    </w:r>
    <w:r>
      <w:rPr>
        <w:rFonts w:ascii="Cascadia Mono" w:eastAsia="Cascadia Mono" w:hAnsi="Cascadia Mono" w:cs="Cascadia Mono"/>
        <w:color w:val="546870"/>
        <w:sz w:val="14"/>
        <w:szCs w:val="14"/>
      </w:rPr>
      <w:t xml:space="preserve"> / </w:t>
    </w:r>
    <w:r>
      <w:fldChar w:fldCharType="begin"/>
    </w:r>
    <w:r>
      <w:instrText xml:space="preserve"> SECTIONPAGES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B56B9" w14:textId="77777777" w:rsidR="00BA565F" w:rsidRDefault="00BA565F">
    <w:pPr>
      <w:pBdr>
        <w:top w:val="single" w:sz="4" w:space="6" w:color="CFD1D4"/>
      </w:pBdr>
    </w:pPr>
  </w:p>
  <w:p w14:paraId="6A0AD2EB"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r>
      <w:tab/>
    </w:r>
    <w:r>
      <w:rPr>
        <w:rFonts w:ascii="Cascadia Mono" w:eastAsia="Cascadia Mono" w:hAnsi="Cascadia Mono" w:cs="Cascadia Mono"/>
        <w:color w:val="546870"/>
        <w:sz w:val="14"/>
        <w:szCs w:val="14"/>
      </w:rPr>
      <w:t xml:space="preserve">Page </w:t>
    </w:r>
    <w:r>
      <w:fldChar w:fldCharType="begin"/>
    </w:r>
    <w:r>
      <w:instrText xml:space="preserve"> PAGE </w:instrText>
    </w:r>
    <w:r>
      <w:fldChar w:fldCharType="separate"/>
    </w:r>
    <w:r>
      <w:t>1</w:t>
    </w:r>
    <w:r>
      <w:fldChar w:fldCharType="end"/>
    </w:r>
    <w:r>
      <w:rPr>
        <w:rFonts w:ascii="Cascadia Mono" w:eastAsia="Cascadia Mono" w:hAnsi="Cascadia Mono" w:cs="Cascadia Mono"/>
        <w:color w:val="546870"/>
        <w:sz w:val="14"/>
        <w:szCs w:val="14"/>
      </w:rPr>
      <w:t xml:space="preserve"> / </w:t>
    </w:r>
    <w:r>
      <w:fldChar w:fldCharType="begin"/>
    </w:r>
    <w:r>
      <w:instrText xml:space="preserve"> SECTIONPAGES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2B0EA" w14:textId="77777777" w:rsidR="00AC794E" w:rsidRDefault="00AC794E">
      <w:r>
        <w:separator/>
      </w:r>
    </w:p>
  </w:footnote>
  <w:footnote w:type="continuationSeparator" w:id="0">
    <w:p w14:paraId="300B54DA" w14:textId="77777777" w:rsidR="00AC794E" w:rsidRDefault="00AC79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BAD77" w14:textId="77777777" w:rsidR="00BA565F" w:rsidRDefault="00D40E89">
    <w:pPr>
      <w:tabs>
        <w:tab w:val="right" w:pos="9638"/>
      </w:tabs>
      <w:spacing w:after="60"/>
    </w:pPr>
    <w:r>
      <w:rPr>
        <w:noProof/>
      </w:rPr>
      <w:drawing>
        <wp:inline distT="0" distB="0" distL="0" distR="0" wp14:anchorId="09DDD88C" wp14:editId="1EC9170D">
          <wp:extent cx="1238250" cy="257175"/>
          <wp:effectExtent l="0" t="0" r="0" b="0"/>
          <wp:docPr id="2"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850AD" w14:textId="77777777" w:rsidR="00BA565F" w:rsidRDefault="00D40E89">
    <w:pPr>
      <w:tabs>
        <w:tab w:val="right" w:pos="9638"/>
      </w:tabs>
      <w:spacing w:after="60"/>
    </w:pPr>
    <w:r>
      <w:rPr>
        <w:noProof/>
      </w:rPr>
      <w:drawing>
        <wp:inline distT="0" distB="0" distL="0" distR="0" wp14:anchorId="23861D4C" wp14:editId="6B1EC2B3">
          <wp:extent cx="1238250" cy="257175"/>
          <wp:effectExtent l="0" t="0" r="0" b="0"/>
          <wp:docPr id="1503645964"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547C2" w14:textId="77777777" w:rsidR="00BA565F" w:rsidRDefault="00D40E89">
    <w:pPr>
      <w:tabs>
        <w:tab w:val="right" w:pos="9638"/>
      </w:tabs>
      <w:spacing w:after="60"/>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65965" w14:textId="77777777" w:rsidR="00BA565F" w:rsidRDefault="00D40E89">
    <w:pPr>
      <w:pBdr>
        <w:bottom w:val="single" w:sz="24" w:space="4" w:color="EE2E24"/>
      </w:pBdr>
      <w:tabs>
        <w:tab w:val="right" w:pos="9638"/>
      </w:tabs>
      <w:spacing w:after="60"/>
    </w:pPr>
    <w:r>
      <w:rPr>
        <w:noProof/>
      </w:rPr>
      <w:drawing>
        <wp:inline distT="0" distB="0" distL="0" distR="0" wp14:anchorId="162041EB" wp14:editId="6E8D95A2">
          <wp:extent cx="1238250" cy="257175"/>
          <wp:effectExtent l="0" t="0" r="0" b="0"/>
          <wp:docPr id="610523539"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2EAB4" w14:textId="77777777" w:rsidR="00BA565F" w:rsidRDefault="00D40E89">
    <w:pPr>
      <w:tabs>
        <w:tab w:val="right" w:pos="9638"/>
      </w:tabs>
      <w:spacing w:after="60"/>
    </w:pPr>
    <w:r>
      <w:rPr>
        <w:noProof/>
      </w:rPr>
      <w:drawing>
        <wp:inline distT="0" distB="0" distL="0" distR="0" wp14:anchorId="48B249B5" wp14:editId="7AC28748">
          <wp:extent cx="1238250" cy="257175"/>
          <wp:effectExtent l="0" t="0" r="0" b="0"/>
          <wp:docPr id="121398229"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1015"/>
    <w:multiLevelType w:val="multilevel"/>
    <w:tmpl w:val="641613AC"/>
    <w:lvl w:ilvl="0">
      <w:start w:val="1"/>
      <w:numFmt w:val="decimal"/>
      <w:lvlText w:val="%1."/>
      <w:lvlJc w:val="left"/>
      <w:pPr>
        <w:tabs>
          <w:tab w:val="num" w:pos="0"/>
        </w:tabs>
        <w:ind w:left="420" w:hanging="340"/>
      </w:pPr>
      <w:rPr>
        <w:rFonts w:ascii="Cascadia Mono" w:eastAsia="Cascadia Mono" w:hAnsi="Cascadia Mono" w:cs="Cascadia Mono"/>
        <w:b/>
        <w:bCs/>
        <w:color w:val="EE2E24"/>
      </w:rPr>
    </w:lvl>
    <w:lvl w:ilvl="1">
      <w:start w:val="1"/>
      <w:numFmt w:val="lowerLetter"/>
      <w:lvlText w:val="%2."/>
      <w:lvlJc w:val="left"/>
      <w:pPr>
        <w:tabs>
          <w:tab w:val="num" w:pos="0"/>
        </w:tabs>
        <w:ind w:left="780" w:hanging="30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599B5C5B"/>
    <w:multiLevelType w:val="multilevel"/>
    <w:tmpl w:val="C56EC3B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B2E316E"/>
    <w:multiLevelType w:val="multilevel"/>
    <w:tmpl w:val="EA7AD70E"/>
    <w:lvl w:ilvl="0">
      <w:start w:val="1"/>
      <w:numFmt w:val="bullet"/>
      <w:lvlText w:val="▪"/>
      <w:lvlJc w:val="left"/>
      <w:pPr>
        <w:tabs>
          <w:tab w:val="num" w:pos="0"/>
        </w:tabs>
        <w:ind w:left="360" w:hanging="220"/>
      </w:pPr>
      <w:rPr>
        <w:rFonts w:ascii="Aptos" w:hAnsi="Aptos" w:cs="Aptos" w:hint="default"/>
        <w:color w:val="EE2E24"/>
      </w:rPr>
    </w:lvl>
    <w:lvl w:ilvl="1">
      <w:start w:val="1"/>
      <w:numFmt w:val="bullet"/>
      <w:lvlText w:val=""/>
      <w:lvlJc w:val="left"/>
      <w:pPr>
        <w:tabs>
          <w:tab w:val="num" w:pos="0"/>
        </w:tabs>
        <w:ind w:left="720" w:hanging="220"/>
      </w:pPr>
      <w:rPr>
        <w:rFonts w:ascii="Symbol" w:hAnsi="Symbol" w:cs="Symbol" w:hint="default"/>
        <w:color w:val="3A5762"/>
      </w:rPr>
    </w:lvl>
    <w:lvl w:ilvl="2">
      <w:start w:val="1"/>
      <w:numFmt w:val="bullet"/>
      <w:lvlText w:val="·"/>
      <w:lvlJc w:val="left"/>
      <w:pPr>
        <w:tabs>
          <w:tab w:val="num" w:pos="0"/>
        </w:tabs>
        <w:ind w:left="1080" w:hanging="220"/>
      </w:pPr>
      <w:rPr>
        <w:rFonts w:ascii="OpenSymbol" w:hAnsi="OpenSymbol" w:cs="OpenSymbol" w:hint="default"/>
        <w:color w:val="6F747B"/>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418140271">
    <w:abstractNumId w:val="2"/>
  </w:num>
  <w:num w:numId="2" w16cid:durableId="1560482207">
    <w:abstractNumId w:val="0"/>
  </w:num>
  <w:num w:numId="3" w16cid:durableId="1629167196">
    <w:abstractNumId w:val="1"/>
  </w:num>
  <w:num w:numId="4" w16cid:durableId="69037752">
    <w:abstractNumId w:val="2"/>
    <w:lvlOverride w:ilvl="0">
      <w:startOverride w:val="1"/>
    </w:lvlOverride>
  </w:num>
  <w:num w:numId="5" w16cid:durableId="18788553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65F"/>
    <w:rsid w:val="000D674D"/>
    <w:rsid w:val="001659F2"/>
    <w:rsid w:val="00186B93"/>
    <w:rsid w:val="00191F3A"/>
    <w:rsid w:val="001C10C5"/>
    <w:rsid w:val="001C317B"/>
    <w:rsid w:val="00317415"/>
    <w:rsid w:val="004D27E2"/>
    <w:rsid w:val="00654FFA"/>
    <w:rsid w:val="008B4964"/>
    <w:rsid w:val="008F2E52"/>
    <w:rsid w:val="0094055F"/>
    <w:rsid w:val="00944B56"/>
    <w:rsid w:val="00AA2A7C"/>
    <w:rsid w:val="00AC794E"/>
    <w:rsid w:val="00BA565F"/>
    <w:rsid w:val="00CE20F5"/>
    <w:rsid w:val="00CF1BC0"/>
    <w:rsid w:val="00CF5E27"/>
    <w:rsid w:val="00D13B69"/>
    <w:rsid w:val="00D40E89"/>
    <w:rsid w:val="00E238CE"/>
    <w:rsid w:val="00EB423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9D5B7"/>
  <w15:docId w15:val="{1B253F4A-7DA6-4172-A7EB-2F4F374AA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13840"/>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pBdr>
        <w:bottom w:val="single" w:sz="12" w:space="6" w:color="213840"/>
      </w:pBdr>
      <w:spacing w:after="180"/>
      <w:outlineLvl w:val="0"/>
    </w:pPr>
    <w:rPr>
      <w:rFonts w:ascii="Aptos" w:eastAsia="Aptos" w:hAnsi="Aptos" w:cs="Aptos"/>
      <w:b/>
      <w:bCs/>
      <w:sz w:val="36"/>
      <w:szCs w:val="36"/>
    </w:rPr>
  </w:style>
  <w:style w:type="paragraph" w:styleId="Heading2">
    <w:name w:val="heading 2"/>
    <w:basedOn w:val="Heading"/>
    <w:uiPriority w:val="9"/>
    <w:unhideWhenUsed/>
    <w:qFormat/>
    <w:pPr>
      <w:spacing w:before="280"/>
      <w:outlineLvl w:val="1"/>
    </w:pPr>
    <w:rPr>
      <w:rFonts w:ascii="Aptos" w:eastAsia="Aptos" w:hAnsi="Aptos" w:cs="Aptos"/>
      <w:b/>
      <w:bCs/>
      <w:sz w:val="26"/>
      <w:szCs w:val="26"/>
    </w:rPr>
  </w:style>
  <w:style w:type="paragraph" w:styleId="Heading3">
    <w:name w:val="heading 3"/>
    <w:basedOn w:val="Heading"/>
    <w:uiPriority w:val="9"/>
    <w:semiHidden/>
    <w:unhideWhenUsed/>
    <w:qFormat/>
    <w:pPr>
      <w:spacing w:before="200" w:after="80"/>
      <w:outlineLvl w:val="2"/>
    </w:pPr>
    <w:rPr>
      <w:rFonts w:ascii="Aptos" w:eastAsia="Aptos" w:hAnsi="Aptos" w:cs="Aptos"/>
      <w:b/>
      <w:bCs/>
      <w:color w:val="EE2E24"/>
      <w:sz w:val="22"/>
      <w:szCs w:val="22"/>
    </w:rPr>
  </w:style>
  <w:style w:type="paragraph" w:styleId="Heading4">
    <w:name w:val="heading 4"/>
    <w:basedOn w:val="Heading"/>
    <w:uiPriority w:val="9"/>
    <w:semiHidden/>
    <w:unhideWhenUsed/>
    <w:qFormat/>
    <w:pPr>
      <w:spacing w:before="160" w:after="60"/>
      <w:outlineLvl w:val="3"/>
    </w:pPr>
    <w:rPr>
      <w:rFonts w:ascii="Aptos" w:eastAsia="Aptos" w:hAnsi="Aptos" w:cs="Aptos"/>
      <w:b/>
      <w:bCs/>
      <w:color w:val="3A5762"/>
      <w:sz w:val="20"/>
      <w:szCs w:val="20"/>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60" w:line="300" w:lineRule="exact"/>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 w:type="paragraph" w:styleId="EndnoteText">
    <w:name w:val="endnote text"/>
    <w:basedOn w:val="Normal"/>
    <w:link w:val="EndnoteTextChar"/>
    <w:uiPriority w:val="99"/>
    <w:semiHidden/>
    <w:unhideWhenUsed/>
  </w:style>
  <w:style w:type="paragraph" w:customStyle="1" w:styleId="Internetlink">
    <w:name w:val="Internet link"/>
    <w:qFormat/>
    <w:rPr>
      <w:color w:val="EE2E24"/>
      <w:u w:val="single"/>
    </w:rPr>
  </w:style>
  <w:style w:type="paragraph" w:styleId="Quote">
    <w:name w:val="Quote"/>
    <w:qFormat/>
    <w:pPr>
      <w:pBdr>
        <w:left w:val="single" w:sz="18" w:space="12" w:color="EE2E24"/>
      </w:pBdr>
      <w:spacing w:before="200" w:after="200" w:line="320" w:lineRule="exact"/>
      <w:ind w:left="360"/>
    </w:pPr>
    <w:rPr>
      <w:i/>
      <w:iCs/>
      <w:color w:val="3A5762"/>
      <w:sz w:val="22"/>
      <w:szCs w:val="22"/>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TOC1">
    <w:name w:val="toc 1"/>
    <w:basedOn w:val="Index"/>
    <w:uiPriority w:val="39"/>
    <w:pPr>
      <w:tabs>
        <w:tab w:val="right" w:leader="dot" w:pos="9638"/>
      </w:tabs>
    </w:pPr>
  </w:style>
  <w:style w:type="paragraph" w:styleId="TOC2">
    <w:name w:val="toc 2"/>
    <w:basedOn w:val="Index"/>
    <w:uiPriority w:val="39"/>
    <w:pPr>
      <w:tabs>
        <w:tab w:val="right" w:leader="dot" w:pos="9355"/>
      </w:tabs>
      <w:ind w:left="2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7f9a8e3-2fab-472f-a579-d70e15bb7478">
      <Terms xmlns="http://schemas.microsoft.com/office/infopath/2007/PartnerControls"/>
    </lcf76f155ced4ddcb4097134ff3c332f>
    <TaxCatchAll xmlns="62e87841-e213-4a7b-8fb4-3340d1b10ab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059360A17D4144DB95CE932C761CF62" ma:contentTypeVersion="12" ma:contentTypeDescription="Create a new document." ma:contentTypeScope="" ma:versionID="ff6674c199a7ce82a948edcb678cb17d">
  <xsd:schema xmlns:xsd="http://www.w3.org/2001/XMLSchema" xmlns:xs="http://www.w3.org/2001/XMLSchema" xmlns:p="http://schemas.microsoft.com/office/2006/metadata/properties" xmlns:ns2="d7f9a8e3-2fab-472f-a579-d70e15bb7478" xmlns:ns3="62e87841-e213-4a7b-8fb4-3340d1b10abe" targetNamespace="http://schemas.microsoft.com/office/2006/metadata/properties" ma:root="true" ma:fieldsID="1ee66bd2dfa5b9373cd66eaac806384e" ns2:_="" ns3:_="">
    <xsd:import namespace="d7f9a8e3-2fab-472f-a579-d70e15bb7478"/>
    <xsd:import namespace="62e87841-e213-4a7b-8fb4-3340d1b10abe"/>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f9a8e3-2fab-472f-a579-d70e15bb7478"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ad8008e-2d7c-467a-a7ba-60afd5521a0f"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2e87841-e213-4a7b-8fb4-3340d1b10abe"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ba123e87-975f-4184-ad84-61759c6dca19}" ma:internalName="TaxCatchAll" ma:showField="CatchAllData" ma:web="62e87841-e213-4a7b-8fb4-3340d1b10a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C88001-2661-4E3A-BB32-31251F4419DA}">
  <ds:schemaRefs>
    <ds:schemaRef ds:uri="http://schemas.microsoft.com/sharepoint/v3/contenttype/forms"/>
  </ds:schemaRefs>
</ds:datastoreItem>
</file>

<file path=customXml/itemProps2.xml><?xml version="1.0" encoding="utf-8"?>
<ds:datastoreItem xmlns:ds="http://schemas.openxmlformats.org/officeDocument/2006/customXml" ds:itemID="{3F804D95-B5F4-44F4-AD69-7E79979EB86B}">
  <ds:schemaRefs>
    <ds:schemaRef ds:uri="http://schemas.microsoft.com/office/2006/metadata/properties"/>
    <ds:schemaRef ds:uri="http://schemas.microsoft.com/office/infopath/2007/PartnerControls"/>
    <ds:schemaRef ds:uri="d7f9a8e3-2fab-472f-a579-d70e15bb7478"/>
    <ds:schemaRef ds:uri="62e87841-e213-4a7b-8fb4-3340d1b10abe"/>
  </ds:schemaRefs>
</ds:datastoreItem>
</file>

<file path=customXml/itemProps3.xml><?xml version="1.0" encoding="utf-8"?>
<ds:datastoreItem xmlns:ds="http://schemas.openxmlformats.org/officeDocument/2006/customXml" ds:itemID="{E28CA249-B304-4B4D-9791-7EE1181E6F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f9a8e3-2fab-472f-a579-d70e15bb7478"/>
    <ds:schemaRef ds:uri="62e87841-e213-4a7b-8fb4-3340d1b10a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2581</Words>
  <Characters>14715</Characters>
  <Application>Microsoft Office Word</Application>
  <DocSecurity>0</DocSecurity>
  <Lines>122</Lines>
  <Paragraphs>34</Paragraphs>
  <ScaleCrop>false</ScaleCrop>
  <Company/>
  <LinksUpToDate>false</LinksUpToDate>
  <CharactersWithSpaces>17262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 ERP Corporate Document Template</dc:title>
  <dc:subject/>
  <dc:creator>Linked ERP</dc:creator>
  <dc:description>Master Word template for Linked ERP</dc:description>
  <cp:lastModifiedBy>Muhammad Bintang</cp:lastModifiedBy>
  <cp:revision>5</cp:revision>
  <dcterms:created xsi:type="dcterms:W3CDTF">2026-05-11T08:28:00Z</dcterms:created>
  <dcterms:modified xsi:type="dcterms:W3CDTF">2026-09-19T06:00:00Z</dcterms:modified>
  <dc:language>en-US</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0x0101003059360A17D4144DB95CE932C761CF62</vt:lpwstr>
  </property>
  <property fmtid="{D5CDD505-2E9C-101B-9397-08002B2CF9AE}" pid="3" name="docLang">
    <vt:lpwstr>en</vt:lpwstr>
  </property>
  <property fmtid="{D5CDD505-2E9C-101B-9397-08002B2CF9AE}" pid="4" name="MediaServiceImageTags">
    <vt:lpwstr/>
  </property>
</Properties>
</file>