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br/>
        <w:t xml:space="preserve"/>
      </w:r>
    </w:p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Playfair Display" w:cs="Playfair Display" w:eastAsia="Playfair Display" w:hAnsi="Playfair Display"/>
          <w:b/>
          <w:bCs/>
          <w:color w:val="B89D52"/>
          <w:spacing w:val="200"/>
          <w:sz w:val="80"/>
          <w:szCs w:val="80"/>
        </w:rPr>
        <w:t xml:space="preserve">MASESORA</w:t>
      </w:r>
    </w:p>
    <w:p>
      <w:pPr>
        <w:spacing w:before="0" w:after="280"/>
        <w:jc w:val="center"/>
      </w:pPr>
      <w:r>
        <w:rPr>
          <w:rFonts w:ascii="Playfair Display" w:cs="Playfair Display" w:eastAsia="Playfair Display" w:hAnsi="Playfair Display"/>
          <w:color w:val="AAAAAA"/>
          <w:spacing w:val="300"/>
          <w:sz w:val="28"/>
          <w:szCs w:val="28"/>
        </w:rPr>
        <w:t xml:space="preserve">DINAMISMO EMPRESARIAL</w:t>
      </w:r>
    </w:p>
    <w:p>
      <w:pPr>
        <w:pBdr>
          <w:bottom w:val="single" w:color="B89D52" w:sz="4" w:space="1"/>
        </w:pBdr>
        <w:spacing w:before="0" w:after="280"/>
        <w:jc w:val="center"/>
      </w:pPr>
    </w:p>
    <w:p>
      <w:pPr>
        <w:spacing w:before="0" w:after="120"/>
        <w:jc w:val="center"/>
      </w:pPr>
      <w:r>
        <w:rPr>
          <w:rFonts w:ascii="Lato" w:cs="Lato" w:eastAsia="Lato" w:hAnsi="Lato"/>
          <w:b/>
          <w:bCs/>
          <w:color w:val="0F1A35"/>
          <w:spacing w:val="150"/>
          <w:sz w:val="36"/>
          <w:szCs w:val="36"/>
        </w:rPr>
        <w:t xml:space="preserve">MANUAL DE IDENTIDAD VISUAL</w:t>
      </w:r>
    </w:p>
    <w:p>
      <w:pPr>
        <w:spacing w:before="0" w:after="600"/>
        <w:jc w:val="center"/>
      </w:pPr>
      <w:r>
        <w:rPr>
          <w:rFonts w:ascii="Lato" w:cs="Lato" w:eastAsia="Lato" w:hAnsi="Lato"/>
          <w:i/>
          <w:iCs/>
          <w:color w:val="6B6560"/>
          <w:sz w:val="22"/>
          <w:szCs w:val="22"/>
        </w:rPr>
        <w:t xml:space="preserve">La Clínica de Empresas — Edición Digital 2025</w:t>
      </w:r>
    </w:p>
    <w:p>
      <w:pPr>
        <w:spacing w:before="0" w:after="0"/>
        <w:jc w:val="center"/>
      </w:pPr>
      <w:r>
        <w:rPr>
          <w:rFonts w:ascii="Lato" w:cs="Lato" w:eastAsia="Lato" w:hAnsi="Lato"/>
          <w:color w:val="6B6560"/>
          <w:sz w:val="18"/>
          <w:szCs w:val="18"/>
        </w:rPr>
        <w:t xml:space="preserve">Este manual establece las directrices y especificaciones técnicas para la aplicación
coherente de la marca MASESORA en todos sus soportes físicos y digitales.</w:t>
      </w:r>
    </w:p>
    <w:p>
      <w:r>
        <w:br w:type="page"/>
      </w:r>
    </w:p>
    <w:p>
      <w:pPr>
        <w:spacing w:before="320" w:after="0"/>
      </w:pPr>
      <w:r>
        <w:t xml:space="preserve"/>
      </w:r>
    </w:p>
    <w:p>
      <w:pPr>
        <w:spacing w:before="0" w:after="80"/>
      </w:pPr>
      <w:r>
        <w:rPr>
          <w:rFonts w:ascii="Playfair Display" w:cs="Playfair Display" w:eastAsia="Playfair Display" w:hAnsi="Playfair Display"/>
          <w:b/>
          <w:bCs/>
          <w:color w:val="B89D52"/>
          <w:sz w:val="52"/>
          <w:szCs w:val="52"/>
        </w:rPr>
        <w:t xml:space="preserve">1.</w:t>
      </w:r>
      <w:r>
        <w:rPr>
          <w:rFonts w:ascii="Playfair Display" w:cs="Playfair Display" w:eastAsia="Playfair Display" w:hAnsi="Playfair Display"/>
          <w:b/>
          <w:bCs/>
          <w:color w:val="0F1A35"/>
          <w:sz w:val="40"/>
          <w:szCs w:val="40"/>
        </w:rPr>
        <w:t xml:space="preserve">  LOGOTIPO Y ESLOGAN</w:t>
      </w:r>
    </w:p>
    <w:p>
      <w:pPr>
        <w:spacing w:before="0" w:after="160"/>
      </w:pPr>
      <w:r>
        <w:rPr>
          <w:rFonts w:ascii="Lato" w:cs="Lato" w:eastAsia="Lato" w:hAnsi="Lato"/>
          <w:i/>
          <w:iCs/>
          <w:color w:val="6B6560"/>
          <w:sz w:val="20"/>
          <w:szCs w:val="20"/>
        </w:rPr>
        <w:t xml:space="preserve">Construcción y área de reserva de la marca MASESORA</w:t>
      </w:r>
    </w:p>
    <w:p>
      <w:pPr>
        <w:pBdr>
          <w:bottom w:val="single" w:color="B89D52" w:sz="6" w:space="1"/>
        </w:pBdr>
        <w:spacing w:before="240" w:after="240"/>
      </w:pPr>
    </w:p>
    <w:p>
      <w:pPr>
        <w:spacing w:before="240" w:after="100"/>
      </w:pPr>
      <w:r>
        <w:rPr>
          <w:rFonts w:ascii="Lato" w:cs="Lato" w:eastAsia="Lato" w:hAnsi="Lato"/>
          <w:b/>
          <w:bCs/>
          <w:color w:val="B89D52"/>
          <w:sz w:val="22"/>
          <w:szCs w:val="22"/>
        </w:rPr>
        <w:t xml:space="preserve">A.  </w:t>
      </w:r>
      <w:r>
        <w:rPr>
          <w:rFonts w:ascii="Lato" w:cs="Lato" w:eastAsia="Lato" w:hAnsi="Lato"/>
          <w:b/>
          <w:bCs/>
          <w:color w:val="0F1A35"/>
          <w:sz w:val="22"/>
          <w:szCs w:val="22"/>
        </w:rPr>
        <w:t xml:space="preserve">Logo Primario</w:t>
      </w: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La identidad tipográfica de MASESORA se construye con dos elementos diferenciados que proyectan autoridad y prestigio: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single" w:color="B89D52" w:sz="12"/>
              <w:bottom w:val="none" w:color="FFFFFF" w:sz="0"/>
              <w:right w:val="none" w:color="FFFFFF" w:sz="0"/>
            </w:tcBorders>
            <w:shd w:fill="F5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B89D52"/>
                <w:sz w:val="64"/>
                <w:szCs w:val="64"/>
              </w:rPr>
              <w:t xml:space="preserve">M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F1A35"/>
                <w:spacing w:val="150"/>
                <w:sz w:val="48"/>
                <w:szCs w:val="48"/>
              </w:rPr>
              <w:t xml:space="preserve">MASESORA</w:t>
            </w:r>
          </w:p>
          <w:p>
            <w:r>
              <w:rPr>
                <w:rFonts w:ascii="Lato" w:cs="Lato" w:eastAsia="Lato" w:hAnsi="Lato"/>
                <w:i/>
                <w:iCs/>
                <w:color w:val="6B6560"/>
                <w:sz w:val="18"/>
                <w:szCs w:val="18"/>
              </w:rPr>
              <w:t xml:space="preserve">Azul Marino Principal (#0F1A35) — Bold / All Caps / Tracking +150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Playfair Display" w:cs="Playfair Display" w:eastAsia="Playfair Display" w:hAnsi="Playfair Display"/>
                <w:b w:val="false"/>
                <w:bCs w:val="false"/>
                <w:color w:val="B89D52"/>
                <w:spacing w:val="200"/>
                <w:sz w:val="24"/>
                <w:szCs w:val="24"/>
              </w:rPr>
              <w:t xml:space="preserve">DINAMISMO EMPRESARIAL</w:t>
            </w:r>
          </w:p>
          <w:p>
            <w:r>
              <w:rPr>
                <w:rFonts w:ascii="Lato" w:cs="Lato" w:eastAsia="Lato" w:hAnsi="Lato"/>
                <w:i/>
                <w:iCs/>
                <w:color w:val="6B6560"/>
                <w:sz w:val="18"/>
                <w:szCs w:val="18"/>
              </w:rPr>
              <w:t xml:space="preserve">Dorado de Acento (#B89D52) — Regular / All Caps / Tracking +200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00"/>
      </w:pPr>
      <w:r>
        <w:rPr>
          <w:rFonts w:ascii="Lato" w:cs="Lato" w:eastAsia="Lato" w:hAnsi="Lato"/>
          <w:b/>
          <w:bCs/>
          <w:color w:val="B89D52"/>
          <w:sz w:val="22"/>
          <w:szCs w:val="22"/>
        </w:rPr>
        <w:t xml:space="preserve">B.  </w:t>
      </w:r>
      <w:r>
        <w:rPr>
          <w:rFonts w:ascii="Lato" w:cs="Lato" w:eastAsia="Lato" w:hAnsi="Lato"/>
          <w:b/>
          <w:bCs/>
          <w:color w:val="0F1A35"/>
          <w:sz w:val="22"/>
          <w:szCs w:val="22"/>
        </w:rPr>
        <w:t xml:space="preserve">Área de Reserva</w:t>
      </w: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Mantener un espacio de protección vacío alrededor del logo equivalente a la altura de la letra 'M' en todas las aplicaciones. Este espacio garantiza visibilidad y no puede ser invadido por ningún otro elemento gráfico o tipográfico.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D52" w:sz="8"/>
              <w:left w:val="single" w:color="B89D52" w:sz="8"/>
              <w:bottom w:val="none" w:color="FFFFFF" w:sz="0"/>
              <w:right w:val="none" w:color="FFFFFF" w:sz="0"/>
            </w:tcBorders>
            <w:shd w:fill="F5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F1A35"/>
                <w:sz w:val="22"/>
                <w:szCs w:val="22"/>
              </w:rPr>
              <w:t xml:space="preserve">Reglas de uso del logotipo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Nunca distorsionar, estirar ni comprimir el logotipo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Nunca cambiar los colores corporativos por colores no aprobados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Nunca colocar el logo sobre fondos que reduzcan su legibilidad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Versión principal: texto oscuro sobre fondo claro / texto claro sobre fondo oscuro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Versión mínima digital: 120px de ancho. Versión impresión: 30mm de ancho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spacing w:before="0" w:after="80"/>
      </w:pPr>
      <w:r>
        <w:rPr>
          <w:rFonts w:ascii="Playfair Display" w:cs="Playfair Display" w:eastAsia="Playfair Display" w:hAnsi="Playfair Display"/>
          <w:b/>
          <w:bCs/>
          <w:color w:val="B89D52"/>
          <w:sz w:val="52"/>
          <w:szCs w:val="52"/>
        </w:rPr>
        <w:t xml:space="preserve">2.</w:t>
      </w:r>
      <w:r>
        <w:rPr>
          <w:rFonts w:ascii="Playfair Display" w:cs="Playfair Display" w:eastAsia="Playfair Display" w:hAnsi="Playfair Display"/>
          <w:b/>
          <w:bCs/>
          <w:color w:val="0F1A35"/>
          <w:sz w:val="40"/>
          <w:szCs w:val="40"/>
        </w:rPr>
        <w:t xml:space="preserve">  PALETA DE COLORES CORPORATIVOS</w:t>
      </w:r>
    </w:p>
    <w:p>
      <w:pPr>
        <w:spacing w:before="0" w:after="160"/>
      </w:pPr>
      <w:r>
        <w:rPr>
          <w:rFonts w:ascii="Lato" w:cs="Lato" w:eastAsia="Lato" w:hAnsi="Lato"/>
          <w:i/>
          <w:iCs/>
          <w:color w:val="6B6560"/>
          <w:sz w:val="20"/>
          <w:szCs w:val="20"/>
        </w:rPr>
        <w:t xml:space="preserve">Sistema cromático completo para digital e impresión</w:t>
      </w:r>
    </w:p>
    <w:p>
      <w:pPr>
        <w:pBdr>
          <w:bottom w:val="single" w:color="B89D52" w:sz="6" w:space="1"/>
        </w:pBdr>
        <w:spacing w:before="240" w:after="240"/>
      </w:pP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La paleta de MASESORA ha sido ampliada respecto a la versión original para dar soporte al sistema clínico digital. Los colores primarios se mantienen intactos; se incorporan colores funcionales para los niveles de criticidad empresarial.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rPr>
          <w:tblHeader/>
        </w:trPr>
        <w:tc>
          <w:tcPr>
            <w:tcW w:type="dxa" w:w="18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RGB</w:t>
            </w:r>
          </w:p>
        </w:tc>
        <w:tc>
          <w:tcPr>
            <w:tcW w:type="dxa" w:w="15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CMYK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Pantone</w:t>
            </w:r>
          </w:p>
        </w:tc>
      </w:tr>
      <w:tr>
        <w:tc>
          <w:tcPr>
            <w:tcW w:type="dxa" w:w="18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■ Azul Marino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Principal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#0F1A35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15 / 26 / 53</w:t>
            </w:r>
          </w:p>
        </w:tc>
        <w:tc>
          <w:tcPr>
            <w:tcW w:type="dxa" w:w="15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98 88 43 49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PMS 289 C</w:t>
            </w:r>
          </w:p>
        </w:tc>
      </w:tr>
      <w:tr>
        <w:tc>
          <w:tcPr>
            <w:tcW w:type="dxa" w:w="18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B89D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■ Dorado de Acento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Acento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#B89D52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184 / 157 / 82</w:t>
            </w:r>
          </w:p>
        </w:tc>
        <w:tc>
          <w:tcPr>
            <w:tcW w:type="dxa" w:w="15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22 25 75 11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PMS 872 C</w:t>
            </w:r>
          </w:p>
        </w:tc>
      </w:tr>
      <w:tr>
        <w:tc>
          <w:tcPr>
            <w:tcW w:type="dxa" w:w="18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D4B9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■ Dorado Claro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CTA / Hover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#D4B96A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212 / 185 / 106</w:t>
            </w:r>
          </w:p>
        </w:tc>
        <w:tc>
          <w:tcPr>
            <w:tcW w:type="dxa" w:w="15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18 22 65 5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PMS 871 C</w:t>
            </w:r>
          </w:p>
        </w:tc>
      </w:tr>
      <w:tr>
        <w:tc>
          <w:tcPr>
            <w:tcW w:type="dxa" w:w="18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■ Blanco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Fondo cuerpo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255 / 255 / 255</w:t>
            </w:r>
          </w:p>
        </w:tc>
        <w:tc>
          <w:tcPr>
            <w:tcW w:type="dxa" w:w="15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0 0 0 0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■ Off White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Fondo sección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#F9F7F2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249 / 247 / 242</w:t>
            </w:r>
          </w:p>
        </w:tc>
        <w:tc>
          <w:tcPr>
            <w:tcW w:type="dxa" w:w="15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2 2 5 0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D726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■ Rojo Crítico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Alertas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#D7263D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215 / 38 / 61</w:t>
            </w:r>
          </w:p>
        </w:tc>
        <w:tc>
          <w:tcPr>
            <w:tcW w:type="dxa" w:w="15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0 82 72 16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PMS 185 C</w:t>
            </w:r>
          </w:p>
        </w:tc>
      </w:tr>
      <w:tr>
        <w:tc>
          <w:tcPr>
            <w:tcW w:type="dxa" w:w="18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■ Ámbar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Prioritario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#E8A020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232 / 160 / 32</w:t>
            </w:r>
          </w:p>
        </w:tc>
        <w:tc>
          <w:tcPr>
            <w:tcW w:type="dxa" w:w="15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0 31 86 9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PMS 130 C</w:t>
            </w:r>
          </w:p>
        </w:tc>
      </w:tr>
      <w:tr>
        <w:tc>
          <w:tcPr>
            <w:tcW w:type="dxa" w:w="18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8"/>
                <w:szCs w:val="18"/>
              </w:rPr>
              <w:t xml:space="preserve">■ Azul Soft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Recomendado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#2D5FA8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45 / 95 / 168</w:t>
            </w:r>
          </w:p>
        </w:tc>
        <w:tc>
          <w:tcPr>
            <w:tcW w:type="dxa" w:w="15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73 43 0 34</w:t>
            </w:r>
          </w:p>
        </w:tc>
        <w:tc>
          <w:tcPr>
            <w:tcW w:type="dxa" w:w="1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PMS 654 C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D52" w:sz="8"/>
              <w:left w:val="single" w:color="B89D52" w:sz="8"/>
              <w:bottom w:val="none" w:color="FFFFFF" w:sz="0"/>
              <w:right w:val="none" w:color="FFFFFF" w:sz="0"/>
            </w:tcBorders>
            <w:shd w:fill="F5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F1A35"/>
                <w:sz w:val="22"/>
                <w:szCs w:val="22"/>
              </w:rPr>
              <w:t xml:space="preserve">Uso de los colores de criticidad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ROJO CRÍTICO (#D7263D): áreas que requieren intervención inmediata. Badges, alertas, franjas laterales.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ÁMBAR (#E8A020): áreas prioritarias. Atención en el corto plazo.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AZUL SOFT (#2D5FA8): áreas recomendadas. Oportunidades de mejora y estabilización.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DORADO CLARO (#D4B96A): usado en gradientes CTA junto al dorado principal para efecto premium.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OFF WHITE (#F9F7F2): fondo principal del cuerpo. Más cálido que el blanco puro. Reduce fatiga visual.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spacing w:before="0" w:after="80"/>
      </w:pPr>
      <w:r>
        <w:rPr>
          <w:rFonts w:ascii="Playfair Display" w:cs="Playfair Display" w:eastAsia="Playfair Display" w:hAnsi="Playfair Display"/>
          <w:b/>
          <w:bCs/>
          <w:color w:val="B89D52"/>
          <w:sz w:val="52"/>
          <w:szCs w:val="52"/>
        </w:rPr>
        <w:t xml:space="preserve">3.</w:t>
      </w:r>
      <w:r>
        <w:rPr>
          <w:rFonts w:ascii="Playfair Display" w:cs="Playfair Display" w:eastAsia="Playfair Display" w:hAnsi="Playfair Display"/>
          <w:b/>
          <w:bCs/>
          <w:color w:val="0F1A35"/>
          <w:sz w:val="40"/>
          <w:szCs w:val="40"/>
        </w:rPr>
        <w:t xml:space="preserve">  TIPOGRAFÍA CORPORATIVA</w:t>
      </w:r>
    </w:p>
    <w:p>
      <w:pPr>
        <w:spacing w:before="0" w:after="160"/>
      </w:pPr>
      <w:r>
        <w:rPr>
          <w:rFonts w:ascii="Lato" w:cs="Lato" w:eastAsia="Lato" w:hAnsi="Lato"/>
          <w:i/>
          <w:iCs/>
          <w:color w:val="6B6560"/>
          <w:sz w:val="20"/>
          <w:szCs w:val="20"/>
        </w:rPr>
        <w:t xml:space="preserve">Sistema tipográfico actualizado para web e impresión</w:t>
      </w:r>
    </w:p>
    <w:p>
      <w:pPr>
        <w:pBdr>
          <w:bottom w:val="single" w:color="B89D52" w:sz="6" w:space="1"/>
        </w:pBdr>
        <w:spacing w:before="240" w:after="240"/>
      </w:pP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El sistema tipográfico de MASESORA combina la elegancia neoclásica de las fuentes serif con la legibilidad moderna de las sans-serif. En la implementación digital se ha incorporado Cormorant Garamond como alternativa premium a Playfair Display, y DM Sans como reemplazo de Lato para mayor refinamiento.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Tipografía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Estilo</w:t>
            </w:r>
          </w:p>
        </w:tc>
        <w:tc>
          <w:tcPr>
            <w:tcW w:type="dxa" w:w="29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</w:tr>
      <w:tr>
        <w:tc>
          <w:tcPr>
            <w:tcW w:type="dxa" w:w="20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Titulares H1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Bold / Mayúsculas</w:t>
            </w:r>
          </w:p>
        </w:tc>
        <w:tc>
          <w:tcPr>
            <w:tcW w:type="dxa" w:w="29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Autoridad, presencia de marca, secciones clave. Sustitución premium de Playfair Display.</w:t>
            </w:r>
          </w:p>
        </w:tc>
      </w:tr>
      <w:tr>
        <w:tc>
          <w:tcPr>
            <w:tcW w:type="dxa" w:w="20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Titulares H2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Bold / Tracking +150</w:t>
            </w:r>
          </w:p>
        </w:tc>
        <w:tc>
          <w:tcPr>
            <w:tcW w:type="dxa" w:w="29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Subtítulos de sección, elegancia refinada.</w:t>
            </w:r>
          </w:p>
        </w:tc>
      </w:tr>
      <w:tr>
        <w:tc>
          <w:tcPr>
            <w:tcW w:type="dxa" w:w="20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Subtítulos / Eyebrow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DM Sans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SemiBold / Mayúsculas</w:t>
            </w:r>
          </w:p>
        </w:tc>
        <w:tc>
          <w:tcPr>
            <w:tcW w:type="dxa" w:w="29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Etiquetas, categorías, texto de apoyo sobre títulos. Espaciado +300.</w:t>
            </w:r>
          </w:p>
        </w:tc>
      </w:tr>
      <w:tr>
        <w:tc>
          <w:tcPr>
            <w:tcW w:type="dxa" w:w="20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Cuerpo Web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DM Sans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Regular / Minúsculas</w:t>
            </w:r>
          </w:p>
        </w:tc>
        <w:tc>
          <w:tcPr>
            <w:tcW w:type="dxa" w:w="29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Párrafos, descripciones, formularios. Máxima legibilidad digital.</w:t>
            </w:r>
          </w:p>
        </w:tc>
      </w:tr>
      <w:tr>
        <w:tc>
          <w:tcPr>
            <w:tcW w:type="dxa" w:w="20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Cuerpo Impresión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Lato / Open Sans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Regular / Minúsculas</w:t>
            </w:r>
          </w:p>
        </w:tc>
        <w:tc>
          <w:tcPr>
            <w:tcW w:type="dxa" w:w="29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Documentos impresos, PDFs, presentaciones.</w:t>
            </w:r>
          </w:p>
        </w:tc>
      </w:tr>
      <w:tr>
        <w:tc>
          <w:tcPr>
            <w:tcW w:type="dxa" w:w="20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Precio / Cifras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22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Bold / Grande</w:t>
            </w:r>
          </w:p>
        </w:tc>
        <w:tc>
          <w:tcPr>
            <w:tcW w:type="dxa" w:w="29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Importes, totales, números de impacto. Tamaño grande (3-4rem).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D52" w:sz="8"/>
              <w:left w:val="single" w:color="B89D52" w:sz="8"/>
              <w:bottom w:val="none" w:color="FFFFFF" w:sz="0"/>
              <w:right w:val="none" w:color="FFFFFF" w:sz="0"/>
            </w:tcBorders>
            <w:shd w:fill="F5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F1A35"/>
                <w:sz w:val="22"/>
                <w:szCs w:val="22"/>
              </w:rPr>
              <w:t xml:space="preserve">Jerarquía tipográfica digital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H1 principal: Cormorant Garamond Bold, clamp(2.2rem–3.4rem), color Blanco sobre navy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H2 secciones: Cormorant Garamond Bold, clamp(1.4rem–2rem), color Dorado (#B89D52)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Eyebrow / etiqueta: DM Sans SemiBold, 0.72rem, uppercase, letter-spacing 3px, color Dorado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Cuerpo párrafo: DM Sans Regular, 0.95–1rem, color #6B6560 o rgba(255,255,255,0.7) sobre navy</w:t>
            </w:r>
          </w:p>
          <w:p>
            <w:pPr>
              <w:spacing w:before="40" w:after="40"/>
            </w:pPr>
            <w:r>
              <w:rPr>
                <w:rFonts w:ascii="Lato" w:cs="Lato" w:eastAsia="Lato" w:hAnsi="Lato"/>
                <w:color w:val="6B6560"/>
                <w:sz w:val="19"/>
                <w:szCs w:val="19"/>
              </w:rPr>
              <w:t xml:space="preserve">Precios / cifras: Cormorant Garamond Bold, 2–3.8rem, color Dorado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spacing w:before="0" w:after="80"/>
      </w:pPr>
      <w:r>
        <w:rPr>
          <w:rFonts w:ascii="Playfair Display" w:cs="Playfair Display" w:eastAsia="Playfair Display" w:hAnsi="Playfair Display"/>
          <w:b/>
          <w:bCs/>
          <w:color w:val="B89D52"/>
          <w:sz w:val="52"/>
          <w:szCs w:val="52"/>
        </w:rPr>
        <w:t xml:space="preserve">4.</w:t>
      </w:r>
      <w:r>
        <w:rPr>
          <w:rFonts w:ascii="Playfair Display" w:cs="Playfair Display" w:eastAsia="Playfair Display" w:hAnsi="Playfair Display"/>
          <w:b/>
          <w:bCs/>
          <w:color w:val="0F1A35"/>
          <w:sz w:val="40"/>
          <w:szCs w:val="40"/>
        </w:rPr>
        <w:t xml:space="preserve">  SISTEMA GRÁFICO Y PATRÓN CORPORATIVO</w:t>
      </w:r>
    </w:p>
    <w:p>
      <w:pPr>
        <w:spacing w:before="0" w:after="160"/>
      </w:pPr>
      <w:r>
        <w:rPr>
          <w:rFonts w:ascii="Lato" w:cs="Lato" w:eastAsia="Lato" w:hAnsi="Lato"/>
          <w:i/>
          <w:iCs/>
          <w:color w:val="6B6560"/>
          <w:sz w:val="20"/>
          <w:szCs w:val="20"/>
        </w:rPr>
        <w:t xml:space="preserve">Elementos visuales de apoyo y lenguaje gráfico</w:t>
      </w:r>
    </w:p>
    <w:p>
      <w:pPr>
        <w:pBdr>
          <w:bottom w:val="single" w:color="B89D52" w:sz="6" w:space="1"/>
        </w:pBdr>
        <w:spacing w:before="240" w:after="240"/>
      </w:pPr>
    </w:p>
    <w:p>
      <w:pPr>
        <w:spacing w:before="240" w:after="100"/>
      </w:pPr>
      <w:r>
        <w:rPr>
          <w:rFonts w:ascii="Lato" w:cs="Lato" w:eastAsia="Lato" w:hAnsi="Lato"/>
          <w:b/>
          <w:bCs/>
          <w:color w:val="B89D52"/>
          <w:sz w:val="22"/>
          <w:szCs w:val="22"/>
        </w:rPr>
        <w:t xml:space="preserve">A.  </w:t>
      </w:r>
      <w:r>
        <w:rPr>
          <w:rFonts w:ascii="Lato" w:cs="Lato" w:eastAsia="Lato" w:hAnsi="Lato"/>
          <w:b/>
          <w:bCs/>
          <w:color w:val="0F1A35"/>
          <w:sz w:val="22"/>
          <w:szCs w:val="22"/>
        </w:rPr>
        <w:t xml:space="preserve">Patrón: Interconexión Geométrica</w:t>
      </w: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Concepto: Líneas finas y formas geométricas que se entrelazan o superponen ligeramente, simbolizando la red de soluciones, estructura y dinamismo empresarial de MASESORA.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Opacidad: 5%–15%. No debe competir con el contenido principal.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Color: tonalidades muy claras del Azul Marino Principal o Blanco (sobre fondos oscuros).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Aplicación: fondos Hero, reversos de papelería, secciones de presentación.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Lato" w:cs="Lato" w:eastAsia="Lato" w:hAnsi="Lato"/>
          <w:b/>
          <w:bCs/>
          <w:color w:val="B89D52"/>
          <w:sz w:val="22"/>
          <w:szCs w:val="22"/>
        </w:rPr>
        <w:t xml:space="preserve">B.  </w:t>
      </w:r>
      <w:r>
        <w:rPr>
          <w:rFonts w:ascii="Lato" w:cs="Lato" w:eastAsia="Lato" w:hAnsi="Lato"/>
          <w:b/>
          <w:bCs/>
          <w:color w:val="0F1A35"/>
          <w:sz w:val="22"/>
          <w:szCs w:val="22"/>
        </w:rPr>
        <w:t xml:space="preserve">Elementos Gráficos del Sistema Digital</w:t>
      </w: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En la implementación web se han definido los siguientes elementos gráficos estructurales: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Bordes redondeados: 20px (radius) para tarjetas y secciones. 12px para elementos secundarios. 999px (pill) para botones y badges.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Sombras doradas: box-shadow 0 8px 32px rgba(184,157,82,0.18) para tarjetas sobre fondo claro.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Sombras navy: box-shadow 0 8px 32px rgba(15,26,53,0.13) para bloques blancos.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Línea divisora: 1px solid #F0EDE6 entre elementos. Línea dorada de 3–4px para separadores de cabecera.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Gradiente de cabecera hero: fondo radial dorado sutil top-right como elemento decorativo.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Franjas de criticidad: borde superior 4px de color (rojo/ámbar/navy) en tarjetas de especialidad.</w:t>
      </w:r>
    </w:p>
    <w:p>
      <w:pPr>
        <w:spacing w:before="60" w:after="0"/>
      </w:pPr>
      <w:r>
        <w:t xml:space="preserve"/>
      </w:r>
    </w:p>
    <w:p>
      <w:pPr>
        <w:spacing w:before="240" w:after="100"/>
      </w:pPr>
      <w:r>
        <w:rPr>
          <w:rFonts w:ascii="Lato" w:cs="Lato" w:eastAsia="Lato" w:hAnsi="Lato"/>
          <w:b/>
          <w:bCs/>
          <w:color w:val="B89D52"/>
          <w:sz w:val="22"/>
          <w:szCs w:val="22"/>
        </w:rPr>
        <w:t xml:space="preserve">C.  </w:t>
      </w:r>
      <w:r>
        <w:rPr>
          <w:rFonts w:ascii="Lato" w:cs="Lato" w:eastAsia="Lato" w:hAnsi="Lato"/>
          <w:b/>
          <w:bCs/>
          <w:color w:val="0F1A35"/>
          <w:sz w:val="22"/>
          <w:szCs w:val="22"/>
        </w:rPr>
        <w:t xml:space="preserve">Iconografía Clínica</w:t>
      </w: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El sistema clínico MAS@FRAME® utiliza una iconografía coherente con el lenguaje médico adaptado al mundo empresarial: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🔴 Crítico — Intervención inmediata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🟠 Prioritario — Atención a corto plazo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🔵 Recomendado — Mejora y estabilización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✦ Símbolo de acento clínico — Usado en notas de descuento, lógica clínica y CTAs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◎ Loader animado — Indicador de carga del diagnóstico</w:t>
      </w:r>
    </w:p>
    <w:p>
      <w:pPr>
        <w:spacing w:before="320" w:after="0"/>
      </w:pPr>
      <w:r>
        <w:t xml:space="preserve"/>
      </w:r>
    </w:p>
    <w:p>
      <w:pPr>
        <w:spacing w:before="0" w:after="80"/>
      </w:pPr>
      <w:r>
        <w:rPr>
          <w:rFonts w:ascii="Playfair Display" w:cs="Playfair Display" w:eastAsia="Playfair Display" w:hAnsi="Playfair Display"/>
          <w:b/>
          <w:bCs/>
          <w:color w:val="B89D52"/>
          <w:sz w:val="52"/>
          <w:szCs w:val="52"/>
        </w:rPr>
        <w:t xml:space="preserve">5.</w:t>
      </w:r>
      <w:r>
        <w:rPr>
          <w:rFonts w:ascii="Playfair Display" w:cs="Playfair Display" w:eastAsia="Playfair Display" w:hAnsi="Playfair Display"/>
          <w:b/>
          <w:bCs/>
          <w:color w:val="0F1A35"/>
          <w:sz w:val="40"/>
          <w:szCs w:val="40"/>
        </w:rPr>
        <w:t xml:space="preserve">  APLICACIÓN DIGITAL — INTERFAZ WEB</w:t>
      </w:r>
    </w:p>
    <w:p>
      <w:pPr>
        <w:spacing w:before="0" w:after="160"/>
      </w:pPr>
      <w:r>
        <w:rPr>
          <w:rFonts w:ascii="Lato" w:cs="Lato" w:eastAsia="Lato" w:hAnsi="Lato"/>
          <w:i/>
          <w:iCs/>
          <w:color w:val="6B6560"/>
          <w:sz w:val="20"/>
          <w:szCs w:val="20"/>
        </w:rPr>
        <w:t xml:space="preserve">Especificaciones de branding para www.masesora.com</w:t>
      </w:r>
    </w:p>
    <w:p>
      <w:pPr>
        <w:pBdr>
          <w:bottom w:val="single" w:color="B89D52" w:sz="6" w:space="1"/>
        </w:pBdr>
        <w:spacing w:before="240" w:after="240"/>
      </w:pP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La interfaz digital de MASESORA es una página de recepción post-escáner que cumple una función comercial primaria: convertir al usuario que ha completado el Escáner de Salud Empresarial en cliente del Plan PIE. El diseño equilibra el impacto emocional con la claridad narrativa.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Especificación de Branding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Fondo principal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Off White (#F9F7F2) para el cuerpo central. Evita el blanco puro para reducir fatiga visual.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Hero / Cabecera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Fondo Azul Marino (#0F1A35) con texto y logo en blanco/dorado. Bordes redondeados en la parte inferior (border-radius 0 0 48px 48px).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Botones primarios (CTA)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Gradiente dorado (#D4B96A → #B89D52) con texto Azul Marino. Border-radius 999px (pill). Sombra dorada. Hover: elevación -3px.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Botones secundarios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Transparente con borde dorado 1.5px. Texto Azul Marino. Hover: fondo dorado.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Titulares de sección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Cormorant Garamond Bold, color Dorado (#B89D52), uppercase, letter-spacing +1px.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Secciones navy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Fondo #0F1A35. Títulos en dorado. Texto cuerpo en rgba(255,255,255,0.7). Usadas para: Hero, Método, Especialidades.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Secciones blancas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Fondo #FFFFFF. Box-shadow navy sutil. Border-radius 20px. Usadas para: Diagnóstico, Narrativa, Resultados, Plan.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Badges de criticidad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CRÍTICO: fondo #ffe0e4, texto #D7263D. PRIORITARIO: fondo #ffeec7, texto #b07800. RECOMENDADO: fondo #dce8f7, texto #2D5FA8.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Indicador lógica clínica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Borde izquierdo 3px dorado. Fondo rgba(184,157,82,0.06). Etiqueta 'Por qué importa' en dorado uppercase.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Sticky CTA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Botón flotante fijo bottom-right. Aparece al hacer scroll más allá del Plan. Muestra total seleccionado en pill navy/dorado.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Modal de contrato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Overlay oscuro con blur. Modal blanco max-width 860px. Cabecera navy con borde dorado 3px. Sidebar resumen + formulario.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0"/>
      </w:pPr>
      <w:r>
        <w:t xml:space="preserve"/>
      </w:r>
    </w:p>
    <w:p>
      <w:pPr>
        <w:spacing w:before="0" w:after="80"/>
      </w:pPr>
      <w:r>
        <w:rPr>
          <w:rFonts w:ascii="Playfair Display" w:cs="Playfair Display" w:eastAsia="Playfair Display" w:hAnsi="Playfair Display"/>
          <w:b/>
          <w:bCs/>
          <w:color w:val="B89D52"/>
          <w:sz w:val="52"/>
          <w:szCs w:val="52"/>
        </w:rPr>
        <w:t xml:space="preserve">6.</w:t>
      </w:r>
      <w:r>
        <w:rPr>
          <w:rFonts w:ascii="Playfair Display" w:cs="Playfair Display" w:eastAsia="Playfair Display" w:hAnsi="Playfair Display"/>
          <w:b/>
          <w:bCs/>
          <w:color w:val="0F1A35"/>
          <w:sz w:val="40"/>
          <w:szCs w:val="40"/>
        </w:rPr>
        <w:t xml:space="preserve">  ARQUITECTURA DE LA EXPERIENCIA DE USUARIO</w:t>
      </w:r>
    </w:p>
    <w:p>
      <w:pPr>
        <w:spacing w:before="0" w:after="160"/>
      </w:pPr>
      <w:r>
        <w:rPr>
          <w:rFonts w:ascii="Lato" w:cs="Lato" w:eastAsia="Lato" w:hAnsi="Lato"/>
          <w:i/>
          <w:iCs/>
          <w:color w:val="6B6560"/>
          <w:sz w:val="20"/>
          <w:szCs w:val="20"/>
        </w:rPr>
        <w:t xml:space="preserve">Flujo de venta y estructura narrativa de la página</w:t>
      </w:r>
    </w:p>
    <w:p>
      <w:pPr>
        <w:pBdr>
          <w:bottom w:val="single" w:color="B89D52" w:sz="6" w:space="1"/>
        </w:pBdr>
        <w:spacing w:before="240" w:after="240"/>
      </w:pP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La página sigue un flujo de venta clínico de 7 secciones diseñadas para resolver las objeciones del usuario en orden: curiosidad → comprensión → confianza → decisión → acción.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17"/>
                <w:szCs w:val="17"/>
              </w:rPr>
              <w:t xml:space="preserve">Propósito de Venta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Hero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Impacto inmediato. 'Tu empresa acaba de entrar en la clínica.' Dos CTA: ir al plan o entender el concepto.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Números grandes (críticas / prioritarias / recomendadas) que generan urgencia emocional sin alarmar.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Qué es MASESORA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Tabla comparativa consultoría tradicional vs MASESORA. El cliente entiende la diferencia en 10 segundos.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Método MAS@FRAME®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4 fases: Escáner → Diagnóstico → Intervención → Alta clínica. El cliente sabe qué pasa después de contratar.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Qué obtienes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4 entregables concretos: Plan de acción, especialista, seguimiento mensual, confidencialidad.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Especialidades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Grid 5x2 sobre fondo navy. Tarjetas con franja de color (criticidad), lema clínico, hover con explicación.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Cuadro Clínico (Plan)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Cada especialidad con síntomas, descripción y lógica clínica 'Por qué importa'. Selección + precio. Total dinámico.</w:t>
            </w:r>
          </w:p>
        </w:tc>
      </w:tr>
      <w:tr>
        <w:tc>
          <w:tcPr>
            <w:tcW w:type="dxa" w:w="250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Modal de contrato</w:t>
            </w:r>
          </w:p>
        </w:tc>
        <w:tc>
          <w:tcPr>
            <w:tcW w:type="dxa" w:w="686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0F1A35"/>
                <w:sz w:val="18"/>
                <w:szCs w:val="18"/>
              </w:rPr>
              <w:t xml:space="preserve">Paso 1: datos del contrato (razón social, CIF, representante, email, dirección). Paso 2: lanzadera de pago.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0"/>
      </w:pPr>
      <w:r>
        <w:t xml:space="preserve"/>
      </w:r>
    </w:p>
    <w:p>
      <w:pPr>
        <w:spacing w:before="0" w:after="80"/>
      </w:pPr>
      <w:r>
        <w:rPr>
          <w:rFonts w:ascii="Playfair Display" w:cs="Playfair Display" w:eastAsia="Playfair Display" w:hAnsi="Playfair Display"/>
          <w:b/>
          <w:bCs/>
          <w:color w:val="B89D52"/>
          <w:sz w:val="52"/>
          <w:szCs w:val="52"/>
        </w:rPr>
        <w:t xml:space="preserve">7.</w:t>
      </w:r>
      <w:r>
        <w:rPr>
          <w:rFonts w:ascii="Playfair Display" w:cs="Playfair Display" w:eastAsia="Playfair Display" w:hAnsi="Playfair Display"/>
          <w:b/>
          <w:bCs/>
          <w:color w:val="0F1A35"/>
          <w:sz w:val="40"/>
          <w:szCs w:val="40"/>
        </w:rPr>
        <w:t xml:space="preserve">  IDENTIDAD DEL MÉTODO MAS@FRAME®</w:t>
      </w:r>
    </w:p>
    <w:p>
      <w:pPr>
        <w:spacing w:before="0" w:after="160"/>
      </w:pPr>
      <w:r>
        <w:rPr>
          <w:rFonts w:ascii="Lato" w:cs="Lato" w:eastAsia="Lato" w:hAnsi="Lato"/>
          <w:i/>
          <w:iCs/>
          <w:color w:val="6B6560"/>
          <w:sz w:val="20"/>
          <w:szCs w:val="20"/>
        </w:rPr>
        <w:t xml:space="preserve">Marca del proceso clínico propietario</w:t>
      </w:r>
    </w:p>
    <w:p>
      <w:pPr>
        <w:pBdr>
          <w:bottom w:val="single" w:color="B89D52" w:sz="6" w:space="1"/>
        </w:pBdr>
        <w:spacing w:before="240" w:after="240"/>
      </w:pP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MAS@FRAME® es el protocolo clínico propietario de MASESORA. Su identidad visual dentro del sistema debe seguir estas directrices: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Siempre en mayúsculas: MAS@FRAME®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El símbolo @ forma parte del nombre y no puede eliminarse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El símbolo ® debe acompañar siempre al nombre en su primera aparición en cada sección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Color: Dorado (#B89D52) cuando aparece sobre fondo navy. Navy (#0F1A35) sobre fondo claro.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Lato" w:cs="Lato" w:eastAsia="Lato" w:hAnsi="Lato"/>
          <w:color w:val="6B6560"/>
          <w:sz w:val="20"/>
          <w:szCs w:val="20"/>
        </w:rPr>
        <w:t xml:space="preserve">Tipografía de acompañamiento: DM Sans SemiBold para el entorno del nombre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Lato" w:cs="Lato" w:eastAsia="Lato" w:hAnsi="Lato"/>
          <w:b/>
          <w:bCs/>
          <w:color w:val="B89D52"/>
          <w:sz w:val="22"/>
          <w:szCs w:val="22"/>
        </w:rPr>
        <w:t xml:space="preserve">A.  </w:t>
      </w:r>
      <w:r>
        <w:rPr>
          <w:rFonts w:ascii="Lato" w:cs="Lato" w:eastAsia="Lato" w:hAnsi="Lato"/>
          <w:b/>
          <w:bCs/>
          <w:color w:val="0F1A35"/>
          <w:sz w:val="22"/>
          <w:szCs w:val="22"/>
        </w:rPr>
        <w:t xml:space="preserve">Las 4 Fases del Método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B89D52"/>
                <w:sz w:val="36"/>
                <w:szCs w:val="36"/>
              </w:rPr>
              <w:t xml:space="preserve">01</w:t>
            </w:r>
          </w:p>
        </w:tc>
        <w:tc>
          <w:tcPr>
            <w:tcW w:type="dxa" w:w="1440"/>
            <w:tcBorders>
              <w:top w:val="none" w:color="FFFFFF" w:sz="0"/>
              <w:left w:val="single" w:color="B89D52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ESCÁNER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Lato" w:cs="Lato" w:eastAsia="Lato" w:hAnsi="Lato"/>
                <w:color w:val="6B6560"/>
                <w:sz w:val="18"/>
                <w:szCs w:val="18"/>
              </w:rPr>
              <w:t xml:space="preserve">Fotografía completa del estado actual de la empresa en todas sus áreas clave. Implementado como cuestionario digital que genera el diagnóstico automático.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B89D52"/>
                <w:sz w:val="36"/>
                <w:szCs w:val="36"/>
              </w:rPr>
              <w:t xml:space="preserve">02</w:t>
            </w:r>
          </w:p>
        </w:tc>
        <w:tc>
          <w:tcPr>
            <w:tcW w:type="dxa" w:w="1440"/>
            <w:tcBorders>
              <w:top w:val="none" w:color="FFFFFF" w:sz="0"/>
              <w:left w:val="single" w:color="B89D52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Lato" w:cs="Lato" w:eastAsia="Lato" w:hAnsi="Lato"/>
                <w:color w:val="6B6560"/>
                <w:sz w:val="18"/>
                <w:szCs w:val="18"/>
              </w:rPr>
              <w:t xml:space="preserve">Clasificación de cada área por nivel de criticidad (Crítico / Prioritario / Recomendado). Elaboración del cuadro clínico personalizado.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B89D52"/>
                <w:sz w:val="36"/>
                <w:szCs w:val="36"/>
              </w:rPr>
              <w:t xml:space="preserve">03</w:t>
            </w:r>
          </w:p>
        </w:tc>
        <w:tc>
          <w:tcPr>
            <w:tcW w:type="dxa" w:w="1440"/>
            <w:tcBorders>
              <w:top w:val="none" w:color="FFFFFF" w:sz="0"/>
              <w:left w:val="single" w:color="B89D52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INTERVENCIÓN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Lato" w:cs="Lato" w:eastAsia="Lato" w:hAnsi="Lato"/>
                <w:color w:val="6B6560"/>
                <w:sz w:val="18"/>
                <w:szCs w:val="18"/>
              </w:rPr>
              <w:t xml:space="preserve">El especialista clínico actúa sobre las áreas seleccionadas con un plan de acción concreto, herramientas reales y plazos definidos.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B89D52"/>
                <w:sz w:val="36"/>
                <w:szCs w:val="36"/>
              </w:rPr>
              <w:t xml:space="preserve">04</w:t>
            </w:r>
          </w:p>
        </w:tc>
        <w:tc>
          <w:tcPr>
            <w:tcW w:type="dxa" w:w="1440"/>
            <w:tcBorders>
              <w:top w:val="none" w:color="FFFFFF" w:sz="0"/>
              <w:left w:val="single" w:color="B89D52" w:sz="8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Lato" w:cs="Lato" w:eastAsia="Lato" w:hAnsi="Lato"/>
                <w:b/>
                <w:bCs/>
                <w:color w:val="0F1A35"/>
                <w:sz w:val="18"/>
                <w:szCs w:val="18"/>
              </w:rPr>
              <w:t xml:space="preserve">ALTA CLÍNICA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Lato" w:cs="Lato" w:eastAsia="Lato" w:hAnsi="Lato"/>
                <w:color w:val="6B6560"/>
                <w:sz w:val="18"/>
                <w:szCs w:val="18"/>
              </w:rPr>
              <w:t xml:space="preserve">Certificación de recuperación cuando el área tratada alcanza los indicadores de salud definidos. La empresa sale fortalecida y con sistemas.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spacing w:before="0" w:after="80"/>
      </w:pPr>
      <w:r>
        <w:rPr>
          <w:rFonts w:ascii="Playfair Display" w:cs="Playfair Display" w:eastAsia="Playfair Display" w:hAnsi="Playfair Display"/>
          <w:b/>
          <w:bCs/>
          <w:color w:val="B89D52"/>
          <w:sz w:val="52"/>
          <w:szCs w:val="52"/>
        </w:rPr>
        <w:t xml:space="preserve">8.</w:t>
      </w:r>
      <w:r>
        <w:rPr>
          <w:rFonts w:ascii="Playfair Display" w:cs="Playfair Display" w:eastAsia="Playfair Display" w:hAnsi="Playfair Display"/>
          <w:b/>
          <w:bCs/>
          <w:color w:val="0F1A35"/>
          <w:sz w:val="40"/>
          <w:szCs w:val="40"/>
        </w:rPr>
        <w:t xml:space="preserve">  TONO Y VOZ DE MARCA</w:t>
      </w:r>
    </w:p>
    <w:p>
      <w:pPr>
        <w:spacing w:before="0" w:after="160"/>
      </w:pPr>
      <w:r>
        <w:rPr>
          <w:rFonts w:ascii="Lato" w:cs="Lato" w:eastAsia="Lato" w:hAnsi="Lato"/>
          <w:i/>
          <w:iCs/>
          <w:color w:val="6B6560"/>
          <w:sz w:val="20"/>
          <w:szCs w:val="20"/>
        </w:rPr>
        <w:t xml:space="preserve">Lenguaje y comunicación corporativa</w:t>
      </w:r>
    </w:p>
    <w:p>
      <w:pPr>
        <w:pBdr>
          <w:bottom w:val="single" w:color="B89D52" w:sz="6" w:space="1"/>
        </w:pBdr>
        <w:spacing w:before="240" w:after="240"/>
      </w:pPr>
    </w:p>
    <w:p>
      <w:pPr>
        <w:spacing w:before="60" w:after="1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560"/>
          <w:sz w:val="20"/>
          <w:szCs w:val="20"/>
        </w:rPr>
        <w:t xml:space="preserve">MASESORA habla como un médico de confianza: con autoridad, claridad y empatía. El tono combina el rigor clínico con la cercanía humana.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0F1A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B89D52"/>
                <w:sz w:val="17"/>
                <w:szCs w:val="17"/>
              </w:rPr>
              <w:t xml:space="preserve">MASESORA SÍ DICE</w:t>
            </w:r>
          </w:p>
        </w:tc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0E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0F1A35"/>
                <w:sz w:val="17"/>
                <w:szCs w:val="17"/>
              </w:rPr>
              <w:t xml:space="preserve">MASESORA NO DICE</w:t>
            </w:r>
          </w:p>
        </w:tc>
      </w:tr>
      <w:tr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color w:val="1a5c1a"/>
                <w:sz w:val="18"/>
                <w:szCs w:val="18"/>
              </w:rPr>
              <w:t xml:space="preserve">✓  Tu empresa acaba de entrar en la clínica.</w:t>
            </w:r>
          </w:p>
        </w:tc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color w:val="D7263D"/>
                <w:sz w:val="18"/>
                <w:szCs w:val="18"/>
              </w:rPr>
              <w:t xml:space="preserve">✗  Te ofrecemos nuestros servicios de consultoría.</w:t>
            </w:r>
          </w:p>
        </w:tc>
      </w:tr>
      <w:tr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color w:val="1a5c1a"/>
                <w:sz w:val="18"/>
                <w:szCs w:val="18"/>
              </w:rPr>
              <w:t xml:space="preserve">✓  Hemos elaborado un cuadro clínico preciso.</w:t>
            </w:r>
          </w:p>
        </w:tc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color w:val="D7263D"/>
                <w:sz w:val="18"/>
                <w:szCs w:val="18"/>
              </w:rPr>
              <w:t xml:space="preserve">✗  Hemos analizado tus respuestas.</w:t>
            </w:r>
          </w:p>
        </w:tc>
      </w:tr>
      <w:tr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color w:val="1a5c1a"/>
                <w:sz w:val="18"/>
                <w:szCs w:val="18"/>
              </w:rPr>
              <w:t xml:space="preserve">✓  Área crítica. Requiere intervención inmediata.</w:t>
            </w:r>
          </w:p>
        </w:tc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color w:val="D7263D"/>
                <w:sz w:val="18"/>
                <w:szCs w:val="18"/>
              </w:rPr>
              <w:t xml:space="preserve">✗  Tienes algunos problemas que solucionar.</w:t>
            </w:r>
          </w:p>
        </w:tc>
      </w:tr>
      <w:tr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color w:val="1a5c1a"/>
                <w:sz w:val="18"/>
                <w:szCs w:val="18"/>
              </w:rPr>
              <w:t xml:space="preserve">✓  A partir de este punto, estáis acompañados.</w:t>
            </w:r>
          </w:p>
        </w:tc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color w:val="D7263D"/>
                <w:sz w:val="18"/>
                <w:szCs w:val="18"/>
              </w:rPr>
              <w:t xml:space="preserve">✗  Podemos ayudarte si nos contratas.</w:t>
            </w:r>
          </w:p>
        </w:tc>
      </w:tr>
      <w:tr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color w:val="1a5c1a"/>
                <w:sz w:val="18"/>
                <w:szCs w:val="18"/>
              </w:rPr>
              <w:t xml:space="preserve">✓  Precio fijo. Sin sorpresas. Sin horas extras.</w:t>
            </w:r>
          </w:p>
        </w:tc>
        <w:tc>
          <w:tcPr>
            <w:tcW w:type="dxa" w:w="4680"/>
            <w:tcBorders>
              <w:top w:val="single" w:color="E0DDD6" w:sz="4"/>
              <w:left w:val="single" w:color="E0DDD6" w:sz="4"/>
              <w:bottom w:val="single" w:color="E0DDD6" w:sz="4"/>
              <w:right w:val="single" w:color="E0DDD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Lato" w:cs="Lato" w:eastAsia="Lato" w:hAnsi="Lato"/>
                <w:color w:val="D7263D"/>
                <w:sz w:val="18"/>
                <w:szCs w:val="18"/>
              </w:rPr>
              <w:t xml:space="preserve">✗  Consulta nuestras tarifas con nosotros.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320" w:after="0"/>
      </w:pPr>
      <w:r>
        <w:t xml:space="preserve"/>
      </w:r>
    </w:p>
    <w:p>
      <w:pPr>
        <w:spacing w:before="0" w:after="80"/>
      </w:pPr>
      <w:r>
        <w:rPr>
          <w:rFonts w:ascii="Playfair Display" w:cs="Playfair Display" w:eastAsia="Playfair Display" w:hAnsi="Playfair Display"/>
          <w:b/>
          <w:bCs/>
          <w:color w:val="B89D52"/>
          <w:sz w:val="52"/>
          <w:szCs w:val="52"/>
        </w:rPr>
        <w:t xml:space="preserve">9.</w:t>
      </w:r>
      <w:r>
        <w:rPr>
          <w:rFonts w:ascii="Playfair Display" w:cs="Playfair Display" w:eastAsia="Playfair Display" w:hAnsi="Playfair Display"/>
          <w:b/>
          <w:bCs/>
          <w:color w:val="0F1A35"/>
          <w:sz w:val="40"/>
          <w:szCs w:val="40"/>
        </w:rPr>
        <w:t xml:space="preserve">  DATOS DE CONTACTO CORPORATIVOS</w:t>
      </w:r>
    </w:p>
    <w:p>
      <w:pPr>
        <w:spacing w:before="0" w:after="160"/>
      </w:pPr>
      <w:r>
        <w:rPr>
          <w:rFonts w:ascii="Lato" w:cs="Lato" w:eastAsia="Lato" w:hAnsi="Lato"/>
          <w:i/>
          <w:iCs/>
          <w:color w:val="6B6560"/>
          <w:sz w:val="20"/>
          <w:szCs w:val="20"/>
        </w:rPr>
        <w:t xml:space="preserve">Información oficial de la marca</w:t>
      </w:r>
    </w:p>
    <w:p>
      <w:pPr>
        <w:pBdr>
          <w:bottom w:val="single" w:color="B89D52" w:sz="6" w:space="1"/>
        </w:pBdr>
        <w:spacing w:before="24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D52" w:sz="8"/>
              <w:left w:val="single" w:color="B89D52" w:sz="8"/>
              <w:bottom w:val="none" w:color="FFFFFF" w:sz="0"/>
              <w:right w:val="none" w:color="FFFFFF" w:sz="0"/>
            </w:tcBorders>
            <w:shd w:fill="F5EDD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0F1A35"/>
                <w:spacing w:val="100"/>
                <w:sz w:val="28"/>
                <w:szCs w:val="28"/>
              </w:rPr>
              <w:t xml:space="preserve">MASESORA — DINAMISMO EMPRESARIAL</w:t>
            </w:r>
          </w:p>
          <w:p>
            <w:pPr>
              <w:spacing w:before="0" w:after="160"/>
              <w:jc w:val="center"/>
            </w:pPr>
            <w:r>
              <w:rPr>
                <w:rFonts w:ascii="Lato" w:cs="Lato" w:eastAsia="Lato" w:hAnsi="Lato"/>
                <w:i/>
                <w:iCs/>
                <w:color w:val="B89D52"/>
                <w:sz w:val="22"/>
                <w:szCs w:val="22"/>
              </w:rPr>
              <w:t xml:space="preserve">La Clínica de Empresas</w:t>
            </w:r>
          </w:p>
          <w:p>
            <w:pPr>
              <w:spacing w:before="0" w:after="80"/>
              <w:jc w:val="center"/>
            </w:pPr>
            <w:r>
              <w:rPr>
                <w:rFonts w:ascii="Lato" w:cs="Lato" w:eastAsia="Lato" w:hAnsi="Lato"/>
                <w:color w:val="0F1A35"/>
                <w:sz w:val="22"/>
                <w:szCs w:val="22"/>
              </w:rPr>
              <w:t xml:space="preserve">📞  609 987 436</w:t>
            </w:r>
          </w:p>
          <w:p>
            <w:pPr>
              <w:spacing w:before="0" w:after="80"/>
              <w:jc w:val="center"/>
            </w:pPr>
            <w:r>
              <w:rPr>
                <w:rFonts w:ascii="Lato" w:cs="Lato" w:eastAsia="Lato" w:hAnsi="Lato"/>
                <w:color w:val="0F1A35"/>
                <w:sz w:val="22"/>
                <w:szCs w:val="22"/>
              </w:rPr>
              <w:t xml:space="preserve">✉️  info@masesora.com</w:t>
            </w:r>
          </w:p>
          <w:p>
            <w:pPr>
              <w:spacing w:before="0" w:after="80"/>
              <w:jc w:val="center"/>
            </w:pPr>
            <w:r>
              <w:rPr>
                <w:rFonts w:ascii="Lato" w:cs="Lato" w:eastAsia="Lato" w:hAnsi="Lato"/>
                <w:color w:val="0F1A35"/>
                <w:sz w:val="22"/>
                <w:szCs w:val="22"/>
              </w:rPr>
              <w:t xml:space="preserve">🌐  www.masesora.com</w:t>
            </w:r>
          </w:p>
          <w:p>
            <w:pPr>
              <w:spacing w:before="80" w:after="0"/>
              <w:jc w:val="center"/>
            </w:pPr>
            <w:r>
              <w:rPr>
                <w:rFonts w:ascii="Lato" w:cs="Lato" w:eastAsia="Lato" w:hAnsi="Lato"/>
                <w:color w:val="6B6560"/>
                <w:sz w:val="20"/>
                <w:szCs w:val="20"/>
              </w:rPr>
              <w:t xml:space="preserve">WhatsApp  ·  Instagram  ·  LinkedIn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Lato" w:cs="Lato" w:eastAsia="Lato" w:hAnsi="Lato"/>
          <w:i/>
          <w:iCs/>
          <w:color w:val="6B6560"/>
          <w:sz w:val="16"/>
          <w:szCs w:val="16"/>
        </w:rPr>
        <w:t xml:space="preserve">© 2025 MASESORA. Todos los derechos reservados. Documento de uso interno y externo.</w:t>
      </w:r>
    </w:p>
    <w:sectPr>
      <w:footerReference w:type="default" r:id="rId6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D52" w:sz="4" w:space="1"/>
      </w:pBdr>
      <w:tabs>
        <w:tab w:val="right" w:pos="9026"/>
      </w:tabs>
      <w:spacing w:before="120" w:after="0"/>
    </w:pPr>
    <w:r>
      <w:rPr>
        <w:rFonts w:ascii="Lato" w:cs="Lato" w:eastAsia="Lato" w:hAnsi="Lato"/>
        <w:color w:val="6B6560"/>
        <w:sz w:val="16"/>
        <w:szCs w:val="16"/>
      </w:rPr>
      <w:t xml:space="preserve">MASESORA — Manual de Identidad Visual 2025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B89D52"/>
        <w:sz w:val="16"/>
        <w:szCs w:val="16"/>
      </w:rPr>
      <w:t xml:space="preserve">www.masesora.com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0F1A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2026-02-25T16:18:53.114Z</dcterms:created>
  <dcterms:modified xsi:type="dcterms:W3CDTF">2026-02-25T16:18:53.115Z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