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B4B"/>
          <w:sz w:val="30"/>
          <w:szCs w:val="30"/>
        </w:rPr>
        <w:t xml:space="preserve">MASESORA</w:t>
      </w:r>
    </w:p>
    <w:p>
      <w:pPr>
        <w:pBdr>
          <w:bottom w:val="single" w:color="C4A55A" w:sz="12" w:space="8"/>
        </w:pBd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4A55A"/>
          <w:sz w:val="18"/>
          <w:szCs w:val="18"/>
        </w:rPr>
        <w:t xml:space="preserve">L A   C L I N I C A   D E   E M P R E S A S</w:t>
      </w:r>
    </w:p>
    <w:p>
      <w:pPr>
        <w:spacing w:after="20" w:before="74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B4B"/>
          <w:sz w:val="46"/>
          <w:szCs w:val="46"/>
        </w:rPr>
        <w:t xml:space="preserve">MANUAL OPERATIVO</w:t>
      </w:r>
    </w:p>
    <w:p>
      <w:pPr>
        <w:spacing w:after="26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C4A55A"/>
          <w:sz w:val="24"/>
          <w:szCs w:val="24"/>
        </w:rPr>
        <w:t xml:space="preserve">MOMA · MAS@FRAME®</w:t>
      </w:r>
    </w:p>
    <w:p>
      <w:pPr>
        <w:spacing w:after="0" w:before="5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6B6B"/>
          <w:sz w:val="21"/>
          <w:szCs w:val="21"/>
        </w:rPr>
        <w:t xml:space="preserve">Cómo operamos la clínica: roles, flujo, protocolo y procedimientos</w:t>
      </w:r>
    </w:p>
    <w:p>
      <w:pPr>
        <w:spacing w:after="0" w:before="13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B4B"/>
          <w:sz w:val="18"/>
          <w:szCs w:val="18"/>
        </w:rPr>
        <w:t xml:space="preserve">Documento de uso interno · v1 · 2026</w:t>
      </w:r>
    </w:p>
    <w:p>
      <w:pPr>
        <w:spacing w:before="3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B6B6B"/>
          <w:sz w:val="16"/>
          <w:szCs w:val="16"/>
        </w:rPr>
        <w:t xml:space="preserve">Fuente de verdad: MASFRAME_PLAN_V12.5</w:t>
      </w:r>
    </w:p>
    <w:p>
      <w:r>
        <w:br w:type="page"/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aps/>
          <w:color w:val="C4A55A"/>
          <w:sz w:val="17"/>
          <w:szCs w:val="17"/>
        </w:rPr>
        <w:t xml:space="preserve">Contenido</w:t>
      </w:r>
    </w:p>
    <w:p>
      <w:pPr>
        <w:pStyle w:val="Heading1"/>
        <w:pBdr>
          <w:bottom w:val="single" w:color="C4A55A" w:sz="14" w:space="6"/>
        </w:pBdr>
        <w:spacing w:after="130" w:before="340"/>
      </w:pPr>
      <w:r>
        <w:rPr>
          <w:sz w:val="1"/>
          <w:szCs w:val="1"/>
        </w:rPr>
        <w:t xml:space="preserve"/>
      </w:r>
      <w:r>
        <w:rPr>
          <w:rFonts w:ascii="Calibri" w:cs="Calibri" w:eastAsia="Calibri" w:hAnsi="Calibri"/>
          <w:b/>
          <w:bCs/>
          <w:color w:val="1B2B4B"/>
          <w:sz w:val="29"/>
          <w:szCs w:val="29"/>
        </w:rPr>
        <w:t xml:space="preserve">Índice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4A55A"/>
          <w:sz w:val="21"/>
          <w:szCs w:val="21"/>
        </w:rPr>
        <w:t xml:space="preserve">1.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B2B4B"/>
          <w:sz w:val="21"/>
          <w:szCs w:val="21"/>
        </w:rPr>
        <w:t xml:space="preserve">Qué es MASFRAME y cómo se opera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4A55A"/>
          <w:sz w:val="21"/>
          <w:szCs w:val="21"/>
        </w:rPr>
        <w:t xml:space="preserve">2.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B2B4B"/>
          <w:sz w:val="21"/>
          <w:szCs w:val="21"/>
        </w:rPr>
        <w:t xml:space="preserve">Los roles del sistema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4A55A"/>
          <w:sz w:val="21"/>
          <w:szCs w:val="21"/>
        </w:rPr>
        <w:t xml:space="preserve">3.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B2B4B"/>
          <w:sz w:val="21"/>
          <w:szCs w:val="21"/>
        </w:rPr>
        <w:t xml:space="preserve">El flujo completo: del escáner al alta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4A55A"/>
          <w:sz w:val="21"/>
          <w:szCs w:val="21"/>
        </w:rPr>
        <w:t xml:space="preserve">4.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B2B4B"/>
          <w:sz w:val="21"/>
          <w:szCs w:val="21"/>
        </w:rPr>
        <w:t xml:space="preserve">El protocolo clínico C0–C6 en la práctica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4A55A"/>
          <w:sz w:val="21"/>
          <w:szCs w:val="21"/>
        </w:rPr>
        <w:t xml:space="preserve">5.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B2B4B"/>
          <w:sz w:val="21"/>
          <w:szCs w:val="21"/>
        </w:rPr>
        <w:t xml:space="preserve">El Manual del Consultor Clínico (CC)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4A55A"/>
          <w:sz w:val="21"/>
          <w:szCs w:val="21"/>
        </w:rPr>
        <w:t xml:space="preserve">6.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B2B4B"/>
          <w:sz w:val="21"/>
          <w:szCs w:val="21"/>
        </w:rPr>
        <w:t xml:space="preserve">Criterios de alta y garantía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4A55A"/>
          <w:sz w:val="21"/>
          <w:szCs w:val="21"/>
        </w:rPr>
        <w:t xml:space="preserve">7.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B2B4B"/>
          <w:sz w:val="21"/>
          <w:szCs w:val="21"/>
        </w:rPr>
        <w:t xml:space="preserve">Procedimientos operativos (SOP-01 a SOP-06)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4A55A"/>
          <w:sz w:val="21"/>
          <w:szCs w:val="21"/>
        </w:rPr>
        <w:t xml:space="preserve">8.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B2B4B"/>
          <w:sz w:val="21"/>
          <w:szCs w:val="21"/>
        </w:rPr>
        <w:t xml:space="preserve">Documentos oficiales del sistema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4A55A"/>
          <w:sz w:val="21"/>
          <w:szCs w:val="21"/>
        </w:rPr>
        <w:t xml:space="preserve">9.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B2B4B"/>
          <w:sz w:val="21"/>
          <w:szCs w:val="21"/>
        </w:rPr>
        <w:t xml:space="preserve">Las herramientas operativas</w:t>
      </w:r>
    </w:p>
    <w:p>
      <w:r>
        <w:br w:type="page"/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aps/>
          <w:color w:val="C4A55A"/>
          <w:sz w:val="17"/>
          <w:szCs w:val="17"/>
        </w:rPr>
        <w:t xml:space="preserve">01</w:t>
      </w:r>
    </w:p>
    <w:p>
      <w:pPr>
        <w:pStyle w:val="Heading1"/>
        <w:pBdr>
          <w:bottom w:val="single" w:color="C4A55A" w:sz="14" w:space="6"/>
        </w:pBdr>
        <w:spacing w:after="130" w:before="340"/>
      </w:pPr>
      <w:r>
        <w:rPr>
          <w:rFonts w:ascii="Calibri" w:cs="Calibri" w:eastAsia="Calibri" w:hAnsi="Calibri"/>
          <w:b/>
          <w:bCs/>
          <w:color w:val="C4A55A"/>
          <w:sz w:val="30"/>
          <w:szCs w:val="30"/>
        </w:rPr>
        <w:t xml:space="preserve">1   </w:t>
      </w:r>
      <w:r>
        <w:rPr>
          <w:rFonts w:ascii="Calibri" w:cs="Calibri" w:eastAsia="Calibri" w:hAnsi="Calibri"/>
          <w:b/>
          <w:bCs/>
          <w:color w:val="1B2B4B"/>
          <w:sz w:val="29"/>
          <w:szCs w:val="29"/>
        </w:rPr>
        <w:t xml:space="preserve">Qué es MASFRAME y cómo se opera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MASFRAME no es una consultora que vende horas: es un sistema operativo clínico. El trabajo se organiza como en una clínica — con roles definidos, un flujo único de entrada a salida, un protocolo de tratamiento idéntico para cada síntoma y evidencias que quedan en el expediente. Este manual describe cómo se opera, no cómo se vende.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B2B4B"/>
          <w:sz w:val="23"/>
          <w:szCs w:val="23"/>
        </w:rPr>
        <w:t xml:space="preserve">Principios operativos — no negociables</w:t>
      </w:r>
    </w:p>
    <w:p>
      <w:pPr>
        <w:spacing w:after="88" w:line="258"/>
        <w:ind w:left="240" w:hanging="200"/>
      </w:pPr>
      <w:r>
        <w:rPr>
          <w:rFonts w:ascii="Calibri" w:cs="Calibri" w:eastAsia="Calibri" w:hAnsi="Calibri"/>
          <w:b/>
          <w:bCs/>
          <w:color w:val="C4A55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Cobramos por resultado, no por horas. El valor está en el protocolo, no en el tiempo dedicado.</w:t>
      </w:r>
    </w:p>
    <w:p>
      <w:pPr>
        <w:spacing w:after="88" w:line="258"/>
        <w:ind w:left="240" w:hanging="200"/>
      </w:pPr>
      <w:r>
        <w:rPr>
          <w:rFonts w:ascii="Calibri" w:cs="Calibri" w:eastAsia="Calibri" w:hAnsi="Calibri"/>
          <w:b/>
          <w:bCs/>
          <w:color w:val="C4A55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El alta se firma por datos, no por formularios: solo cuando la ejecución (C5) está al 100 % y el KPI ha mejorado.</w:t>
      </w:r>
    </w:p>
    <w:p>
      <w:pPr>
        <w:spacing w:after="88" w:line="258"/>
        <w:ind w:left="240" w:hanging="200"/>
      </w:pPr>
      <w:r>
        <w:rPr>
          <w:rFonts w:ascii="Calibri" w:cs="Calibri" w:eastAsia="Calibri" w:hAnsi="Calibri"/>
          <w:b/>
          <w:bCs/>
          <w:color w:val="C4A55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Un consultor clínico supervisa hasta 20 clientes activos, en modo asíncrono. No ejecuta por el cliente: supervisa y valida.</w:t>
      </w:r>
    </w:p>
    <w:p>
      <w:pPr>
        <w:spacing w:after="88" w:line="258"/>
        <w:ind w:left="240" w:hanging="200"/>
      </w:pPr>
      <w:r>
        <w:rPr>
          <w:rFonts w:ascii="Calibri" w:cs="Calibri" w:eastAsia="Calibri" w:hAnsi="Calibri"/>
          <w:b/>
          <w:bCs/>
          <w:color w:val="C4A55A"/>
          <w:sz w:val="20"/>
          <w:szCs w:val="20"/>
        </w:rPr>
        <w:t xml:space="preserve">▪ 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Toda intervención deja evidencia en el expediente clínico: herramienta, dato y decisión.</w:t>
      </w:r>
    </w:p>
    <w:p>
      <w:pPr>
        <w:spacing w:after="88" w:line="258"/>
        <w:ind w:left="240" w:hanging="200"/>
      </w:pPr>
      <w:r>
        <w:rPr>
          <w:rFonts w:ascii="Calibri" w:cs="Calibri" w:eastAsia="Calibri" w:hAnsi="Calibri"/>
          <w:b/>
          <w:bCs/>
          <w:color w:val="C4A55A"/>
          <w:sz w:val="20"/>
          <w:szCs w:val="20"/>
        </w:rPr>
        <w:t xml:space="preserve">▪ 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El protocolo manda. Se sigue el recorrido C0–C6; no se improvisa ni se salta capas.</w:t>
      </w:r>
    </w:p>
    <w:p>
      <w:pPr>
        <w:spacing w:after="88" w:line="258"/>
        <w:ind w:left="240" w:hanging="200"/>
      </w:pPr>
      <w:r>
        <w:rPr>
          <w:rFonts w:ascii="Calibri" w:cs="Calibri" w:eastAsia="Calibri" w:hAnsi="Calibri"/>
          <w:b/>
          <w:bCs/>
          <w:color w:val="C4A55A"/>
          <w:sz w:val="20"/>
          <w:szCs w:val="20"/>
        </w:rPr>
        <w:t xml:space="preserve">▪ 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El acceso es autoservicio: el cliente entra por el ESE (Escáner de Salud Empresarial) y avanza desde su panel.</w:t>
      </w:r>
    </w:p>
    <w:p>
      <w:pPr>
        <w:pStyle w:val="Heading1"/>
        <w:pBdr>
          <w:bottom w:val="single" w:color="C4A55A" w:sz="14" w:space="6"/>
        </w:pBdr>
        <w:spacing w:after="130" w:before="340"/>
      </w:pPr>
      <w:r>
        <w:rPr>
          <w:rFonts w:ascii="Calibri" w:cs="Calibri" w:eastAsia="Calibri" w:hAnsi="Calibri"/>
          <w:b/>
          <w:bCs/>
          <w:color w:val="C4A55A"/>
          <w:sz w:val="30"/>
          <w:szCs w:val="30"/>
        </w:rPr>
        <w:t xml:space="preserve">2   </w:t>
      </w:r>
      <w:r>
        <w:rPr>
          <w:rFonts w:ascii="Calibri" w:cs="Calibri" w:eastAsia="Calibri" w:hAnsi="Calibri"/>
          <w:b/>
          <w:bCs/>
          <w:color w:val="1B2B4B"/>
          <w:sz w:val="29"/>
          <w:szCs w:val="29"/>
        </w:rPr>
        <w:t xml:space="preserve">Los roles del sistema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Cuatro roles operan dentro de la plataforma, más el rol comercial que la alimenta. Cada uno tiene un acceso y una responsabilidad claros.</w:t>
      </w:r>
    </w:p>
    <w:tbl>
      <w:tblPr>
        <w:tblW w:type="dxa" w:w="9026"/>
        <w:tblBorders>
          <w:top w:val="single" w:color="D8D4E4" w:sz="4"/>
          <w:left w:val="single" w:color="D8D4E4" w:sz="4"/>
          <w:bottom w:val="single" w:color="D8D4E4" w:sz="4"/>
          <w:right w:val="single" w:color="D8D4E4" w:sz="4"/>
          <w:insideH w:val="single" w:color="D8D4E4" w:sz="4"/>
          <w:insideV w:val="single" w:color="D8D4E4" w:sz="4"/>
        </w:tblBorders>
      </w:tblPr>
      <w:tblGrid>
        <w:gridCol w:w="1900"/>
        <w:gridCol w:w="2400"/>
        <w:gridCol w:w="4726"/>
      </w:tblGrid>
      <w:tr>
        <w:trPr>
          <w:tblHeader/>
        </w:trPr>
        <w:tc>
          <w:tcPr>
            <w:tcW w:type="dxa" w:w="1900"/>
            <w:shd w:fill="1B2B4B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400"/>
            <w:shd w:fill="1B2B4B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tcW w:type="dxa" w:w="4726"/>
            <w:shd w:fill="1B2B4B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1900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C4A55A"/>
                <w:sz w:val="19"/>
                <w:szCs w:val="19"/>
              </w:rPr>
              <w:t xml:space="preserve">Todo el sistema</w:t>
            </w:r>
          </w:p>
        </w:tc>
        <w:tc>
          <w:tcPr>
            <w:tcW w:type="dxa" w:w="4726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Gestión global, alta de consultores, asignación de clientes, métricas y códigos beta.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CC — Consultor Clínico</w:t>
            </w:r>
          </w:p>
        </w:tc>
        <w:tc>
          <w:tcPr>
            <w:tcW w:type="dxa" w:w="2400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C4A55A"/>
                <w:sz w:val="19"/>
                <w:szCs w:val="19"/>
              </w:rPr>
              <w:t xml:space="preserve">Triaje, Tratamiento, Alta</w:t>
            </w:r>
          </w:p>
        </w:tc>
        <w:tc>
          <w:tcPr>
            <w:tcW w:type="dxa" w:w="4726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Dirige el protocolo C0–C6, genera contratos y firma el alta clínica. Supervisor asíncrono (1:20).</w:t>
            </w:r>
          </w:p>
        </w:tc>
      </w:tr>
      <w:tr>
        <w:tc>
          <w:tcPr>
            <w:tcW w:type="dxa" w:w="1900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ACI — Agente de Cambio Interno</w:t>
            </w:r>
          </w:p>
        </w:tc>
        <w:tc>
          <w:tcPr>
            <w:tcW w:type="dxa" w:w="2400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C4A55A"/>
                <w:sz w:val="19"/>
                <w:szCs w:val="19"/>
              </w:rPr>
              <w:t xml:space="preserve">Tratamiento</w:t>
            </w:r>
          </w:p>
        </w:tc>
        <w:tc>
          <w:tcPr>
            <w:tcW w:type="dxa" w:w="4726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Persona del cliente que ejecuta el protocolo con el equipo. Responsable del grueso de la ejecución.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Cliente</w:t>
            </w:r>
          </w:p>
        </w:tc>
        <w:tc>
          <w:tcPr>
            <w:tcW w:type="dxa" w:w="2400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C4A55A"/>
                <w:sz w:val="19"/>
                <w:szCs w:val="19"/>
              </w:rPr>
              <w:t xml:space="preserve">Su panel + Tratamiento</w:t>
            </w:r>
          </w:p>
        </w:tc>
        <w:tc>
          <w:tcPr>
            <w:tcW w:type="dxa" w:w="4726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Expediente, mensajería, documentos, firma del contrato e introducción de sus KPIs.</w:t>
            </w:r>
          </w:p>
        </w:tc>
      </w:tr>
      <w:tr>
        <w:tc>
          <w:tcPr>
            <w:tcW w:type="dxa" w:w="1900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SC — Socia Comercial</w:t>
            </w:r>
          </w:p>
        </w:tc>
        <w:tc>
          <w:tcPr>
            <w:tcW w:type="dxa" w:w="2400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C4A55A"/>
                <w:sz w:val="19"/>
                <w:szCs w:val="19"/>
              </w:rPr>
              <w:t xml:space="preserve">Fuera de la plataforma</w:t>
            </w:r>
          </w:p>
        </w:tc>
        <w:tc>
          <w:tcPr>
            <w:tcW w:type="dxa" w:w="4726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Captación, conversión y alianzas. Alimenta el flujo con clientes y recupera los ESE sin pago.</w:t>
            </w:r>
          </w:p>
        </w:tc>
      </w:tr>
    </w:tbl>
    <w:p>
      <w:pPr>
        <w:pBdr>
          <w:left w:val="single" w:color="C4A55A" w:sz="18" w:space="10"/>
        </w:pBdr>
        <w:shd w:fill="F1EFF7" w:color="auto" w:val="clear"/>
        <w:spacing w:after="120" w:before="1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B4B"/>
          <w:sz w:val="21"/>
          <w:szCs w:val="21"/>
        </w:rPr>
        <w:t xml:space="preserve">Control de capacidad: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el CC opera como supervisor asíncrono, no como consultor tradicional. Ratio objetivo 1 CC → 20 clientes activos. Si se supera, se asigna otro CC; no se sacrifica la calidad.</w:t>
      </w:r>
    </w:p>
    <w:p>
      <w:pPr>
        <w:pStyle w:val="Heading1"/>
        <w:pBdr>
          <w:bottom w:val="single" w:color="C4A55A" w:sz="14" w:space="6"/>
        </w:pBdr>
        <w:spacing w:after="130" w:before="340"/>
      </w:pPr>
      <w:r>
        <w:rPr>
          <w:rFonts w:ascii="Calibri" w:cs="Calibri" w:eastAsia="Calibri" w:hAnsi="Calibri"/>
          <w:b/>
          <w:bCs/>
          <w:color w:val="C4A55A"/>
          <w:sz w:val="30"/>
          <w:szCs w:val="30"/>
        </w:rPr>
        <w:t xml:space="preserve">3   </w:t>
      </w:r>
      <w:r>
        <w:rPr>
          <w:rFonts w:ascii="Calibri" w:cs="Calibri" w:eastAsia="Calibri" w:hAnsi="Calibri"/>
          <w:b/>
          <w:bCs/>
          <w:color w:val="1B2B4B"/>
          <w:sz w:val="29"/>
          <w:szCs w:val="29"/>
        </w:rPr>
        <w:t xml:space="preserve">El flujo completo: del escáner al alta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Todo cliente recorre los mismos seis pasos. En cada uno hay un responsable y una salida concreta.</w:t>
      </w:r>
    </w:p>
    <w:tbl>
      <w:tblPr>
        <w:tblW w:type="dxa" w:w="9026"/>
        <w:tblBorders>
          <w:top w:val="single" w:color="D8D4E4" w:sz="4"/>
          <w:left w:val="single" w:color="D8D4E4" w:sz="4"/>
          <w:bottom w:val="single" w:color="D8D4E4" w:sz="4"/>
          <w:right w:val="single" w:color="D8D4E4" w:sz="4"/>
          <w:insideH w:val="single" w:color="D8D4E4" w:sz="4"/>
          <w:insideV w:val="single" w:color="D8D4E4" w:sz="4"/>
        </w:tblBorders>
      </w:tblPr>
      <w:tblGrid>
        <w:gridCol w:w="2500"/>
        <w:gridCol w:w="4626"/>
        <w:gridCol w:w="1900"/>
      </w:tblGrid>
      <w:tr>
        <w:trPr>
          <w:tblHeader/>
        </w:trPr>
        <w:tc>
          <w:tcPr>
            <w:tcW w:type="dxa" w:w="2500"/>
            <w:shd w:fill="1B2B4B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4626"/>
            <w:shd w:fill="1B2B4B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ocurre</w:t>
            </w:r>
          </w:p>
        </w:tc>
        <w:tc>
          <w:tcPr>
            <w:tcW w:type="dxa" w:w="1900"/>
            <w:shd w:fill="1B2B4B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2500"/>
            <w:shd w:fill="1B2B4B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 · ESE Scanner</w:t>
            </w:r>
          </w:p>
        </w:tc>
        <w:tc>
          <w:tcPr>
            <w:tcW w:type="dxa" w:w="4626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El cliente completa el escáner gratuito. El sistema genera un código (MAS-XXXXX) y envía el diagnóstico por email.</w:t>
            </w:r>
          </w:p>
        </w:tc>
        <w:tc>
          <w:tcPr>
            <w:tcW w:type="dxa" w:w="1900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2500"/>
            <w:shd w:fill="1B2B4B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 · Login</w:t>
            </w:r>
          </w:p>
        </w:tc>
        <w:tc>
          <w:tcPr>
            <w:tcW w:type="dxa" w:w="4626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Entra con email + código. Sin pago → recepción; con pago → triaje.</w:t>
            </w:r>
          </w:p>
        </w:tc>
        <w:tc>
          <w:tcPr>
            <w:tcW w:type="dxa" w:w="1900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19"/>
                <w:szCs w:val="19"/>
              </w:rPr>
              <w:t xml:space="preserve">Sistema</w:t>
            </w:r>
          </w:p>
        </w:tc>
      </w:tr>
      <w:tr>
        <w:tc>
          <w:tcPr>
            <w:tcW w:type="dxa" w:w="2500"/>
            <w:shd w:fill="1B2B4B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 · Recepción</w:t>
            </w:r>
          </w:p>
        </w:tc>
        <w:tc>
          <w:tcPr>
            <w:tcW w:type="dxa" w:w="4626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Ve su diagnóstico y los síntomas preseleccionados. Elige plan (PRE/PAE/PIE) y paga (Stripe).</w:t>
            </w:r>
          </w:p>
        </w:tc>
        <w:tc>
          <w:tcPr>
            <w:tcW w:type="dxa" w:w="1900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2500"/>
            <w:shd w:fill="1B2B4B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 · Triaje</w:t>
            </w:r>
          </w:p>
        </w:tc>
        <w:tc>
          <w:tcPr>
            <w:tcW w:type="dxa" w:w="4626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Firma del contrato, factura y expediente. El Admin asigna CC; el cliente introduce sus KPIs de entrada (C0).</w:t>
            </w:r>
          </w:p>
        </w:tc>
        <w:tc>
          <w:tcPr>
            <w:tcW w:type="dxa" w:w="1900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19"/>
                <w:szCs w:val="19"/>
              </w:rPr>
              <w:t xml:space="preserve">CC + Admin</w:t>
            </w:r>
          </w:p>
        </w:tc>
      </w:tr>
      <w:tr>
        <w:tc>
          <w:tcPr>
            <w:tcW w:type="dxa" w:w="2500"/>
            <w:shd w:fill="1B2B4B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 · Tratamiento</w:t>
            </w:r>
          </w:p>
        </w:tc>
        <w:tc>
          <w:tcPr>
            <w:tcW w:type="dxa" w:w="4626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Protocolo C0–C6 sobre cada síntoma, con las herramientas operativas. El alta solo con C5 = 100 % y KPI mejorado.</w:t>
            </w:r>
          </w:p>
        </w:tc>
        <w:tc>
          <w:tcPr>
            <w:tcW w:type="dxa" w:w="1900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19"/>
                <w:szCs w:val="19"/>
              </w:rPr>
              <w:t xml:space="preserve">CC + ACI</w:t>
            </w:r>
          </w:p>
        </w:tc>
      </w:tr>
      <w:tr>
        <w:tc>
          <w:tcPr>
            <w:tcW w:type="dxa" w:w="2500"/>
            <w:shd w:fill="1B2B4B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 · Alta</w:t>
            </w:r>
          </w:p>
        </w:tc>
        <w:tc>
          <w:tcPr>
            <w:tcW w:type="dxa" w:w="4626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 emite el Certificado de Alta Clínica. Si es PIE y no se cumplió, se activa la garantía (extensión 3 meses).</w:t>
            </w:r>
          </w:p>
        </w:tc>
        <w:tc>
          <w:tcPr>
            <w:tcW w:type="dxa" w:w="1900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19"/>
                <w:szCs w:val="19"/>
              </w:rPr>
              <w:t xml:space="preserve">CC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4A55A" w:sz="14" w:space="6"/>
        </w:pBdr>
        <w:spacing w:after="130" w:before="340"/>
      </w:pPr>
      <w:r>
        <w:rPr>
          <w:rFonts w:ascii="Calibri" w:cs="Calibri" w:eastAsia="Calibri" w:hAnsi="Calibri"/>
          <w:b/>
          <w:bCs/>
          <w:color w:val="C4A55A"/>
          <w:sz w:val="30"/>
          <w:szCs w:val="30"/>
        </w:rPr>
        <w:t xml:space="preserve">4   </w:t>
      </w:r>
      <w:r>
        <w:rPr>
          <w:rFonts w:ascii="Calibri" w:cs="Calibri" w:eastAsia="Calibri" w:hAnsi="Calibri"/>
          <w:b/>
          <w:bCs/>
          <w:color w:val="1B2B4B"/>
          <w:sz w:val="29"/>
          <w:szCs w:val="29"/>
        </w:rPr>
        <w:t xml:space="preserve">El protocolo clínico C0–C6 en la práctica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El tratamiento de cada síntoma es siempre el mismo recorrido de siete capas. Esto es lo que hace cada actor y lo que queda registrado en cada una.</w:t>
      </w:r>
    </w:p>
    <w:tbl>
      <w:tblPr>
        <w:tblW w:type="dxa" w:w="9026"/>
        <w:tblBorders>
          <w:top w:val="single" w:color="D8D4E4" w:sz="4"/>
          <w:left w:val="single" w:color="D8D4E4" w:sz="4"/>
          <w:bottom w:val="single" w:color="D8D4E4" w:sz="4"/>
          <w:right w:val="single" w:color="D8D4E4" w:sz="4"/>
          <w:insideH w:val="single" w:color="D8D4E4" w:sz="4"/>
          <w:insideV w:val="single" w:color="D8D4E4" w:sz="4"/>
        </w:tblBorders>
      </w:tblPr>
      <w:tblGrid>
        <w:gridCol w:w="1500"/>
        <w:gridCol w:w="5326"/>
        <w:gridCol w:w="2200"/>
      </w:tblGrid>
      <w:tr>
        <w:trPr>
          <w:tblHeader/>
        </w:trPr>
        <w:tc>
          <w:tcPr>
            <w:tcW w:type="dxa" w:w="1500"/>
            <w:shd w:fill="1B2B4B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5326"/>
            <w:shd w:fill="1B2B4B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se hace</w:t>
            </w:r>
          </w:p>
        </w:tc>
        <w:tc>
          <w:tcPr>
            <w:tcW w:type="dxa" w:w="2200"/>
            <w:shd w:fill="1B2B4B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Quién / evidencia</w:t>
            </w:r>
          </w:p>
        </w:tc>
      </w:tr>
      <w:tr>
        <w:tc>
          <w:tcPr>
            <w:tcW w:type="dxa" w:w="1500"/>
            <w:shd w:fill="C4A55A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C0</w:t>
            </w:r>
          </w:p>
        </w:tc>
        <w:tc>
          <w:tcPr>
            <w:tcW w:type="dxa" w:w="5326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El cliente mide su KPI de entrada: dos datos que ya tiene. Semáforo de 4 niveles.</w:t>
            </w:r>
          </w:p>
        </w:tc>
        <w:tc>
          <w:tcPr>
            <w:tcW w:type="dxa" w:w="2200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B2B4B"/>
                <w:sz w:val="18"/>
                <w:szCs w:val="18"/>
              </w:rPr>
              <w:t xml:space="preserve">Cliente · KPI inicial</w:t>
            </w:r>
          </w:p>
        </w:tc>
      </w:tr>
      <w:tr>
        <w:tc>
          <w:tcPr>
            <w:tcW w:type="dxa" w:w="1500"/>
            <w:shd w:fill="C4A55A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C1</w:t>
            </w:r>
          </w:p>
        </w:tc>
        <w:tc>
          <w:tcPr>
            <w:tcW w:type="dxa" w:w="5326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El cliente marca qué le pasa (6 síntomas vividos). Siembra la C2.</w:t>
            </w:r>
          </w:p>
        </w:tc>
        <w:tc>
          <w:tcPr>
            <w:tcW w:type="dxa" w:w="2200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B2B4B"/>
                <w:sz w:val="18"/>
                <w:szCs w:val="18"/>
              </w:rPr>
              <w:t xml:space="preserve">Cliente</w:t>
            </w:r>
          </w:p>
        </w:tc>
      </w:tr>
      <w:tr>
        <w:tc>
          <w:tcPr>
            <w:tcW w:type="dxa" w:w="1500"/>
            <w:shd w:fill="C4A55A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C2</w:t>
            </w:r>
          </w:p>
        </w:tc>
        <w:tc>
          <w:tcPr>
            <w:tcW w:type="dxa" w:w="5326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 herramienta clínica prioriza y decide. El CC recibe aviso; la decisión queda registrada.</w:t>
            </w:r>
          </w:p>
        </w:tc>
        <w:tc>
          <w:tcPr>
            <w:tcW w:type="dxa" w:w="2200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B2B4B"/>
                <w:sz w:val="18"/>
                <w:szCs w:val="18"/>
              </w:rPr>
              <w:t xml:space="preserve">CC · decisión</w:t>
            </w:r>
          </w:p>
        </w:tc>
      </w:tr>
      <w:tr>
        <w:tc>
          <w:tcPr>
            <w:tcW w:type="dxa" w:w="1500"/>
            <w:shd w:fill="C4A55A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C3</w:t>
            </w:r>
          </w:p>
        </w:tc>
        <w:tc>
          <w:tcPr>
            <w:tcW w:type="dxa" w:w="5326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Diagnóstico profundo sobre lo priorizado. El cliente sale con tareas claras.</w:t>
            </w:r>
          </w:p>
        </w:tc>
        <w:tc>
          <w:tcPr>
            <w:tcW w:type="dxa" w:w="2200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B2B4B"/>
                <w:sz w:val="18"/>
                <w:szCs w:val="18"/>
              </w:rPr>
              <w:t xml:space="preserve">ACI · herramienta</w:t>
            </w:r>
          </w:p>
        </w:tc>
      </w:tr>
      <w:tr>
        <w:tc>
          <w:tcPr>
            <w:tcW w:type="dxa" w:w="1500"/>
            <w:shd w:fill="C4A55A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C4</w:t>
            </w:r>
          </w:p>
        </w:tc>
        <w:tc>
          <w:tcPr>
            <w:tcW w:type="dxa" w:w="5326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Ejecución: tareas con fecha y responsable, en un sprint de 4 semanas (kanban).</w:t>
            </w:r>
          </w:p>
        </w:tc>
        <w:tc>
          <w:tcPr>
            <w:tcW w:type="dxa" w:w="2200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B2B4B"/>
                <w:sz w:val="18"/>
                <w:szCs w:val="18"/>
              </w:rPr>
              <w:t xml:space="preserve">ACI · tareas</w:t>
            </w:r>
          </w:p>
        </w:tc>
      </w:tr>
      <w:tr>
        <w:tc>
          <w:tcPr>
            <w:tcW w:type="dxa" w:w="1500"/>
            <w:shd w:fill="C4A55A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C5</w:t>
            </w:r>
          </w:p>
        </w:tc>
        <w:tc>
          <w:tcPr>
            <w:tcW w:type="dxa" w:w="5326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Implantación con OKR, checklist y Cobrómetro®. Se captura el € recuperado.</w:t>
            </w:r>
          </w:p>
        </w:tc>
        <w:tc>
          <w:tcPr>
            <w:tcW w:type="dxa" w:w="2200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B2B4B"/>
                <w:sz w:val="18"/>
                <w:szCs w:val="18"/>
              </w:rPr>
              <w:t xml:space="preserve">ACI · evidencias</w:t>
            </w:r>
          </w:p>
        </w:tc>
      </w:tr>
      <w:tr>
        <w:tc>
          <w:tcPr>
            <w:tcW w:type="dxa" w:w="1500"/>
            <w:shd w:fill="C4A55A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C6</w:t>
            </w:r>
          </w:p>
        </w:tc>
        <w:tc>
          <w:tcPr>
            <w:tcW w:type="dxa" w:w="5326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 revisa el KPI con los datos reales de C5. Nunca a mano.</w:t>
            </w:r>
          </w:p>
        </w:tc>
        <w:tc>
          <w:tcPr>
            <w:tcW w:type="dxa" w:w="2200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B2B4B"/>
                <w:sz w:val="18"/>
                <w:szCs w:val="18"/>
              </w:rPr>
              <w:t xml:space="preserve">Sistema · KPI final</w:t>
            </w:r>
          </w:p>
        </w:tc>
      </w:tr>
    </w:tbl>
    <w:p>
      <w:pPr>
        <w:pBdr>
          <w:left w:val="single" w:color="C4A55A" w:sz="18" w:space="10"/>
        </w:pBdr>
        <w:shd w:fill="F1EFF7" w:color="auto" w:val="clear"/>
        <w:spacing w:after="120" w:before="1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B4B"/>
          <w:sz w:val="21"/>
          <w:szCs w:val="21"/>
        </w:rPr>
        <w:t xml:space="preserve">Ley MASFRAME: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222222"/>
          <w:sz w:val="21"/>
          <w:szCs w:val="21"/>
        </w:rPr>
        <w:t xml:space="preserve">“El KPI se mide en C0 y se revisa en C6 con los datos recogidos en C5.” El C6 nunca admite el KPI tecleado a mano.</w:t>
      </w:r>
    </w:p>
    <w:p>
      <w:pPr>
        <w:pStyle w:val="Heading1"/>
        <w:pBdr>
          <w:bottom w:val="single" w:color="C4A55A" w:sz="14" w:space="6"/>
        </w:pBdr>
        <w:spacing w:after="130" w:before="340"/>
      </w:pPr>
      <w:r>
        <w:rPr>
          <w:rFonts w:ascii="Calibri" w:cs="Calibri" w:eastAsia="Calibri" w:hAnsi="Calibri"/>
          <w:b/>
          <w:bCs/>
          <w:color w:val="C4A55A"/>
          <w:sz w:val="30"/>
          <w:szCs w:val="30"/>
        </w:rPr>
        <w:t xml:space="preserve">5   </w:t>
      </w:r>
      <w:r>
        <w:rPr>
          <w:rFonts w:ascii="Calibri" w:cs="Calibri" w:eastAsia="Calibri" w:hAnsi="Calibri"/>
          <w:b/>
          <w:bCs/>
          <w:color w:val="1B2B4B"/>
          <w:sz w:val="29"/>
          <w:szCs w:val="29"/>
        </w:rPr>
        <w:t xml:space="preserve">El Manual del Consultor Clínico (CC)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B2B4B"/>
          <w:sz w:val="23"/>
          <w:szCs w:val="23"/>
        </w:rPr>
        <w:t xml:space="preserve">Qué hace</w:t>
      </w:r>
    </w:p>
    <w:p>
      <w:pPr>
        <w:spacing w:after="88" w:line="258"/>
        <w:ind w:left="240" w:hanging="200"/>
      </w:pPr>
      <w:r>
        <w:rPr>
          <w:rFonts w:ascii="Calibri" w:cs="Calibri" w:eastAsia="Calibri" w:hAnsi="Calibri"/>
          <w:b/>
          <w:bCs/>
          <w:color w:val="C4A55A"/>
          <w:sz w:val="20"/>
          <w:szCs w:val="20"/>
        </w:rPr>
        <w:t xml:space="preserve">▪ 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Dirige el protocolo C0–C6 de sus clientes y supervisa el avance semana a semana.</w:t>
      </w:r>
    </w:p>
    <w:p>
      <w:pPr>
        <w:spacing w:after="88" w:line="258"/>
        <w:ind w:left="240" w:hanging="200"/>
      </w:pPr>
      <w:r>
        <w:rPr>
          <w:rFonts w:ascii="Calibri" w:cs="Calibri" w:eastAsia="Calibri" w:hAnsi="Calibri"/>
          <w:b/>
          <w:bCs/>
          <w:color w:val="C4A55A"/>
          <w:sz w:val="20"/>
          <w:szCs w:val="20"/>
        </w:rPr>
        <w:t xml:space="preserve">▪ 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Genera y gestiona el contrato, valida los KPIs de entrada y firma el alta cuando se cumplen los criterios.</w:t>
      </w:r>
    </w:p>
    <w:p>
      <w:pPr>
        <w:spacing w:after="88" w:line="258"/>
        <w:ind w:left="240" w:hanging="200"/>
      </w:pPr>
      <w:r>
        <w:rPr>
          <w:rFonts w:ascii="Calibri" w:cs="Calibri" w:eastAsia="Calibri" w:hAnsi="Calibri"/>
          <w:b/>
          <w:bCs/>
          <w:color w:val="C4A55A"/>
          <w:sz w:val="20"/>
          <w:szCs w:val="20"/>
        </w:rPr>
        <w:t xml:space="preserve">▪ 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Desbloquea al ACI, ajusta tareas y asegura que cada capa deja su evidencia.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B2B4B"/>
          <w:sz w:val="23"/>
          <w:szCs w:val="23"/>
        </w:rPr>
        <w:t xml:space="preserve">Qué NO hace</w:t>
      </w:r>
    </w:p>
    <w:p>
      <w:pPr>
        <w:spacing w:after="88" w:line="258"/>
        <w:ind w:left="240" w:hanging="200"/>
      </w:pPr>
      <w:r>
        <w:rPr>
          <w:rFonts w:ascii="Calibri" w:cs="Calibri" w:eastAsia="Calibri" w:hAnsi="Calibri"/>
          <w:b/>
          <w:bCs/>
          <w:color w:val="C4A55A"/>
          <w:sz w:val="20"/>
          <w:szCs w:val="20"/>
        </w:rPr>
        <w:t xml:space="preserve">▪ 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No ejecuta el trabajo por el cliente — eso es el ACI. El CC supervisa y valida.</w:t>
      </w:r>
    </w:p>
    <w:p>
      <w:pPr>
        <w:spacing w:after="88" w:line="258"/>
        <w:ind w:left="240" w:hanging="200"/>
      </w:pPr>
      <w:r>
        <w:rPr>
          <w:rFonts w:ascii="Calibri" w:cs="Calibri" w:eastAsia="Calibri" w:hAnsi="Calibri"/>
          <w:b/>
          <w:bCs/>
          <w:color w:val="C4A55A"/>
          <w:sz w:val="20"/>
          <w:szCs w:val="20"/>
        </w:rPr>
        <w:t xml:space="preserve">▪ 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No cobra por horas ni alarga el tratamiento: el objetivo es el alta, no la permanencia.</w:t>
      </w:r>
    </w:p>
    <w:p>
      <w:pPr>
        <w:spacing w:after="88" w:line="258"/>
        <w:ind w:left="240" w:hanging="200"/>
      </w:pPr>
      <w:r>
        <w:rPr>
          <w:rFonts w:ascii="Calibri" w:cs="Calibri" w:eastAsia="Calibri" w:hAnsi="Calibri"/>
          <w:b/>
          <w:bCs/>
          <w:color w:val="C4A55A"/>
          <w:sz w:val="20"/>
          <w:szCs w:val="20"/>
        </w:rPr>
        <w:t xml:space="preserve">▪ 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No firma el alta sin datos: sin C5 al 100 % y KPI mejorado, no hay alta.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B2B4B"/>
          <w:sz w:val="23"/>
          <w:szCs w:val="23"/>
        </w:rPr>
        <w:t xml:space="preserve">Cómo trabaja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En modo asíncrono: revisa expedientes, deja indicaciones y valida hitos sin necesidad de reuniones constantes. Esa es la clave que le permite llevar hasta 20 clientes activos a la vez sin perder calidad.</w:t>
      </w:r>
    </w:p>
    <w:p>
      <w:pPr>
        <w:pStyle w:val="Heading1"/>
        <w:pBdr>
          <w:bottom w:val="single" w:color="C4A55A" w:sz="14" w:space="6"/>
        </w:pBdr>
        <w:spacing w:after="130" w:before="340"/>
      </w:pPr>
      <w:r>
        <w:rPr>
          <w:rFonts w:ascii="Calibri" w:cs="Calibri" w:eastAsia="Calibri" w:hAnsi="Calibri"/>
          <w:b/>
          <w:bCs/>
          <w:color w:val="C4A55A"/>
          <w:sz w:val="30"/>
          <w:szCs w:val="30"/>
        </w:rPr>
        <w:t xml:space="preserve">6   </w:t>
      </w:r>
      <w:r>
        <w:rPr>
          <w:rFonts w:ascii="Calibri" w:cs="Calibri" w:eastAsia="Calibri" w:hAnsi="Calibri"/>
          <w:b/>
          <w:bCs/>
          <w:color w:val="1B2B4B"/>
          <w:sz w:val="29"/>
          <w:szCs w:val="29"/>
        </w:rPr>
        <w:t xml:space="preserve">Criterios de alta y garantía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El alta clínica es el momento que define el modelo. No se otorga por completar pasos, sino por resultado.</w:t>
      </w:r>
    </w:p>
    <w:p>
      <w:pPr>
        <w:spacing w:after="88" w:line="258"/>
        <w:ind w:left="240" w:hanging="200"/>
      </w:pPr>
      <w:r>
        <w:rPr>
          <w:rFonts w:ascii="Calibri" w:cs="Calibri" w:eastAsia="Calibri" w:hAnsi="Calibri"/>
          <w:b/>
          <w:bCs/>
          <w:color w:val="C4A55A"/>
          <w:sz w:val="20"/>
          <w:szCs w:val="20"/>
        </w:rPr>
        <w:t xml:space="preserve">▪ 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Condición de alta: C5 al 100 % Y el KPI ha mejorado hacia su objetivo (medido en C6 con datos reales).</w:t>
      </w:r>
    </w:p>
    <w:p>
      <w:pPr>
        <w:spacing w:after="88" w:line="258"/>
        <w:ind w:left="240" w:hanging="200"/>
      </w:pPr>
      <w:r>
        <w:rPr>
          <w:rFonts w:ascii="Calibri" w:cs="Calibri" w:eastAsia="Calibri" w:hAnsi="Calibri"/>
          <w:b/>
          <w:bCs/>
          <w:color w:val="C4A55A"/>
          <w:sz w:val="20"/>
          <w:szCs w:val="20"/>
        </w:rPr>
        <w:t xml:space="preserve">▪ 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En síntomas financieros: además, un retorno económico documentado — € identificado → € recuperado.</w:t>
      </w:r>
    </w:p>
    <w:p>
      <w:pPr>
        <w:spacing w:after="88" w:line="258"/>
        <w:ind w:left="240" w:hanging="200"/>
      </w:pPr>
      <w:r>
        <w:rPr>
          <w:rFonts w:ascii="Calibri" w:cs="Calibri" w:eastAsia="Calibri" w:hAnsi="Calibri"/>
          <w:b/>
          <w:bCs/>
          <w:color w:val="C4A55A"/>
          <w:sz w:val="20"/>
          <w:szCs w:val="20"/>
        </w:rPr>
        <w:t xml:space="preserve">▪ 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Se emite el Certificado de Alta Clínica y se cierra el ciclo con su evidencia.</w:t>
      </w:r>
    </w:p>
    <w:p>
      <w:pPr>
        <w:pBdr>
          <w:left w:val="single" w:color="C4A55A" w:sz="18" w:space="10"/>
        </w:pBdr>
        <w:shd w:fill="F1EFF7" w:color="auto" w:val="clear"/>
        <w:spacing w:after="120" w:before="1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B4B"/>
          <w:sz w:val="21"/>
          <w:szCs w:val="21"/>
        </w:rPr>
        <w:t xml:space="preserve">Garantía PIE: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si el plan PIE no alcanza el objetivo pactado, el tratamiento se extiende 3 meses sin coste. La garantía solo aplica donde el sistema puede sostenerla.</w:t>
      </w:r>
    </w:p>
    <w:p>
      <w:r>
        <w:br w:type="page"/>
      </w:r>
    </w:p>
    <w:p>
      <w:pPr>
        <w:pStyle w:val="Heading1"/>
        <w:pBdr>
          <w:bottom w:val="single" w:color="C4A55A" w:sz="14" w:space="6"/>
        </w:pBdr>
        <w:spacing w:after="130" w:before="340"/>
      </w:pPr>
      <w:r>
        <w:rPr>
          <w:rFonts w:ascii="Calibri" w:cs="Calibri" w:eastAsia="Calibri" w:hAnsi="Calibri"/>
          <w:b/>
          <w:bCs/>
          <w:color w:val="C4A55A"/>
          <w:sz w:val="30"/>
          <w:szCs w:val="30"/>
        </w:rPr>
        <w:t xml:space="preserve">7   </w:t>
      </w:r>
      <w:r>
        <w:rPr>
          <w:rFonts w:ascii="Calibri" w:cs="Calibri" w:eastAsia="Calibri" w:hAnsi="Calibri"/>
          <w:b/>
          <w:bCs/>
          <w:color w:val="1B2B4B"/>
          <w:sz w:val="29"/>
          <w:szCs w:val="29"/>
        </w:rPr>
        <w:t xml:space="preserve">Procedimientos operativos (SOPs)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Seis procedimientos estandarizados cubren el ciclo completo. Cada uno tiene un disparador, un responsable, unos pasos y una salida verificable.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4A55A"/>
          <w:sz w:val="22"/>
          <w:szCs w:val="22"/>
        </w:rPr>
        <w:t xml:space="preserve">SOP-01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B4B"/>
          <w:sz w:val="22"/>
          <w:szCs w:val="22"/>
        </w:rPr>
        <w:t xml:space="preserve">Activación del cliente tras el pago</w:t>
      </w:r>
    </w:p>
    <w:tbl>
      <w:tblPr>
        <w:tblW w:type="dxa" w:w="9026"/>
        <w:tblBorders>
          <w:top w:val="single" w:color="D8D4E4" w:sz="4"/>
          <w:left w:val="single" w:color="D8D4E4" w:sz="4"/>
          <w:bottom w:val="single" w:color="D8D4E4" w:sz="4"/>
          <w:right w:val="single" w:color="D8D4E4" w:sz="4"/>
          <w:insideH w:val="single" w:color="D8D4E4" w:sz="4"/>
          <w:insideV w:val="single" w:color="D8D4E4" w:sz="4"/>
        </w:tblBorders>
      </w:tblPr>
      <w:tblGrid>
        <w:gridCol w:w="2100"/>
        <w:gridCol w:w="6926"/>
      </w:tblGrid>
      <w:tr>
        <w:tc>
          <w:tcPr>
            <w:tcW w:type="dxa" w:w="2100"/>
            <w:shd w:fill="F1EFF7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Disparador</w:t>
            </w:r>
          </w:p>
        </w:tc>
        <w:tc>
          <w:tcPr>
            <w:tcW w:type="dxa" w:w="6926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Pago confirmado en Stripe (pago_confirmado = true).</w:t>
            </w:r>
          </w:p>
        </w:tc>
      </w:tr>
      <w:tr>
        <w:tc>
          <w:tcPr>
            <w:tcW w:type="dxa" w:w="2100"/>
            <w:shd w:fill="F1EFF7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6926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Admin.</w:t>
            </w:r>
          </w:p>
        </w:tc>
      </w:tr>
      <w:tr>
        <w:tc>
          <w:tcPr>
            <w:tcW w:type="dxa" w:w="2100"/>
            <w:shd w:fill="F1EFF7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Pasos</w:t>
            </w:r>
          </w:p>
        </w:tc>
        <w:tc>
          <w:tcPr>
            <w:tcW w:type="dxa" w:w="6926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1) Verificar el pago y el plan contratado. 2) Crear/activar el expediente. 3) Asignar CC según carga (ratio 1:20). 4) Habilitar el Triaje y notificar al cliente.</w:t>
            </w:r>
          </w:p>
        </w:tc>
      </w:tr>
      <w:tr>
        <w:tc>
          <w:tcPr>
            <w:tcW w:type="dxa" w:w="2100"/>
            <w:shd w:fill="F1EFF7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Salida</w:t>
            </w:r>
          </w:p>
        </w:tc>
        <w:tc>
          <w:tcPr>
            <w:tcW w:type="dxa" w:w="6926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Cliente activo, con CC asignado y triaje disponible.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4A55A"/>
          <w:sz w:val="22"/>
          <w:szCs w:val="22"/>
        </w:rPr>
        <w:t xml:space="preserve">SOP-02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B4B"/>
          <w:sz w:val="22"/>
          <w:szCs w:val="22"/>
        </w:rPr>
        <w:t xml:space="preserve">Triaje clínico</w:t>
      </w:r>
    </w:p>
    <w:tbl>
      <w:tblPr>
        <w:tblW w:type="dxa" w:w="9026"/>
        <w:tblBorders>
          <w:top w:val="single" w:color="D8D4E4" w:sz="4"/>
          <w:left w:val="single" w:color="D8D4E4" w:sz="4"/>
          <w:bottom w:val="single" w:color="D8D4E4" w:sz="4"/>
          <w:right w:val="single" w:color="D8D4E4" w:sz="4"/>
          <w:insideH w:val="single" w:color="D8D4E4" w:sz="4"/>
          <w:insideV w:val="single" w:color="D8D4E4" w:sz="4"/>
        </w:tblBorders>
      </w:tblPr>
      <w:tblGrid>
        <w:gridCol w:w="2100"/>
        <w:gridCol w:w="6926"/>
      </w:tblGrid>
      <w:tr>
        <w:tc>
          <w:tcPr>
            <w:tcW w:type="dxa" w:w="2100"/>
            <w:shd w:fill="F1EFF7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Disparador</w:t>
            </w:r>
          </w:p>
        </w:tc>
        <w:tc>
          <w:tcPr>
            <w:tcW w:type="dxa" w:w="6926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Cliente activado (SOP-01 completado).</w:t>
            </w:r>
          </w:p>
        </w:tc>
      </w:tr>
      <w:tr>
        <w:tc>
          <w:tcPr>
            <w:tcW w:type="dxa" w:w="2100"/>
            <w:shd w:fill="F1EFF7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6926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CC.</w:t>
            </w:r>
          </w:p>
        </w:tc>
      </w:tr>
      <w:tr>
        <w:tc>
          <w:tcPr>
            <w:tcW w:type="dxa" w:w="2100"/>
            <w:shd w:fill="F1EFF7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Pasos</w:t>
            </w:r>
          </w:p>
        </w:tc>
        <w:tc>
          <w:tcPr>
            <w:tcW w:type="dxa" w:w="6926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1) Revisar el diagnóstico del ESE y confirmar los síntomas a tratar. 2) Generar el contrato y recoger la firma. 3) Emitir la factura. 4) Validar los KPIs de entrada (C0).</w:t>
            </w:r>
          </w:p>
        </w:tc>
      </w:tr>
      <w:tr>
        <w:tc>
          <w:tcPr>
            <w:tcW w:type="dxa" w:w="2100"/>
            <w:shd w:fill="F1EFF7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Salida</w:t>
            </w:r>
          </w:p>
        </w:tc>
        <w:tc>
          <w:tcPr>
            <w:tcW w:type="dxa" w:w="6926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Contrato firmado, factura emitida y C0 medido.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4A55A"/>
          <w:sz w:val="22"/>
          <w:szCs w:val="22"/>
        </w:rPr>
        <w:t xml:space="preserve">SOP-03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B4B"/>
          <w:sz w:val="22"/>
          <w:szCs w:val="22"/>
        </w:rPr>
        <w:t xml:space="preserve">Seguimiento semanal CC → ACI</w:t>
      </w:r>
    </w:p>
    <w:tbl>
      <w:tblPr>
        <w:tblW w:type="dxa" w:w="9026"/>
        <w:tblBorders>
          <w:top w:val="single" w:color="D8D4E4" w:sz="4"/>
          <w:left w:val="single" w:color="D8D4E4" w:sz="4"/>
          <w:bottom w:val="single" w:color="D8D4E4" w:sz="4"/>
          <w:right w:val="single" w:color="D8D4E4" w:sz="4"/>
          <w:insideH w:val="single" w:color="D8D4E4" w:sz="4"/>
          <w:insideV w:val="single" w:color="D8D4E4" w:sz="4"/>
        </w:tblBorders>
      </w:tblPr>
      <w:tblGrid>
        <w:gridCol w:w="2100"/>
        <w:gridCol w:w="6926"/>
      </w:tblGrid>
      <w:tr>
        <w:tc>
          <w:tcPr>
            <w:tcW w:type="dxa" w:w="2100"/>
            <w:shd w:fill="F1EFF7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Disparador</w:t>
            </w:r>
          </w:p>
        </w:tc>
        <w:tc>
          <w:tcPr>
            <w:tcW w:type="dxa" w:w="6926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Ciclo de tratamiento en curso (C4/C5).</w:t>
            </w:r>
          </w:p>
        </w:tc>
      </w:tr>
      <w:tr>
        <w:tc>
          <w:tcPr>
            <w:tcW w:type="dxa" w:w="2100"/>
            <w:shd w:fill="F1EFF7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6926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CC supervisa · ACI ejecuta.</w:t>
            </w:r>
          </w:p>
        </w:tc>
      </w:tr>
      <w:tr>
        <w:tc>
          <w:tcPr>
            <w:tcW w:type="dxa" w:w="2100"/>
            <w:shd w:fill="F1EFF7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Pasos</w:t>
            </w:r>
          </w:p>
        </w:tc>
        <w:tc>
          <w:tcPr>
            <w:tcW w:type="dxa" w:w="6926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1) Revisar el avance del sprint. 2) Desbloquear y reasignar tareas. 3) Verificar que cada capa deja evidencia. 4) Registrar el € recuperado en el Cobrómetro®.</w:t>
            </w:r>
          </w:p>
        </w:tc>
      </w:tr>
      <w:tr>
        <w:tc>
          <w:tcPr>
            <w:tcW w:type="dxa" w:w="2100"/>
            <w:shd w:fill="F1EFF7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Salida</w:t>
            </w:r>
          </w:p>
        </w:tc>
        <w:tc>
          <w:tcPr>
            <w:tcW w:type="dxa" w:w="6926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Sprint al día y evidencias en el expediente.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4A55A"/>
          <w:sz w:val="22"/>
          <w:szCs w:val="22"/>
        </w:rPr>
        <w:t xml:space="preserve">SOP-04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B4B"/>
          <w:sz w:val="22"/>
          <w:szCs w:val="22"/>
        </w:rPr>
        <w:t xml:space="preserve">Emisión del alta</w:t>
      </w:r>
    </w:p>
    <w:tbl>
      <w:tblPr>
        <w:tblW w:type="dxa" w:w="9026"/>
        <w:tblBorders>
          <w:top w:val="single" w:color="D8D4E4" w:sz="4"/>
          <w:left w:val="single" w:color="D8D4E4" w:sz="4"/>
          <w:bottom w:val="single" w:color="D8D4E4" w:sz="4"/>
          <w:right w:val="single" w:color="D8D4E4" w:sz="4"/>
          <w:insideH w:val="single" w:color="D8D4E4" w:sz="4"/>
          <w:insideV w:val="single" w:color="D8D4E4" w:sz="4"/>
        </w:tblBorders>
      </w:tblPr>
      <w:tblGrid>
        <w:gridCol w:w="2100"/>
        <w:gridCol w:w="6926"/>
      </w:tblGrid>
      <w:tr>
        <w:tc>
          <w:tcPr>
            <w:tcW w:type="dxa" w:w="2100"/>
            <w:shd w:fill="F1EFF7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Disparador</w:t>
            </w:r>
          </w:p>
        </w:tc>
        <w:tc>
          <w:tcPr>
            <w:tcW w:type="dxa" w:w="6926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C5 al 100 % y KPI mejorado.</w:t>
            </w:r>
          </w:p>
        </w:tc>
      </w:tr>
      <w:tr>
        <w:tc>
          <w:tcPr>
            <w:tcW w:type="dxa" w:w="2100"/>
            <w:shd w:fill="F1EFF7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6926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CC.</w:t>
            </w:r>
          </w:p>
        </w:tc>
      </w:tr>
      <w:tr>
        <w:tc>
          <w:tcPr>
            <w:tcW w:type="dxa" w:w="2100"/>
            <w:shd w:fill="F1EFF7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Pasos</w:t>
            </w:r>
          </w:p>
        </w:tc>
        <w:tc>
          <w:tcPr>
            <w:tcW w:type="dxa" w:w="6926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1) Verificar los criterios de alta. 2) Generar el Certificado de Alta. 3) Cerrar el acto de alta y registrar el caso. 4) Si es PIE sin cumplir: activar la garantía (3 meses).</w:t>
            </w:r>
          </w:p>
        </w:tc>
      </w:tr>
      <w:tr>
        <w:tc>
          <w:tcPr>
            <w:tcW w:type="dxa" w:w="2100"/>
            <w:shd w:fill="F1EFF7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Salida</w:t>
            </w:r>
          </w:p>
        </w:tc>
        <w:tc>
          <w:tcPr>
            <w:tcW w:type="dxa" w:w="6926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Certificado de Alta emitido o garantía activada.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4A55A"/>
          <w:sz w:val="22"/>
          <w:szCs w:val="22"/>
        </w:rPr>
        <w:t xml:space="preserve">SOP-05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B4B"/>
          <w:sz w:val="22"/>
          <w:szCs w:val="22"/>
        </w:rPr>
        <w:t xml:space="preserve">Seguimiento comercial post-ESE sin pago</w:t>
      </w:r>
    </w:p>
    <w:tbl>
      <w:tblPr>
        <w:tblW w:type="dxa" w:w="9026"/>
        <w:tblBorders>
          <w:top w:val="single" w:color="D8D4E4" w:sz="4"/>
          <w:left w:val="single" w:color="D8D4E4" w:sz="4"/>
          <w:bottom w:val="single" w:color="D8D4E4" w:sz="4"/>
          <w:right w:val="single" w:color="D8D4E4" w:sz="4"/>
          <w:insideH w:val="single" w:color="D8D4E4" w:sz="4"/>
          <w:insideV w:val="single" w:color="D8D4E4" w:sz="4"/>
        </w:tblBorders>
      </w:tblPr>
      <w:tblGrid>
        <w:gridCol w:w="2100"/>
        <w:gridCol w:w="6926"/>
      </w:tblGrid>
      <w:tr>
        <w:tc>
          <w:tcPr>
            <w:tcW w:type="dxa" w:w="2100"/>
            <w:shd w:fill="F1EFF7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Disparador</w:t>
            </w:r>
          </w:p>
        </w:tc>
        <w:tc>
          <w:tcPr>
            <w:tcW w:type="dxa" w:w="6926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ESE completado pero sin plan activado.</w:t>
            </w:r>
          </w:p>
        </w:tc>
      </w:tr>
      <w:tr>
        <w:tc>
          <w:tcPr>
            <w:tcW w:type="dxa" w:w="2100"/>
            <w:shd w:fill="F1EFF7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6926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SC.</w:t>
            </w:r>
          </w:p>
        </w:tc>
      </w:tr>
      <w:tr>
        <w:tc>
          <w:tcPr>
            <w:tcW w:type="dxa" w:w="2100"/>
            <w:shd w:fill="F1EFF7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Pasos</w:t>
            </w:r>
          </w:p>
        </w:tc>
        <w:tc>
          <w:tcPr>
            <w:tcW w:type="dxa" w:w="6926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1) Contactar y recordar el diagnóstico. 2) Ofrecer la entrada más accesible (síntoma suelto 99 €) o el plan adecuado. 3) Hacer seguimiento y registrar el resultado.</w:t>
            </w:r>
          </w:p>
        </w:tc>
      </w:tr>
      <w:tr>
        <w:tc>
          <w:tcPr>
            <w:tcW w:type="dxa" w:w="2100"/>
            <w:shd w:fill="F1EFF7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Salida</w:t>
            </w:r>
          </w:p>
        </w:tc>
        <w:tc>
          <w:tcPr>
            <w:tcW w:type="dxa" w:w="6926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Conversión a plan o descarte documentado.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4A55A"/>
          <w:sz w:val="22"/>
          <w:szCs w:val="22"/>
        </w:rPr>
        <w:t xml:space="preserve">SOP-06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B4B"/>
          <w:sz w:val="22"/>
          <w:szCs w:val="22"/>
        </w:rPr>
        <w:t xml:space="preserve">Cierre y recurrencia</w:t>
      </w:r>
    </w:p>
    <w:tbl>
      <w:tblPr>
        <w:tblW w:type="dxa" w:w="9026"/>
        <w:tblBorders>
          <w:top w:val="single" w:color="D8D4E4" w:sz="4"/>
          <w:left w:val="single" w:color="D8D4E4" w:sz="4"/>
          <w:bottom w:val="single" w:color="D8D4E4" w:sz="4"/>
          <w:right w:val="single" w:color="D8D4E4" w:sz="4"/>
          <w:insideH w:val="single" w:color="D8D4E4" w:sz="4"/>
          <w:insideV w:val="single" w:color="D8D4E4" w:sz="4"/>
        </w:tblBorders>
      </w:tblPr>
      <w:tblGrid>
        <w:gridCol w:w="2100"/>
        <w:gridCol w:w="6926"/>
      </w:tblGrid>
      <w:tr>
        <w:tc>
          <w:tcPr>
            <w:tcW w:type="dxa" w:w="2100"/>
            <w:shd w:fill="F1EFF7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Disparador</w:t>
            </w:r>
          </w:p>
        </w:tc>
        <w:tc>
          <w:tcPr>
            <w:tcW w:type="dxa" w:w="6926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Alta emitida.</w:t>
            </w:r>
          </w:p>
        </w:tc>
      </w:tr>
      <w:tr>
        <w:tc>
          <w:tcPr>
            <w:tcW w:type="dxa" w:w="2100"/>
            <w:shd w:fill="F1EFF7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6926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CC + SC.</w:t>
            </w:r>
          </w:p>
        </w:tc>
      </w:tr>
      <w:tr>
        <w:tc>
          <w:tcPr>
            <w:tcW w:type="dxa" w:w="2100"/>
            <w:shd w:fill="F1EFF7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Pasos</w:t>
            </w:r>
          </w:p>
        </w:tc>
        <w:tc>
          <w:tcPr>
            <w:tcW w:type="dxa" w:w="6926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1) Recoger testimonio y documentar el caso de éxito. 2) Proponer el siguiente síntoma, plan o acompañamiento. 3) Registrar la recurrencia o el cierre limpio.</w:t>
            </w:r>
          </w:p>
        </w:tc>
      </w:tr>
      <w:tr>
        <w:tc>
          <w:tcPr>
            <w:tcW w:type="dxa" w:w="2100"/>
            <w:shd w:fill="F1EFF7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Salida</w:t>
            </w:r>
          </w:p>
        </w:tc>
        <w:tc>
          <w:tcPr>
            <w:tcW w:type="dxa" w:w="6926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Caso documentado y siguiente paso definido.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4A55A" w:sz="14" w:space="6"/>
        </w:pBdr>
        <w:spacing w:after="130" w:before="340"/>
      </w:pPr>
      <w:r>
        <w:rPr>
          <w:rFonts w:ascii="Calibri" w:cs="Calibri" w:eastAsia="Calibri" w:hAnsi="Calibri"/>
          <w:b/>
          <w:bCs/>
          <w:color w:val="C4A55A"/>
          <w:sz w:val="30"/>
          <w:szCs w:val="30"/>
        </w:rPr>
        <w:t xml:space="preserve">8   </w:t>
      </w:r>
      <w:r>
        <w:rPr>
          <w:rFonts w:ascii="Calibri" w:cs="Calibri" w:eastAsia="Calibri" w:hAnsi="Calibri"/>
          <w:b/>
          <w:bCs/>
          <w:color w:val="1B2B4B"/>
          <w:sz w:val="29"/>
          <w:szCs w:val="29"/>
        </w:rPr>
        <w:t xml:space="preserve">Documentos oficiales del sistema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El sistema genera tres documentos oficiales a lo largo del flujo. Todos quedan en el expediente del cliente.</w:t>
      </w:r>
    </w:p>
    <w:tbl>
      <w:tblPr>
        <w:tblW w:type="dxa" w:w="9026"/>
        <w:tblBorders>
          <w:top w:val="single" w:color="D8D4E4" w:sz="4"/>
          <w:left w:val="single" w:color="D8D4E4" w:sz="4"/>
          <w:bottom w:val="single" w:color="D8D4E4" w:sz="4"/>
          <w:right w:val="single" w:color="D8D4E4" w:sz="4"/>
          <w:insideH w:val="single" w:color="D8D4E4" w:sz="4"/>
          <w:insideV w:val="single" w:color="D8D4E4" w:sz="4"/>
        </w:tblBorders>
      </w:tblPr>
      <w:tblGrid>
        <w:gridCol w:w="2300"/>
        <w:gridCol w:w="2300"/>
        <w:gridCol w:w="4426"/>
      </w:tblGrid>
      <w:tr>
        <w:trPr>
          <w:tblHeader/>
        </w:trPr>
        <w:tc>
          <w:tcPr>
            <w:tcW w:type="dxa" w:w="2300"/>
            <w:shd w:fill="1B2B4B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2300"/>
            <w:shd w:fill="1B2B4B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Cuándo</w:t>
            </w:r>
          </w:p>
        </w:tc>
        <w:tc>
          <w:tcPr>
            <w:tcW w:type="dxa" w:w="4426"/>
            <w:shd w:fill="1B2B4B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300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Contrato Maestro</w:t>
            </w:r>
          </w:p>
        </w:tc>
        <w:tc>
          <w:tcPr>
            <w:tcW w:type="dxa" w:w="2300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C4A55A"/>
                <w:sz w:val="19"/>
                <w:szCs w:val="19"/>
              </w:rPr>
              <w:t xml:space="preserve">En el triaje</w:t>
            </w:r>
          </w:p>
        </w:tc>
        <w:tc>
          <w:tcPr>
            <w:tcW w:type="dxa" w:w="4426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18 cláusulas, con firma en pantalla. Incluye la cláusula del ACI.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Factura</w:t>
            </w:r>
          </w:p>
        </w:tc>
        <w:tc>
          <w:tcPr>
            <w:tcW w:type="dxa" w:w="2300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C4A55A"/>
                <w:sz w:val="19"/>
                <w:szCs w:val="19"/>
              </w:rPr>
              <w:t xml:space="preserve">Tras la firma</w:t>
            </w:r>
          </w:p>
        </w:tc>
        <w:tc>
          <w:tcPr>
            <w:tcW w:type="dxa" w:w="4426"/>
            <w:shd w:fill="FFFFFF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Numeración FAC-año-número, IVA 21 %.</w:t>
            </w:r>
          </w:p>
        </w:tc>
      </w:tr>
      <w:tr>
        <w:tc>
          <w:tcPr>
            <w:tcW w:type="dxa" w:w="2300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B4B"/>
                <w:sz w:val="20"/>
                <w:szCs w:val="20"/>
              </w:rPr>
              <w:t xml:space="preserve">Certificado de Alta</w:t>
            </w:r>
          </w:p>
        </w:tc>
        <w:tc>
          <w:tcPr>
            <w:tcW w:type="dxa" w:w="2300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C4A55A"/>
                <w:sz w:val="19"/>
                <w:szCs w:val="19"/>
              </w:rPr>
              <w:t xml:space="preserve">En el alta</w:t>
            </w:r>
          </w:p>
        </w:tc>
        <w:tc>
          <w:tcPr>
            <w:tcW w:type="dxa" w:w="4426"/>
            <w:shd w:fill="FBF7EE" w:color="auto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Evidencia del resultado: KPI inicial → final y € recuperado si aplica.</w:t>
            </w:r>
          </w:p>
        </w:tc>
      </w:tr>
    </w:tbl>
    <w:p>
      <w:pPr>
        <w:pStyle w:val="Heading1"/>
        <w:pBdr>
          <w:bottom w:val="single" w:color="C4A55A" w:sz="14" w:space="6"/>
        </w:pBdr>
        <w:spacing w:after="130" w:before="340"/>
      </w:pPr>
      <w:r>
        <w:rPr>
          <w:rFonts w:ascii="Calibri" w:cs="Calibri" w:eastAsia="Calibri" w:hAnsi="Calibri"/>
          <w:b/>
          <w:bCs/>
          <w:color w:val="C4A55A"/>
          <w:sz w:val="30"/>
          <w:szCs w:val="30"/>
        </w:rPr>
        <w:t xml:space="preserve">9   </w:t>
      </w:r>
      <w:r>
        <w:rPr>
          <w:rFonts w:ascii="Calibri" w:cs="Calibri" w:eastAsia="Calibri" w:hAnsi="Calibri"/>
          <w:b/>
          <w:bCs/>
          <w:color w:val="1B2B4B"/>
          <w:sz w:val="29"/>
          <w:szCs w:val="29"/>
        </w:rPr>
        <w:t xml:space="preserve">Las herramientas operativas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El sistema incluye 197 herramientas operativas, una por cada acción posible del protocolo. Son el entregable tangible de cada intervención.</w:t>
      </w:r>
    </w:p>
    <w:p>
      <w:pPr>
        <w:spacing w:after="88" w:line="258"/>
        <w:ind w:left="240" w:hanging="200"/>
      </w:pPr>
      <w:r>
        <w:rPr>
          <w:rFonts w:ascii="Calibri" w:cs="Calibri" w:eastAsia="Calibri" w:hAnsi="Calibri"/>
          <w:b/>
          <w:bCs/>
          <w:color w:val="C4A55A"/>
          <w:sz w:val="20"/>
          <w:szCs w:val="20"/>
        </w:rPr>
        <w:t xml:space="preserve">▪ 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El ACI descarga la herramienta que corresponde a la decisión de C2 y la usa con el cliente en la sesión.</w:t>
      </w:r>
    </w:p>
    <w:p>
      <w:pPr>
        <w:spacing w:after="88" w:line="258"/>
        <w:ind w:left="240" w:hanging="200"/>
      </w:pPr>
      <w:r>
        <w:rPr>
          <w:rFonts w:ascii="Calibri" w:cs="Calibri" w:eastAsia="Calibri" w:hAnsi="Calibri"/>
          <w:b/>
          <w:bCs/>
          <w:color w:val="C4A55A"/>
          <w:sz w:val="20"/>
          <w:szCs w:val="20"/>
        </w:rPr>
        <w:t xml:space="preserve">▪ 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Cada herramienta es un archivo autocontenido con cálculo en tiempo real y semáforos de estado; el cliente la recibe editable.</w:t>
      </w:r>
    </w:p>
    <w:p>
      <w:pPr>
        <w:spacing w:after="88" w:line="258"/>
        <w:ind w:left="240" w:hanging="200"/>
      </w:pPr>
      <w:r>
        <w:rPr>
          <w:rFonts w:ascii="Calibri" w:cs="Calibri" w:eastAsia="Calibri" w:hAnsi="Calibri"/>
          <w:b/>
          <w:bCs/>
          <w:color w:val="C4A55A"/>
          <w:sz w:val="20"/>
          <w:szCs w:val="20"/>
        </w:rPr>
        <w:t xml:space="preserve">▪ 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La herramienta cumplimentada se adjunta al expediente clínico como evidencia para avanzar a la siguiente capa.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En la fase actual la descarga es manual; la fase siguiente las embebe en la plataforma y guarda los datos como evidencia automáticamente.</w:t>
      </w:r>
    </w:p>
    <w:p>
      <w:pPr>
        <w:spacing w:after="160"/>
      </w:pPr>
    </w:p>
    <w:p>
      <w:pPr>
        <w:pBdr>
          <w:top w:val="single" w:color="C4A55A" w:sz="12" w:space="10"/>
        </w:pBdr>
        <w:spacing w:after="40" w:before="16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B2B4B"/>
          <w:sz w:val="19"/>
          <w:szCs w:val="19"/>
        </w:rPr>
        <w:t xml:space="preserve">MASESORA · Manual Operativo MAS@FRAME® · v1 2026</w:t>
      </w:r>
    </w:p>
    <w:p>
      <w:pPr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B6B6B"/>
          <w:sz w:val="16"/>
          <w:szCs w:val="16"/>
        </w:rPr>
        <w:t xml:space="preserve">Documento de uso interno · Fuente de verdad: MASFRAME_PLAN_V12.5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5"/>
        <w:szCs w:val="15"/>
      </w:rPr>
      <w:t xml:space="preserve">Uso interno · MASESORA · </w:t>
    </w:r>
    <w:r>
      <w:rPr>
        <w:rFonts w:ascii="Calibri" w:cs="Calibri" w:eastAsia="Calibri" w:hAnsi="Calibri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8E8" w:sz="4" w:space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B6B6B"/>
        <w:sz w:val="15"/>
        <w:szCs w:val="15"/>
      </w:rPr>
      <w:t xml:space="preserve">Manual Operativo MOMA · MASESORA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Operativo MASFRAME (MOMA) v1 2026</dc:title>
  <dc:creator>MASESORA</dc:creator>
  <cp:lastModifiedBy>Un-named</cp:lastModifiedBy>
  <cp:revision>1</cp:revision>
  <dcterms:created xsi:type="dcterms:W3CDTF">2026-07-15T23:42:50.948Z</dcterms:created>
  <dcterms:modified xsi:type="dcterms:W3CDTF">2026-07-15T23:42:50.949Z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