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i w:val="false"/>
          <w:iCs w:val="false"/>
          <w:caps/>
          <w:color w:val="1B2B4B"/>
          <w:sz w:val="30"/>
          <w:szCs w:val="30"/>
        </w:rPr>
        <w:t xml:space="preserve">MASESORA</w:t>
      </w:r>
    </w:p>
    <w:p>
      <w:pPr>
        <w:pBdr>
          <w:bottom w:val="single" w:color="C4A55A" w:sz="12" w:space="8"/>
        </w:pBdr>
        <w:spacing w:after="40"/>
        <w:jc w:val="center"/>
      </w:pPr>
      <w:r>
        <w:rPr>
          <w:rFonts w:ascii="Calibri" w:cs="Calibri" w:eastAsia="Calibri" w:hAnsi="Calibri"/>
          <w:b/>
          <w:bCs/>
          <w:i w:val="false"/>
          <w:iCs w:val="false"/>
          <w:caps w:val="false"/>
          <w:color w:val="C4A55A"/>
          <w:sz w:val="18"/>
          <w:szCs w:val="18"/>
        </w:rPr>
        <w:t xml:space="preserve">L A   C L I N I C A   D E   E M P R E S A S</w:t>
      </w:r>
    </w:p>
    <w:p>
      <w:pPr>
        <w:spacing w:after="20" w:before="760"/>
        <w:jc w:val="center"/>
      </w:pPr>
      <w:r>
        <w:rPr>
          <w:rFonts w:ascii="Georgia" w:cs="Georgia" w:eastAsia="Georgia" w:hAnsi="Georgia"/>
          <w:b/>
          <w:bCs/>
          <w:i w:val="false"/>
          <w:iCs w:val="false"/>
          <w:caps w:val="false"/>
          <w:color w:val="1B2B4B"/>
          <w:sz w:val="52"/>
          <w:szCs w:val="52"/>
        </w:rPr>
        <w:t xml:space="preserve">PLAN DE EMPRESA</w:t>
      </w:r>
    </w:p>
    <w:p>
      <w:pPr>
        <w:spacing w:after="30"/>
        <w:jc w:val="center"/>
      </w:pPr>
      <w:r>
        <w:rPr>
          <w:rFonts w:ascii="Georgia" w:cs="Georgia" w:eastAsia="Georgia" w:hAnsi="Georgia"/>
          <w:b/>
          <w:bCs/>
          <w:i w:val="false"/>
          <w:iCs w:val="false"/>
          <w:caps w:val="false"/>
          <w:color w:val="C4A55A"/>
          <w:sz w:val="40"/>
          <w:szCs w:val="40"/>
        </w:rPr>
        <w:t xml:space="preserve">2026</w:t>
      </w:r>
    </w:p>
    <w:p>
      <w:pPr>
        <w:spacing w:after="0" w:before="60"/>
        <w:jc w:val="center"/>
      </w:pPr>
      <w:r>
        <w:rPr>
          <w:rFonts w:ascii="Calibri" w:cs="Calibri" w:eastAsia="Calibri" w:hAnsi="Calibri"/>
          <w:b w:val="false"/>
          <w:bCs w:val="false"/>
          <w:i/>
          <w:iCs/>
          <w:caps w:val="false"/>
          <w:color w:val="6B6B6B"/>
          <w:sz w:val="23"/>
          <w:szCs w:val="23"/>
        </w:rPr>
        <w:t xml:space="preserve">El sistema operativo clínico para pymes</w:t>
      </w:r>
    </w:p>
    <w:p>
      <w:pPr>
        <w:spacing w:after="0" w:before="1400"/>
        <w:jc w:val="center"/>
      </w:pPr>
      <w:r>
        <w:rPr>
          <w:rFonts w:ascii="Calibri" w:cs="Calibri" w:eastAsia="Calibri" w:hAnsi="Calibri"/>
          <w:b/>
          <w:bCs/>
          <w:i w:val="false"/>
          <w:iCs w:val="false"/>
          <w:caps w:val="false"/>
          <w:color w:val="1B2B4B"/>
          <w:sz w:val="18"/>
          <w:szCs w:val="18"/>
        </w:rPr>
        <w:t xml:space="preserve">Documento para socios e inversores</w:t>
      </w:r>
    </w:p>
    <w:p>
      <w:pPr>
        <w:spacing w:before="30"/>
        <w:jc w:val="center"/>
      </w:pPr>
      <w:r>
        <w:rPr>
          <w:rFonts w:ascii="Calibri" w:cs="Calibri" w:eastAsia="Calibri" w:hAnsi="Calibri"/>
          <w:b w:val="false"/>
          <w:bCs w:val="false"/>
          <w:i w:val="false"/>
          <w:iCs w:val="false"/>
          <w:caps w:val="false"/>
          <w:color w:val="6B6B6B"/>
          <w:sz w:val="16"/>
          <w:szCs w:val="16"/>
        </w:rPr>
        <w:t xml:space="preserve">Confidencial · Marina Baixa (Alicante)</w:t>
      </w:r>
    </w:p>
    <w:p>
      <w:pPr>
        <w:spacing w:before="60"/>
        <w:jc w:val="center"/>
      </w:pPr>
      <w:r>
        <w:rPr>
          <w:rFonts w:ascii="Calibri" w:cs="Calibri" w:eastAsia="Calibri" w:hAnsi="Calibri"/>
          <w:b/>
          <w:bCs/>
          <w:i w:val="false"/>
          <w:iCs w:val="false"/>
          <w:caps w:val="false"/>
          <w:color w:val="1B2B4B"/>
          <w:sz w:val="17"/>
          <w:szCs w:val="17"/>
        </w:rPr>
        <w:t xml:space="preserve">www.masesora.com   ·   info@masesora.com   ·   609 987 436</w:t>
      </w:r>
    </w:p>
    <w:p>
      <w:r>
        <w:br w:type="page"/>
      </w:r>
    </w:p>
    <w:p>
      <w:pPr>
        <w:spacing w:after="40" w:before="40"/>
      </w:pPr>
      <w:r>
        <w:rPr>
          <w:rFonts w:ascii="Calibri" w:cs="Calibri" w:eastAsia="Calibri" w:hAnsi="Calibri"/>
          <w:b/>
          <w:bCs/>
          <w:caps/>
          <w:color w:val="C4A55A"/>
          <w:sz w:val="17"/>
          <w:szCs w:val="17"/>
        </w:rPr>
        <w:t xml:space="preserve">Contenido</w:t>
      </w:r>
    </w:p>
    <w:p>
      <w:pPr>
        <w:pStyle w:val="Heading1"/>
        <w:pBdr>
          <w:bottom w:val="single" w:color="C4A55A" w:sz="14" w:space="6"/>
        </w:pBdr>
        <w:spacing w:after="130" w:before="340"/>
      </w:pPr>
      <w:r>
        <w:rPr>
          <w:sz w:val="1"/>
          <w:szCs w:val="1"/>
        </w:rPr>
        <w:t xml:space="preserve"/>
      </w:r>
      <w:r>
        <w:rPr>
          <w:rFonts w:ascii="Calibri" w:cs="Calibri" w:eastAsia="Calibri" w:hAnsi="Calibri"/>
          <w:b/>
          <w:bCs/>
          <w:color w:val="1B2B4B"/>
          <w:sz w:val="29"/>
          <w:szCs w:val="29"/>
        </w:rPr>
        <w:t xml:space="preserve">Índice del plan</w:t>
      </w:r>
    </w:p>
    <w:p>
      <w:pPr>
        <w:spacing w:after="70"/>
      </w:pPr>
      <w:r>
        <w:rPr>
          <w:rFonts w:ascii="Calibri" w:cs="Calibri" w:eastAsia="Calibri" w:hAnsi="Calibri"/>
          <w:b/>
          <w:bCs/>
          <w:i w:val="false"/>
          <w:iCs w:val="false"/>
          <w:caps w:val="false"/>
          <w:color w:val="C4A55A"/>
          <w:sz w:val="21"/>
          <w:szCs w:val="21"/>
        </w:rPr>
        <w:t xml:space="preserve">1.   </w:t>
      </w:r>
      <w:r>
        <w:rPr>
          <w:rFonts w:ascii="Calibri" w:cs="Calibri" w:eastAsia="Calibri" w:hAnsi="Calibri"/>
          <w:b w:val="false"/>
          <w:bCs w:val="false"/>
          <w:i w:val="false"/>
          <w:iCs w:val="false"/>
          <w:caps w:val="false"/>
          <w:color w:val="1B2B4B"/>
          <w:sz w:val="21"/>
          <w:szCs w:val="21"/>
        </w:rPr>
        <w:t xml:space="preserve">Resumen ejecutivo</w:t>
      </w:r>
    </w:p>
    <w:p>
      <w:pPr>
        <w:spacing w:after="70"/>
      </w:pPr>
      <w:r>
        <w:rPr>
          <w:rFonts w:ascii="Calibri" w:cs="Calibri" w:eastAsia="Calibri" w:hAnsi="Calibri"/>
          <w:b/>
          <w:bCs/>
          <w:i w:val="false"/>
          <w:iCs w:val="false"/>
          <w:caps w:val="false"/>
          <w:color w:val="C4A55A"/>
          <w:sz w:val="21"/>
          <w:szCs w:val="21"/>
        </w:rPr>
        <w:t xml:space="preserve">2.   </w:t>
      </w:r>
      <w:r>
        <w:rPr>
          <w:rFonts w:ascii="Calibri" w:cs="Calibri" w:eastAsia="Calibri" w:hAnsi="Calibri"/>
          <w:b w:val="false"/>
          <w:bCs w:val="false"/>
          <w:i w:val="false"/>
          <w:iCs w:val="false"/>
          <w:caps w:val="false"/>
          <w:color w:val="1B2B4B"/>
          <w:sz w:val="21"/>
          <w:szCs w:val="21"/>
        </w:rPr>
        <w:t xml:space="preserve">El problema</w:t>
      </w:r>
    </w:p>
    <w:p>
      <w:pPr>
        <w:spacing w:after="70"/>
      </w:pPr>
      <w:r>
        <w:rPr>
          <w:rFonts w:ascii="Calibri" w:cs="Calibri" w:eastAsia="Calibri" w:hAnsi="Calibri"/>
          <w:b/>
          <w:bCs/>
          <w:i w:val="false"/>
          <w:iCs w:val="false"/>
          <w:caps w:val="false"/>
          <w:color w:val="C4A55A"/>
          <w:sz w:val="21"/>
          <w:szCs w:val="21"/>
        </w:rPr>
        <w:t xml:space="preserve">3.   </w:t>
      </w:r>
      <w:r>
        <w:rPr>
          <w:rFonts w:ascii="Calibri" w:cs="Calibri" w:eastAsia="Calibri" w:hAnsi="Calibri"/>
          <w:b w:val="false"/>
          <w:bCs w:val="false"/>
          <w:i w:val="false"/>
          <w:iCs w:val="false"/>
          <w:caps w:val="false"/>
          <w:color w:val="1B2B4B"/>
          <w:sz w:val="21"/>
          <w:szCs w:val="21"/>
        </w:rPr>
        <w:t xml:space="preserve">La solución — MAS@FRAME®</w:t>
      </w:r>
    </w:p>
    <w:p>
      <w:pPr>
        <w:spacing w:after="70"/>
      </w:pPr>
      <w:r>
        <w:rPr>
          <w:rFonts w:ascii="Calibri" w:cs="Calibri" w:eastAsia="Calibri" w:hAnsi="Calibri"/>
          <w:b/>
          <w:bCs/>
          <w:i w:val="false"/>
          <w:iCs w:val="false"/>
          <w:caps w:val="false"/>
          <w:color w:val="C4A55A"/>
          <w:sz w:val="21"/>
          <w:szCs w:val="21"/>
        </w:rPr>
        <w:t xml:space="preserve">4.   </w:t>
      </w:r>
      <w:r>
        <w:rPr>
          <w:rFonts w:ascii="Calibri" w:cs="Calibri" w:eastAsia="Calibri" w:hAnsi="Calibri"/>
          <w:b w:val="false"/>
          <w:bCs w:val="false"/>
          <w:i w:val="false"/>
          <w:iCs w:val="false"/>
          <w:caps w:val="false"/>
          <w:color w:val="1B2B4B"/>
          <w:sz w:val="21"/>
          <w:szCs w:val="21"/>
        </w:rPr>
        <w:t xml:space="preserve">El producto: la cartera clínica</w:t>
      </w:r>
    </w:p>
    <w:p>
      <w:pPr>
        <w:spacing w:after="70"/>
      </w:pPr>
      <w:r>
        <w:rPr>
          <w:rFonts w:ascii="Calibri" w:cs="Calibri" w:eastAsia="Calibri" w:hAnsi="Calibri"/>
          <w:b/>
          <w:bCs/>
          <w:i w:val="false"/>
          <w:iCs w:val="false"/>
          <w:caps w:val="false"/>
          <w:color w:val="C4A55A"/>
          <w:sz w:val="21"/>
          <w:szCs w:val="21"/>
        </w:rPr>
        <w:t xml:space="preserve">5.   </w:t>
      </w:r>
      <w:r>
        <w:rPr>
          <w:rFonts w:ascii="Calibri" w:cs="Calibri" w:eastAsia="Calibri" w:hAnsi="Calibri"/>
          <w:b w:val="false"/>
          <w:bCs w:val="false"/>
          <w:i w:val="false"/>
          <w:iCs w:val="false"/>
          <w:caps w:val="false"/>
          <w:color w:val="1B2B4B"/>
          <w:sz w:val="21"/>
          <w:szCs w:val="21"/>
        </w:rPr>
        <w:t xml:space="preserve">Modelo de negocio</w:t>
      </w:r>
    </w:p>
    <w:p>
      <w:pPr>
        <w:spacing w:after="70"/>
      </w:pPr>
      <w:r>
        <w:rPr>
          <w:rFonts w:ascii="Calibri" w:cs="Calibri" w:eastAsia="Calibri" w:hAnsi="Calibri"/>
          <w:b/>
          <w:bCs/>
          <w:i w:val="false"/>
          <w:iCs w:val="false"/>
          <w:caps w:val="false"/>
          <w:color w:val="C4A55A"/>
          <w:sz w:val="21"/>
          <w:szCs w:val="21"/>
        </w:rPr>
        <w:t xml:space="preserve">6.   </w:t>
      </w:r>
      <w:r>
        <w:rPr>
          <w:rFonts w:ascii="Calibri" w:cs="Calibri" w:eastAsia="Calibri" w:hAnsi="Calibri"/>
          <w:b w:val="false"/>
          <w:bCs w:val="false"/>
          <w:i w:val="false"/>
          <w:iCs w:val="false"/>
          <w:caps w:val="false"/>
          <w:color w:val="1B2B4B"/>
          <w:sz w:val="21"/>
          <w:szCs w:val="21"/>
        </w:rPr>
        <w:t xml:space="preserve">Mercado y oportunidad</w:t>
      </w:r>
    </w:p>
    <w:p>
      <w:pPr>
        <w:spacing w:after="70"/>
      </w:pPr>
      <w:r>
        <w:rPr>
          <w:rFonts w:ascii="Calibri" w:cs="Calibri" w:eastAsia="Calibri" w:hAnsi="Calibri"/>
          <w:b/>
          <w:bCs/>
          <w:i w:val="false"/>
          <w:iCs w:val="false"/>
          <w:caps w:val="false"/>
          <w:color w:val="C4A55A"/>
          <w:sz w:val="21"/>
          <w:szCs w:val="21"/>
        </w:rPr>
        <w:t xml:space="preserve">7.   </w:t>
      </w:r>
      <w:r>
        <w:rPr>
          <w:rFonts w:ascii="Calibri" w:cs="Calibri" w:eastAsia="Calibri" w:hAnsi="Calibri"/>
          <w:b w:val="false"/>
          <w:bCs w:val="false"/>
          <w:i w:val="false"/>
          <w:iCs w:val="false"/>
          <w:caps w:val="false"/>
          <w:color w:val="1B2B4B"/>
          <w:sz w:val="21"/>
          <w:szCs w:val="21"/>
        </w:rPr>
        <w:t xml:space="preserve">Estrategia comercial</w:t>
      </w:r>
    </w:p>
    <w:p>
      <w:pPr>
        <w:spacing w:after="70"/>
      </w:pPr>
      <w:r>
        <w:rPr>
          <w:rFonts w:ascii="Calibri" w:cs="Calibri" w:eastAsia="Calibri" w:hAnsi="Calibri"/>
          <w:b/>
          <w:bCs/>
          <w:i w:val="false"/>
          <w:iCs w:val="false"/>
          <w:caps w:val="false"/>
          <w:color w:val="C4A55A"/>
          <w:sz w:val="21"/>
          <w:szCs w:val="21"/>
        </w:rPr>
        <w:t xml:space="preserve">8.   </w:t>
      </w:r>
      <w:r>
        <w:rPr>
          <w:rFonts w:ascii="Calibri" w:cs="Calibri" w:eastAsia="Calibri" w:hAnsi="Calibri"/>
          <w:b w:val="false"/>
          <w:bCs w:val="false"/>
          <w:i w:val="false"/>
          <w:iCs w:val="false"/>
          <w:caps w:val="false"/>
          <w:color w:val="1B2B4B"/>
          <w:sz w:val="21"/>
          <w:szCs w:val="21"/>
        </w:rPr>
        <w:t xml:space="preserve">El motor de escala: SaaS, franquicia y comunidad</w:t>
      </w:r>
    </w:p>
    <w:p>
      <w:pPr>
        <w:spacing w:after="70"/>
      </w:pPr>
      <w:r>
        <w:rPr>
          <w:rFonts w:ascii="Calibri" w:cs="Calibri" w:eastAsia="Calibri" w:hAnsi="Calibri"/>
          <w:b/>
          <w:bCs/>
          <w:i w:val="false"/>
          <w:iCs w:val="false"/>
          <w:caps w:val="false"/>
          <w:color w:val="C4A55A"/>
          <w:sz w:val="21"/>
          <w:szCs w:val="21"/>
        </w:rPr>
        <w:t xml:space="preserve">9.   </w:t>
      </w:r>
      <w:r>
        <w:rPr>
          <w:rFonts w:ascii="Calibri" w:cs="Calibri" w:eastAsia="Calibri" w:hAnsi="Calibri"/>
          <w:b w:val="false"/>
          <w:bCs w:val="false"/>
          <w:i w:val="false"/>
          <w:iCs w:val="false"/>
          <w:caps w:val="false"/>
          <w:color w:val="1B2B4B"/>
          <w:sz w:val="21"/>
          <w:szCs w:val="21"/>
        </w:rPr>
        <w:t xml:space="preserve">Tracción y estado en 2026</w:t>
      </w:r>
    </w:p>
    <w:p>
      <w:pPr>
        <w:spacing w:after="70"/>
      </w:pPr>
      <w:r>
        <w:rPr>
          <w:rFonts w:ascii="Calibri" w:cs="Calibri" w:eastAsia="Calibri" w:hAnsi="Calibri"/>
          <w:b/>
          <w:bCs/>
          <w:i w:val="false"/>
          <w:iCs w:val="false"/>
          <w:caps w:val="false"/>
          <w:color w:val="C4A55A"/>
          <w:sz w:val="21"/>
          <w:szCs w:val="21"/>
        </w:rPr>
        <w:t xml:space="preserve">10.   </w:t>
      </w:r>
      <w:r>
        <w:rPr>
          <w:rFonts w:ascii="Calibri" w:cs="Calibri" w:eastAsia="Calibri" w:hAnsi="Calibri"/>
          <w:b w:val="false"/>
          <w:bCs w:val="false"/>
          <w:i w:val="false"/>
          <w:iCs w:val="false"/>
          <w:caps w:val="false"/>
          <w:color w:val="1B2B4B"/>
          <w:sz w:val="21"/>
          <w:szCs w:val="21"/>
        </w:rPr>
        <w:t xml:space="preserve">Equipo</w:t>
      </w:r>
    </w:p>
    <w:p>
      <w:pPr>
        <w:spacing w:after="70"/>
      </w:pPr>
      <w:r>
        <w:rPr>
          <w:rFonts w:ascii="Calibri" w:cs="Calibri" w:eastAsia="Calibri" w:hAnsi="Calibri"/>
          <w:b/>
          <w:bCs/>
          <w:i w:val="false"/>
          <w:iCs w:val="false"/>
          <w:caps w:val="false"/>
          <w:color w:val="C4A55A"/>
          <w:sz w:val="21"/>
          <w:szCs w:val="21"/>
        </w:rPr>
        <w:t xml:space="preserve">11.   </w:t>
      </w:r>
      <w:r>
        <w:rPr>
          <w:rFonts w:ascii="Calibri" w:cs="Calibri" w:eastAsia="Calibri" w:hAnsi="Calibri"/>
          <w:b w:val="false"/>
          <w:bCs w:val="false"/>
          <w:i w:val="false"/>
          <w:iCs w:val="false"/>
          <w:caps w:val="false"/>
          <w:color w:val="1B2B4B"/>
          <w:sz w:val="21"/>
          <w:szCs w:val="21"/>
        </w:rPr>
        <w:t xml:space="preserve">Plan financiero</w:t>
      </w:r>
    </w:p>
    <w:p>
      <w:pPr>
        <w:spacing w:after="70"/>
      </w:pPr>
      <w:r>
        <w:rPr>
          <w:rFonts w:ascii="Calibri" w:cs="Calibri" w:eastAsia="Calibri" w:hAnsi="Calibri"/>
          <w:b/>
          <w:bCs/>
          <w:i w:val="false"/>
          <w:iCs w:val="false"/>
          <w:caps w:val="false"/>
          <w:color w:val="C4A55A"/>
          <w:sz w:val="21"/>
          <w:szCs w:val="21"/>
        </w:rPr>
        <w:t xml:space="preserve">12.   </w:t>
      </w:r>
      <w:r>
        <w:rPr>
          <w:rFonts w:ascii="Calibri" w:cs="Calibri" w:eastAsia="Calibri" w:hAnsi="Calibri"/>
          <w:b w:val="false"/>
          <w:bCs w:val="false"/>
          <w:i w:val="false"/>
          <w:iCs w:val="false"/>
          <w:caps w:val="false"/>
          <w:color w:val="1B2B4B"/>
          <w:sz w:val="21"/>
          <w:szCs w:val="21"/>
        </w:rPr>
        <w:t xml:space="preserve">Roadmap 2026–2028</w:t>
      </w:r>
    </w:p>
    <w:p>
      <w:pPr>
        <w:spacing w:after="70"/>
      </w:pPr>
      <w:r>
        <w:rPr>
          <w:rFonts w:ascii="Calibri" w:cs="Calibri" w:eastAsia="Calibri" w:hAnsi="Calibri"/>
          <w:b/>
          <w:bCs/>
          <w:i w:val="false"/>
          <w:iCs w:val="false"/>
          <w:caps w:val="false"/>
          <w:color w:val="C4A55A"/>
          <w:sz w:val="21"/>
          <w:szCs w:val="21"/>
        </w:rPr>
        <w:t xml:space="preserve">13.   </w:t>
      </w:r>
      <w:r>
        <w:rPr>
          <w:rFonts w:ascii="Calibri" w:cs="Calibri" w:eastAsia="Calibri" w:hAnsi="Calibri"/>
          <w:b w:val="false"/>
          <w:bCs w:val="false"/>
          <w:i w:val="false"/>
          <w:iCs w:val="false"/>
          <w:caps w:val="false"/>
          <w:color w:val="1B2B4B"/>
          <w:sz w:val="21"/>
          <w:szCs w:val="21"/>
        </w:rPr>
        <w:t xml:space="preserve">La oportunidad para el socio y el inversor</w:t>
      </w:r>
    </w:p>
    <w:p>
      <w:r>
        <w:br w:type="page"/>
      </w:r>
    </w:p>
    <w:p>
      <w:pPr>
        <w:spacing w:after="40" w:before="40"/>
      </w:pPr>
      <w:r>
        <w:rPr>
          <w:rFonts w:ascii="Calibri" w:cs="Calibri" w:eastAsia="Calibri" w:hAnsi="Calibri"/>
          <w:b/>
          <w:bCs/>
          <w:caps/>
          <w:color w:val="C4A55A"/>
          <w:sz w:val="17"/>
          <w:szCs w:val="17"/>
        </w:rPr>
        <w:t xml:space="preserve">01</w:t>
      </w:r>
    </w:p>
    <w:p>
      <w:pPr>
        <w:pStyle w:val="Heading1"/>
        <w:pBdr>
          <w:bottom w:val="single" w:color="C4A55A" w:sz="14" w:space="6"/>
        </w:pBdr>
        <w:spacing w:after="130" w:before="340"/>
      </w:pPr>
      <w:r>
        <w:rPr>
          <w:rFonts w:ascii="Calibri" w:cs="Calibri" w:eastAsia="Calibri" w:hAnsi="Calibri"/>
          <w:b/>
          <w:bCs/>
          <w:color w:val="C4A55A"/>
          <w:sz w:val="30"/>
          <w:szCs w:val="30"/>
        </w:rPr>
        <w:t xml:space="preserve">1   </w:t>
      </w:r>
      <w:r>
        <w:rPr>
          <w:rFonts w:ascii="Calibri" w:cs="Calibri" w:eastAsia="Calibri" w:hAnsi="Calibri"/>
          <w:b/>
          <w:bCs/>
          <w:color w:val="1B2B4B"/>
          <w:sz w:val="29"/>
          <w:szCs w:val="29"/>
        </w:rPr>
        <w:t xml:space="preserve">Resumen ejecutivo</w:t>
      </w:r>
    </w:p>
    <w:p>
      <w:pPr>
        <w:spacing w:after="120" w:before="0" w:line="264"/>
      </w:pPr>
      <w:r>
        <w:rPr>
          <w:rFonts w:ascii="Calibri" w:cs="Calibri" w:eastAsia="Calibri" w:hAnsi="Calibri"/>
          <w:b w:val="false"/>
          <w:bCs w:val="false"/>
          <w:i w:val="false"/>
          <w:iCs w:val="false"/>
          <w:caps w:val="false"/>
          <w:color w:val="222222"/>
          <w:sz w:val="21"/>
          <w:szCs w:val="21"/>
        </w:rPr>
        <w:t xml:space="preserve">Masesora es </w:t>
      </w:r>
      <w:r>
        <w:rPr>
          <w:rFonts w:ascii="Calibri" w:cs="Calibri" w:eastAsia="Calibri" w:hAnsi="Calibri"/>
          <w:b/>
          <w:bCs/>
          <w:i w:val="false"/>
          <w:iCs w:val="false"/>
          <w:caps w:val="false"/>
          <w:color w:val="1B2B4B"/>
          <w:sz w:val="21"/>
          <w:szCs w:val="21"/>
        </w:rPr>
        <w:t xml:space="preserve">la Clínica de Empresas</w:t>
      </w:r>
      <w:r>
        <w:rPr>
          <w:rFonts w:ascii="Calibri" w:cs="Calibri" w:eastAsia="Calibri" w:hAnsi="Calibri"/>
          <w:b w:val="false"/>
          <w:bCs w:val="false"/>
          <w:i w:val="false"/>
          <w:iCs w:val="false"/>
          <w:caps w:val="false"/>
          <w:color w:val="222222"/>
          <w:sz w:val="21"/>
          <w:szCs w:val="21"/>
        </w:rPr>
        <w:t xml:space="preserve">: una consultora que no vende horas, sino resultados medibles. Trata a la empresa como un organismo vivo — diagnostica sus síntomas, los interviene con un protocolo clínico estructurado y certifica el alta cuando el KPI mejora. Su motor es </w:t>
      </w:r>
      <w:r>
        <w:rPr>
          <w:rFonts w:ascii="Calibri" w:cs="Calibri" w:eastAsia="Calibri" w:hAnsi="Calibri"/>
          <w:b/>
          <w:bCs/>
          <w:i w:val="false"/>
          <w:iCs w:val="false"/>
          <w:caps w:val="false"/>
          <w:color w:val="1B2B4B"/>
          <w:sz w:val="21"/>
          <w:szCs w:val="21"/>
        </w:rPr>
        <w:t xml:space="preserve">MAS@FRAME®</w:t>
      </w:r>
      <w:r>
        <w:rPr>
          <w:rFonts w:ascii="Calibri" w:cs="Calibri" w:eastAsia="Calibri" w:hAnsi="Calibri"/>
          <w:b w:val="false"/>
          <w:bCs w:val="false"/>
          <w:i w:val="false"/>
          <w:iCs w:val="false"/>
          <w:caps w:val="false"/>
          <w:color w:val="222222"/>
          <w:sz w:val="21"/>
          <w:szCs w:val="21"/>
        </w:rPr>
        <w:t xml:space="preserve">, el primer sistema operativo clínico de intervención empresarial: 10 especialidades, 30 síntomas, un protocolo de 7 capas y 197 herramientas operativas, todo dentro de una plataforma que ya funciona de extremo a extremo.</w:t>
      </w:r>
    </w:p>
    <w:p>
      <w:pPr>
        <w:spacing w:after="120" w:before="0" w:line="264"/>
      </w:pPr>
      <w:r>
        <w:rPr>
          <w:rFonts w:ascii="Calibri" w:cs="Calibri" w:eastAsia="Calibri" w:hAnsi="Calibri"/>
          <w:b w:val="false"/>
          <w:bCs w:val="false"/>
          <w:i w:val="false"/>
          <w:iCs w:val="false"/>
          <w:caps w:val="false"/>
          <w:color w:val="222222"/>
          <w:sz w:val="21"/>
          <w:szCs w:val="21"/>
        </w:rPr>
        <w:t xml:space="preserve">Nace y se valida en la Marina Baixa (Alicante), un mercado de más de 5.000 pymes mal atendidas por asesorías sin capacidad operativa real. Desde esa base local, el modelo escala por tres palancas: la plataforma como SaaS, la franquicia y certificación de consultores, y una comunidad de marca.</w:t>
      </w:r>
    </w:p>
    <w:p>
      <w:pPr>
        <w:spacing w:after="120" w:before="0" w:line="264"/>
      </w:pPr>
      <w:r>
        <w:rPr>
          <w:rFonts w:ascii="Calibri" w:cs="Calibri" w:eastAsia="Calibri" w:hAnsi="Calibri"/>
          <w:b w:val="false"/>
          <w:bCs w:val="false"/>
          <w:i w:val="false"/>
          <w:iCs w:val="false"/>
          <w:caps w:val="false"/>
          <w:color w:val="222222"/>
          <w:sz w:val="21"/>
          <w:szCs w:val="21"/>
        </w:rPr>
        <w:t xml:space="preserve">Con método propio, servicios definidos y plataforma lista, Masesora busca ahora </w:t>
      </w:r>
      <w:r>
        <w:rPr>
          <w:rFonts w:ascii="Calibri" w:cs="Calibri" w:eastAsia="Calibri" w:hAnsi="Calibri"/>
          <w:b/>
          <w:bCs/>
          <w:i w:val="false"/>
          <w:iCs w:val="false"/>
          <w:caps w:val="false"/>
          <w:color w:val="1B2B4B"/>
          <w:sz w:val="21"/>
          <w:szCs w:val="21"/>
        </w:rPr>
        <w:t xml:space="preserve">una socia o socio estratégico con perfil comercial y el capital para acelerar</w:t>
      </w:r>
      <w:r>
        <w:rPr>
          <w:rFonts w:ascii="Calibri" w:cs="Calibri" w:eastAsia="Calibri" w:hAnsi="Calibri"/>
          <w:b w:val="false"/>
          <w:bCs w:val="false"/>
          <w:i w:val="false"/>
          <w:iCs w:val="false"/>
          <w:caps w:val="false"/>
          <w:color w:val="222222"/>
          <w:sz w:val="21"/>
          <w:szCs w:val="21"/>
        </w:rPr>
        <w:t xml:space="preserve"> la validación local y el salto a SaaS y franquicia.</w:t>
      </w:r>
    </w:p>
    <w:p>
      <w:pPr>
        <w:pStyle w:val="Heading2"/>
        <w:spacing w:after="90" w:before="220"/>
      </w:pPr>
      <w:r>
        <w:rPr>
          <w:rFonts w:ascii="Calibri" w:cs="Calibri" w:eastAsia="Calibri" w:hAnsi="Calibri"/>
          <w:b/>
          <w:bCs/>
          <w:color w:val="1B2B4B"/>
          <w:sz w:val="23"/>
          <w:szCs w:val="23"/>
        </w:rPr>
        <w:t xml:space="preserve">De un vistazo</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2100"/>
        <w:gridCol w:w="6926"/>
      </w:tblGrid>
      <w:tr>
        <w:tc>
          <w:tcPr>
            <w:tcW w:type="dxa" w:w="2100"/>
            <w:shd w:fill="F1EFF7"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Qué es</w:t>
            </w:r>
          </w:p>
        </w:tc>
        <w:tc>
          <w:tcPr>
            <w:tcW w:type="dxa" w:w="69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La Clínica de Empresas: consultoría clínica que cobra por resultado, no por horas.</w:t>
            </w:r>
          </w:p>
        </w:tc>
      </w:tr>
      <w:tr>
        <w:tc>
          <w:tcPr>
            <w:tcW w:type="dxa" w:w="2100"/>
            <w:shd w:fill="F1EFF7"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Producto</w:t>
            </w:r>
          </w:p>
        </w:tc>
        <w:tc>
          <w:tcPr>
            <w:tcW w:type="dxa" w:w="69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MAS@FRAME® — 10 especialidades, 30 síntomas, protocolo C0–C6, 197 herramientas, alta certificada.</w:t>
            </w:r>
          </w:p>
        </w:tc>
      </w:tr>
      <w:tr>
        <w:tc>
          <w:tcPr>
            <w:tcW w:type="dxa" w:w="2100"/>
            <w:shd w:fill="F1EFF7"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Mercado</w:t>
            </w:r>
          </w:p>
        </w:tc>
        <w:tc>
          <w:tcPr>
            <w:tcW w:type="dxa" w:w="69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Base en la Marina Baixa (+5.000 pymes); escala nacional vía SaaS y franquicia.</w:t>
            </w:r>
          </w:p>
        </w:tc>
      </w:tr>
      <w:tr>
        <w:tc>
          <w:tcPr>
            <w:tcW w:type="dxa" w:w="2100"/>
            <w:shd w:fill="F1EFF7"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Ingresos</w:t>
            </w:r>
          </w:p>
        </w:tc>
        <w:tc>
          <w:tcPr>
            <w:tcW w:type="dxa" w:w="69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Planes PRE/PAE/PIE, síntoma suelto (99 €), ciclos clínicos, suscripción SaaS y royalties de franquicia.</w:t>
            </w:r>
          </w:p>
        </w:tc>
      </w:tr>
      <w:tr>
        <w:tc>
          <w:tcPr>
            <w:tcW w:type="dxa" w:w="2100"/>
            <w:shd w:fill="F1EFF7"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Estado</w:t>
            </w:r>
          </w:p>
        </w:tc>
        <w:tc>
          <w:tcPr>
            <w:tcW w:type="dxa" w:w="69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Plataforma funcional; 30 síntomas auditados y listos para beta; 197 herramientas generadas.</w:t>
            </w:r>
          </w:p>
        </w:tc>
      </w:tr>
      <w:tr>
        <w:tc>
          <w:tcPr>
            <w:tcW w:type="dxa" w:w="2100"/>
            <w:shd w:fill="F1EFF7"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Se busca</w:t>
            </w:r>
          </w:p>
        </w:tc>
        <w:tc>
          <w:tcPr>
            <w:tcW w:type="dxa" w:w="69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Socia/socio comercial + capital de arranque para SaaS y primeras franquicias.</w:t>
            </w:r>
          </w:p>
        </w:tc>
      </w:tr>
    </w:tbl>
    <w:p>
      <w:pPr>
        <w:pStyle w:val="Heading1"/>
        <w:pBdr>
          <w:bottom w:val="single" w:color="C4A55A" w:sz="14" w:space="6"/>
        </w:pBdr>
        <w:spacing w:after="130" w:before="340"/>
      </w:pPr>
      <w:r>
        <w:rPr>
          <w:rFonts w:ascii="Calibri" w:cs="Calibri" w:eastAsia="Calibri" w:hAnsi="Calibri"/>
          <w:b/>
          <w:bCs/>
          <w:color w:val="C4A55A"/>
          <w:sz w:val="30"/>
          <w:szCs w:val="30"/>
        </w:rPr>
        <w:t xml:space="preserve">2   </w:t>
      </w:r>
      <w:r>
        <w:rPr>
          <w:rFonts w:ascii="Calibri" w:cs="Calibri" w:eastAsia="Calibri" w:hAnsi="Calibri"/>
          <w:b/>
          <w:bCs/>
          <w:color w:val="1B2B4B"/>
          <w:sz w:val="29"/>
          <w:szCs w:val="29"/>
        </w:rPr>
        <w:t xml:space="preserve">El problema</w:t>
      </w:r>
    </w:p>
    <w:p>
      <w:pPr>
        <w:spacing w:after="120" w:before="0" w:line="264"/>
      </w:pPr>
      <w:r>
        <w:rPr>
          <w:rFonts w:ascii="Calibri" w:cs="Calibri" w:eastAsia="Calibri" w:hAnsi="Calibri"/>
          <w:b w:val="false"/>
          <w:bCs w:val="false"/>
          <w:i w:val="false"/>
          <w:iCs w:val="false"/>
          <w:caps w:val="false"/>
          <w:color w:val="222222"/>
          <w:sz w:val="21"/>
          <w:szCs w:val="21"/>
        </w:rPr>
        <w:t xml:space="preserve">Las pymes en crecimiento se enfrentan casi siempre al mismo cuadro clínico: caos interno, pérdida de control y baja rentabilidad. No fallan por falta de esfuerzo, sino por enfermedades de estructura.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Están saturadas y sin tiempo: el dueño apaga fuegos y no dirige. Los procesos, roles y decisiones se improvisan.</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Trabajan con métodos poco profesionalizados, y el relevo generacional y la escasez de recursos humanos agravan la situación.</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Pierden dinero de forma invisible: desperdicio, productos lastre, fugas de margen, tiempo improductivo, talento que se va.</w:t>
      </w:r>
    </w:p>
    <w:p>
      <w:pPr>
        <w:spacing w:after="120" w:before="0" w:line="264"/>
      </w:pPr>
      <w:r>
        <w:rPr>
          <w:rFonts w:ascii="Calibri" w:cs="Calibri" w:eastAsia="Calibri" w:hAnsi="Calibri"/>
          <w:b w:val="false"/>
          <w:bCs w:val="false"/>
          <w:i w:val="false"/>
          <w:iCs w:val="false"/>
          <w:caps w:val="false"/>
          <w:color w:val="222222"/>
          <w:sz w:val="21"/>
          <w:szCs w:val="21"/>
        </w:rPr>
        <w:t xml:space="preserve">La competencia — asesorías fiscales y consultores tradicionales — </w:t>
      </w:r>
      <w:r>
        <w:rPr>
          <w:rFonts w:ascii="Calibri" w:cs="Calibri" w:eastAsia="Calibri" w:hAnsi="Calibri"/>
          <w:b/>
          <w:bCs/>
          <w:i w:val="false"/>
          <w:iCs w:val="false"/>
          <w:caps w:val="false"/>
          <w:color w:val="1B2B4B"/>
          <w:sz w:val="21"/>
          <w:szCs w:val="21"/>
        </w:rPr>
        <w:t xml:space="preserve">factura horas, entrega informes genéricos y no garantiza nada</w:t>
      </w:r>
      <w:r>
        <w:rPr>
          <w:rFonts w:ascii="Calibri" w:cs="Calibri" w:eastAsia="Calibri" w:hAnsi="Calibri"/>
          <w:b w:val="false"/>
          <w:bCs w:val="false"/>
          <w:i w:val="false"/>
          <w:iCs w:val="false"/>
          <w:caps w:val="false"/>
          <w:color w:val="222222"/>
          <w:sz w:val="21"/>
          <w:szCs w:val="21"/>
        </w:rPr>
        <w:t xml:space="preserve">. Ven el caos del cliente pero no tienen capacidad operativa para resolverlo. Ese hueco es la oportunidad de Masesora.</w:t>
      </w:r>
    </w:p>
    <w:p>
      <w:pPr>
        <w:pStyle w:val="Heading1"/>
        <w:pBdr>
          <w:bottom w:val="single" w:color="C4A55A" w:sz="14" w:space="6"/>
        </w:pBdr>
        <w:spacing w:after="130" w:before="340"/>
      </w:pPr>
      <w:r>
        <w:rPr>
          <w:rFonts w:ascii="Calibri" w:cs="Calibri" w:eastAsia="Calibri" w:hAnsi="Calibri"/>
          <w:b/>
          <w:bCs/>
          <w:color w:val="C4A55A"/>
          <w:sz w:val="30"/>
          <w:szCs w:val="30"/>
        </w:rPr>
        <w:t xml:space="preserve">3   </w:t>
      </w:r>
      <w:r>
        <w:rPr>
          <w:rFonts w:ascii="Calibri" w:cs="Calibri" w:eastAsia="Calibri" w:hAnsi="Calibri"/>
          <w:b/>
          <w:bCs/>
          <w:color w:val="1B2B4B"/>
          <w:sz w:val="29"/>
          <w:szCs w:val="29"/>
        </w:rPr>
        <w:t xml:space="preserve">La solución — MAS@FRAME®</w:t>
      </w:r>
    </w:p>
    <w:p>
      <w:pPr>
        <w:spacing w:after="120" w:before="0" w:line="264"/>
      </w:pPr>
      <w:r>
        <w:rPr>
          <w:rFonts w:ascii="Calibri" w:cs="Calibri" w:eastAsia="Calibri" w:hAnsi="Calibri"/>
          <w:b w:val="false"/>
          <w:bCs w:val="false"/>
          <w:i w:val="false"/>
          <w:iCs w:val="false"/>
          <w:caps w:val="false"/>
          <w:color w:val="222222"/>
          <w:sz w:val="21"/>
          <w:szCs w:val="21"/>
        </w:rPr>
        <w:t xml:space="preserve">MAS@FRAME® es el primer </w:t>
      </w:r>
      <w:r>
        <w:rPr>
          <w:rFonts w:ascii="Calibri" w:cs="Calibri" w:eastAsia="Calibri" w:hAnsi="Calibri"/>
          <w:b/>
          <w:bCs/>
          <w:i w:val="false"/>
          <w:iCs w:val="false"/>
          <w:caps w:val="false"/>
          <w:color w:val="1B2B4B"/>
          <w:sz w:val="21"/>
          <w:szCs w:val="21"/>
        </w:rPr>
        <w:t xml:space="preserve">sistema operativo clínico de intervención empresarial</w:t>
      </w:r>
      <w:r>
        <w:rPr>
          <w:rFonts w:ascii="Calibri" w:cs="Calibri" w:eastAsia="Calibri" w:hAnsi="Calibri"/>
          <w:b w:val="false"/>
          <w:bCs w:val="false"/>
          <w:i w:val="false"/>
          <w:iCs w:val="false"/>
          <w:caps w:val="false"/>
          <w:color w:val="222222"/>
          <w:sz w:val="21"/>
          <w:szCs w:val="21"/>
        </w:rPr>
        <w:t xml:space="preserve">. No es consultoría al uso, ni talleres, ni informes: es un protocolo clínico encapsulado en software, con roles, flujos, capas, decisiones, evidencias y alta certificada. El valor no está en las horas — está en el protocolo, y el protocolo ya está dentro del sistema.</w:t>
      </w:r>
    </w:p>
    <w:p>
      <w:pPr>
        <w:pBdr>
          <w:left w:val="single" w:color="C4A55A" w:sz="18" w:space="10"/>
        </w:pBdr>
        <w:shd w:fill="F1EFF7" w:color="auto" w:val="clear"/>
        <w:spacing w:after="120" w:before="120"/>
      </w:pPr>
      <w:r>
        <w:rPr>
          <w:rFonts w:ascii="Calibri" w:cs="Calibri" w:eastAsia="Calibri" w:hAnsi="Calibri"/>
          <w:b w:val="false"/>
          <w:bCs w:val="false"/>
          <w:i/>
          <w:iCs/>
          <w:caps w:val="false"/>
          <w:color w:val="1B2B4B"/>
          <w:sz w:val="22"/>
          <w:szCs w:val="22"/>
        </w:rPr>
        <w:t xml:space="preserve">“Tu empresa no está enferma, pero sí tiene síntomas. Los diagnosticamos, los tratamos con protocolo estructurado y certificamos el alta cuando el problema está resuelto. Real. Documentado. Tuyo.</w:t>
      </w:r>
    </w:p>
    <w:p>
      <w:pPr>
        <w:pStyle w:val="Heading2"/>
        <w:spacing w:after="90" w:before="220"/>
      </w:pPr>
      <w:r>
        <w:rPr>
          <w:rFonts w:ascii="Calibri" w:cs="Calibri" w:eastAsia="Calibri" w:hAnsi="Calibri"/>
          <w:b/>
          <w:bCs/>
          <w:color w:val="1B2B4B"/>
          <w:sz w:val="23"/>
          <w:szCs w:val="23"/>
        </w:rPr>
        <w:t xml:space="preserve">Cómo se diferencia</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4513"/>
        <w:gridCol w:w="4513"/>
      </w:tblGrid>
      <w:tr>
        <w:trPr>
          <w:tblHeader/>
        </w:trPr>
        <w:tc>
          <w:tcPr>
            <w:tcW w:type="dxa" w:w="4513"/>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Consultoría tradicional</w:t>
            </w:r>
          </w:p>
        </w:tc>
        <w:tc>
          <w:tcPr>
            <w:tcW w:type="dxa" w:w="4513"/>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MAS@FRAME®</w:t>
            </w:r>
          </w:p>
        </w:tc>
      </w:tr>
      <w:tr>
        <w:tc>
          <w:tcPr>
            <w:tcW w:type="dxa" w:w="4513"/>
            <w:shd w:fill="F1EFF7"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6B6B6B"/>
                <w:sz w:val="20"/>
                <w:szCs w:val="20"/>
              </w:rPr>
              <w:t xml:space="preserve">Cobra por horas.</w:t>
            </w:r>
          </w:p>
        </w:tc>
        <w:tc>
          <w:tcPr>
            <w:tcW w:type="dxa" w:w="4513"/>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Cobra por resultado: alta clínica certificada.</w:t>
            </w:r>
          </w:p>
        </w:tc>
      </w:tr>
      <w:tr>
        <w:tc>
          <w:tcPr>
            <w:tcW w:type="dxa" w:w="4513"/>
            <w:shd w:fill="F1EFF7"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6B6B6B"/>
                <w:sz w:val="20"/>
                <w:szCs w:val="20"/>
              </w:rPr>
              <w:t xml:space="preserve">Informes que nadie relee.</w:t>
            </w:r>
          </w:p>
        </w:tc>
        <w:tc>
          <w:tcPr>
            <w:tcW w:type="dxa" w:w="4513"/>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Protocolo con capas, decisiones y evidencias.</w:t>
            </w:r>
          </w:p>
        </w:tc>
      </w:tr>
      <w:tr>
        <w:tc>
          <w:tcPr>
            <w:tcW w:type="dxa" w:w="4513"/>
            <w:shd w:fill="F1EFF7"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6B6B6B"/>
                <w:sz w:val="20"/>
                <w:szCs w:val="20"/>
              </w:rPr>
              <w:t xml:space="preserve">Sin garantía.</w:t>
            </w:r>
          </w:p>
        </w:tc>
        <w:tc>
          <w:tcPr>
            <w:tcW w:type="dxa" w:w="4513"/>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Garantía total en el plan PIE: si no, seguimos gratis.</w:t>
            </w:r>
          </w:p>
        </w:tc>
      </w:tr>
      <w:tr>
        <w:tc>
          <w:tcPr>
            <w:tcW w:type="dxa" w:w="4513"/>
            <w:shd w:fill="F1EFF7"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6B6B6B"/>
                <w:sz w:val="20"/>
                <w:szCs w:val="20"/>
              </w:rPr>
              <w:t xml:space="preserve">Recomendaciones que no se ejecutan.</w:t>
            </w:r>
          </w:p>
        </w:tc>
        <w:tc>
          <w:tcPr>
            <w:tcW w:type="dxa" w:w="4513"/>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Una herramienta operativa por cada acción (197).</w:t>
            </w:r>
          </w:p>
        </w:tc>
      </w:tr>
      <w:tr>
        <w:tc>
          <w:tcPr>
            <w:tcW w:type="dxa" w:w="4513"/>
            <w:shd w:fill="F1EFF7"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6B6B6B"/>
                <w:sz w:val="20"/>
                <w:szCs w:val="20"/>
              </w:rPr>
              <w:t xml:space="preserve">Diagnóstico subjetivo.</w:t>
            </w:r>
          </w:p>
        </w:tc>
        <w:tc>
          <w:tcPr>
            <w:tcW w:type="dxa" w:w="4513"/>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Diagnóstico por síntomas, en 10 especialidades.</w:t>
            </w:r>
          </w:p>
        </w:tc>
      </w:tr>
    </w:tbl>
    <w:p>
      <w:pPr>
        <w:pStyle w:val="Heading2"/>
        <w:spacing w:after="90" w:before="220"/>
      </w:pPr>
      <w:r>
        <w:rPr>
          <w:rFonts w:ascii="Calibri" w:cs="Calibri" w:eastAsia="Calibri" w:hAnsi="Calibri"/>
          <w:b/>
          <w:bCs/>
          <w:color w:val="1B2B4B"/>
          <w:sz w:val="23"/>
          <w:szCs w:val="23"/>
        </w:rPr>
        <w:t xml:space="preserve">El protocolo de 7 capas (C0 → C6)</w:t>
      </w:r>
    </w:p>
    <w:p>
      <w:pPr>
        <w:spacing w:after="120" w:before="0" w:line="264"/>
      </w:pPr>
      <w:r>
        <w:rPr>
          <w:rFonts w:ascii="Calibri" w:cs="Calibri" w:eastAsia="Calibri" w:hAnsi="Calibri"/>
          <w:b w:val="false"/>
          <w:bCs w:val="false"/>
          <w:i w:val="false"/>
          <w:iCs w:val="false"/>
          <w:caps w:val="false"/>
          <w:color w:val="222222"/>
          <w:sz w:val="21"/>
          <w:szCs w:val="21"/>
        </w:rPr>
        <w:t xml:space="preserve">Cada síntoma se trata con el mismo recorrido riguroso: C0 mide el KPI de entrada; C1 prioriza lo que el cliente vive; C2 decide con criterio clínico; C3 comprende el problema real; C4 ejecuta el cambio; C5 implanta y mide con el Cobrómetro®; C6 revisa el KPI con datos reales. El alta solo se firma cuando la ejecución está completa y el KPI ha mejorado — nunca por rellenar formularios.</w:t>
      </w:r>
    </w:p>
    <w:p>
      <w:pPr>
        <w:pStyle w:val="Heading1"/>
        <w:pBdr>
          <w:bottom w:val="single" w:color="C4A55A" w:sz="14" w:space="6"/>
        </w:pBdr>
        <w:spacing w:after="130" w:before="340"/>
      </w:pPr>
      <w:r>
        <w:rPr>
          <w:rFonts w:ascii="Calibri" w:cs="Calibri" w:eastAsia="Calibri" w:hAnsi="Calibri"/>
          <w:b/>
          <w:bCs/>
          <w:color w:val="C4A55A"/>
          <w:sz w:val="30"/>
          <w:szCs w:val="30"/>
        </w:rPr>
        <w:t xml:space="preserve">4   </w:t>
      </w:r>
      <w:r>
        <w:rPr>
          <w:rFonts w:ascii="Calibri" w:cs="Calibri" w:eastAsia="Calibri" w:hAnsi="Calibri"/>
          <w:b/>
          <w:bCs/>
          <w:color w:val="1B2B4B"/>
          <w:sz w:val="29"/>
          <w:szCs w:val="29"/>
        </w:rPr>
        <w:t xml:space="preserve">El producto: la cartera clínica</w:t>
      </w:r>
    </w:p>
    <w:p>
      <w:pPr>
        <w:spacing w:after="120" w:before="0" w:line="264"/>
      </w:pPr>
      <w:r>
        <w:rPr>
          <w:rFonts w:ascii="Calibri" w:cs="Calibri" w:eastAsia="Calibri" w:hAnsi="Calibri"/>
          <w:b w:val="false"/>
          <w:bCs w:val="false"/>
          <w:i w:val="false"/>
          <w:iCs w:val="false"/>
          <w:caps w:val="false"/>
          <w:color w:val="222222"/>
          <w:sz w:val="21"/>
          <w:szCs w:val="21"/>
        </w:rPr>
        <w:t xml:space="preserve">La empresa es un organismo con 10 órganos. Cada especialidad diagnostica y trata tres síntomas concretos — 30 en total — con una respuesta específica y accionable, no consejos abstractos.</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3300"/>
        <w:gridCol w:w="5726"/>
      </w:tblGrid>
      <w:tr>
        <w:trPr>
          <w:tblHeader/>
        </w:trPr>
        <w:tc>
          <w:tcPr>
            <w:tcW w:type="dxa" w:w="3300"/>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Especialidad (órgano)</w:t>
            </w:r>
          </w:p>
        </w:tc>
        <w:tc>
          <w:tcPr>
            <w:tcW w:type="dxa" w:w="5726"/>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Los 3 síntomas que trata</w:t>
            </w:r>
          </w:p>
        </w:tc>
      </w:tr>
      <w:tr>
        <w:tc>
          <w:tcPr>
            <w:tcW w:type="dxa" w:w="33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UCI Financiera — corazón</w:t>
            </w:r>
          </w:p>
        </w:tc>
        <w:tc>
          <w:tcPr>
            <w:tcW w:type="dxa" w:w="57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Obstrucción de Caja · Fuga Invisible · Anemia de Margen</w:t>
            </w:r>
          </w:p>
        </w:tc>
      </w:tr>
      <w:tr>
        <w:tc>
          <w:tcPr>
            <w:tcW w:type="dxa" w:w="33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Neurología Estratégica — cerebro</w:t>
            </w:r>
          </w:p>
        </w:tc>
        <w:tc>
          <w:tcPr>
            <w:tcW w:type="dxa" w:w="57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Amnesia Estratégica · Dispersión Directiva · Ilusión de Crecimiento</w:t>
            </w:r>
          </w:p>
        </w:tc>
      </w:tr>
      <w:tr>
        <w:tc>
          <w:tcPr>
            <w:tcW w:type="dxa" w:w="33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Unidad de Procesos — circulación</w:t>
            </w:r>
          </w:p>
        </w:tc>
        <w:tc>
          <w:tcPr>
            <w:tcW w:type="dxa" w:w="57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Esclerosis Operativa · Colapso de Capacidad · Fuga de Calidad Crónica</w:t>
            </w:r>
          </w:p>
        </w:tc>
      </w:tr>
      <w:tr>
        <w:tc>
          <w:tcPr>
            <w:tcW w:type="dxa" w:w="33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Gestión Clínica — sistema inmune</w:t>
            </w:r>
          </w:p>
        </w:tc>
        <w:tc>
          <w:tcPr>
            <w:tcW w:type="dxa" w:w="57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Ceguera de Control · Sangría Fiscal · Atrofia de Roles</w:t>
            </w:r>
          </w:p>
        </w:tc>
      </w:tr>
      <w:tr>
        <w:tc>
          <w:tcPr>
            <w:tcW w:type="dxa" w:w="33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Excelencia Operativa — sistema óseo</w:t>
            </w:r>
          </w:p>
        </w:tc>
        <w:tc>
          <w:tcPr>
            <w:tcW w:type="dxa" w:w="57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Parálisis de Integración · Dependencia Crítica · Ritmo Operativo Irregular</w:t>
            </w:r>
          </w:p>
        </w:tc>
      </w:tr>
      <w:tr>
        <w:tc>
          <w:tcPr>
            <w:tcW w:type="dxa" w:w="33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Rescate de Personas — médula</w:t>
            </w:r>
          </w:p>
        </w:tc>
        <w:tc>
          <w:tcPr>
            <w:tcW w:type="dxa" w:w="57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Hemorragia de Talento · Atrofia de Potencial · Inflamación Interna</w:t>
            </w:r>
          </w:p>
        </w:tc>
      </w:tr>
      <w:tr>
        <w:tc>
          <w:tcPr>
            <w:tcW w:type="dxa" w:w="33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Psiquiatría Organizacional — s. nervioso</w:t>
            </w:r>
          </w:p>
        </w:tc>
        <w:tc>
          <w:tcPr>
            <w:tcW w:type="dxa" w:w="57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Sobrecarga Emocional · Dislocación de Perfiles · Anestesia de Equipo</w:t>
            </w:r>
          </w:p>
        </w:tc>
      </w:tr>
      <w:tr>
        <w:tc>
          <w:tcPr>
            <w:tcW w:type="dxa" w:w="33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Terapia de Experiencia — los sentidos</w:t>
            </w:r>
          </w:p>
        </w:tc>
        <w:tc>
          <w:tcPr>
            <w:tcW w:type="dxa" w:w="57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Efecto NO-WOW · Necrosis de Cliente · Bajo Valor Percibido</w:t>
            </w:r>
          </w:p>
        </w:tc>
      </w:tr>
      <w:tr>
        <w:tc>
          <w:tcPr>
            <w:tcW w:type="dxa" w:w="33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Cirugía de Marca — rostro</w:t>
            </w:r>
          </w:p>
        </w:tc>
        <w:tc>
          <w:tcPr>
            <w:tcW w:type="dxa" w:w="57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Déficit de Imagen · Miopía Diferencial · Comunicación Inconsistente</w:t>
            </w:r>
          </w:p>
        </w:tc>
      </w:tr>
      <w:tr>
        <w:tc>
          <w:tcPr>
            <w:tcW w:type="dxa" w:w="33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Cardiología Comercial — músculo</w:t>
            </w:r>
          </w:p>
        </w:tc>
        <w:tc>
          <w:tcPr>
            <w:tcW w:type="dxa" w:w="57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Atrofia Comercial · Arritmia Comercial · Síndrome del Origen</w:t>
            </w:r>
          </w:p>
        </w:tc>
      </w:tr>
    </w:tbl>
    <w:p>
      <w:pPr>
        <w:pStyle w:val="Heading2"/>
        <w:spacing w:after="90" w:before="220"/>
      </w:pPr>
      <w:r>
        <w:rPr>
          <w:rFonts w:ascii="Calibri" w:cs="Calibri" w:eastAsia="Calibri" w:hAnsi="Calibri"/>
          <w:b/>
          <w:bCs/>
          <w:color w:val="1B2B4B"/>
          <w:sz w:val="23"/>
          <w:szCs w:val="23"/>
        </w:rPr>
        <w:t xml:space="preserve">Dos tipos de valor</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TIPO 1 — recuperación: “recuperamos X €. El cliente ve el ROI al instante; C5 captura euros reales y C6 lo demuestra. Son los 6 síntomas financieros, candidatos a honorario por éxito.</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TIPO 2 — prevención y calidad: “evitamos que ocurra X. El valor es reducir riesgo, liberar tiempo del dueño y evitar la fuga de personas clave antes de que el coste se haga visible.</w:t>
      </w:r>
    </w:p>
    <w:p>
      <w:pPr>
        <w:spacing w:after="120" w:before="0" w:line="264"/>
      </w:pPr>
      <w:r>
        <w:rPr>
          <w:rFonts w:ascii="Calibri" w:cs="Calibri" w:eastAsia="Calibri" w:hAnsi="Calibri"/>
          <w:b w:val="false"/>
          <w:bCs w:val="false"/>
          <w:i w:val="false"/>
          <w:iCs w:val="false"/>
          <w:caps w:val="false"/>
          <w:color w:val="222222"/>
          <w:sz w:val="21"/>
          <w:szCs w:val="21"/>
        </w:rPr>
        <w:t xml:space="preserve">Cada decisión clínica tiene además su herramienta: </w:t>
      </w:r>
      <w:r>
        <w:rPr>
          <w:rFonts w:ascii="Calibri" w:cs="Calibri" w:eastAsia="Calibri" w:hAnsi="Calibri"/>
          <w:b/>
          <w:bCs/>
          <w:i w:val="false"/>
          <w:iCs w:val="false"/>
          <w:caps w:val="false"/>
          <w:color w:val="1B2B4B"/>
          <w:sz w:val="21"/>
          <w:szCs w:val="21"/>
        </w:rPr>
        <w:t xml:space="preserve">197 herramientas operativas</w:t>
      </w:r>
      <w:r>
        <w:rPr>
          <w:rFonts w:ascii="Calibri" w:cs="Calibri" w:eastAsia="Calibri" w:hAnsi="Calibri"/>
          <w:b w:val="false"/>
          <w:bCs w:val="false"/>
          <w:i w:val="false"/>
          <w:iCs w:val="false"/>
          <w:caps w:val="false"/>
          <w:color w:val="222222"/>
          <w:sz w:val="21"/>
          <w:szCs w:val="21"/>
        </w:rPr>
        <w:t xml:space="preserve"> (calculadoras, pipelines, cuadros de mando, mapas de proceso) que el cliente recibe como entregable y que quedan como evidencia en el expediente. Es la diferencia sin equivalente frente a cualquier consultoría genérica.</w:t>
      </w:r>
    </w:p>
    <w:p>
      <w:pPr>
        <w:pStyle w:val="Heading1"/>
        <w:pBdr>
          <w:bottom w:val="single" w:color="C4A55A" w:sz="14" w:space="6"/>
        </w:pBdr>
        <w:spacing w:after="130" w:before="340"/>
      </w:pPr>
      <w:r>
        <w:rPr>
          <w:rFonts w:ascii="Calibri" w:cs="Calibri" w:eastAsia="Calibri" w:hAnsi="Calibri"/>
          <w:b/>
          <w:bCs/>
          <w:color w:val="C4A55A"/>
          <w:sz w:val="30"/>
          <w:szCs w:val="30"/>
        </w:rPr>
        <w:t xml:space="preserve">5   </w:t>
      </w:r>
      <w:r>
        <w:rPr>
          <w:rFonts w:ascii="Calibri" w:cs="Calibri" w:eastAsia="Calibri" w:hAnsi="Calibri"/>
          <w:b/>
          <w:bCs/>
          <w:color w:val="1B2B4B"/>
          <w:sz w:val="29"/>
          <w:szCs w:val="29"/>
        </w:rPr>
        <w:t xml:space="preserve">Modelo de negocio</w:t>
      </w:r>
    </w:p>
    <w:p>
      <w:pPr>
        <w:spacing w:after="120" w:before="0" w:line="264"/>
      </w:pPr>
      <w:r>
        <w:rPr>
          <w:rFonts w:ascii="Calibri" w:cs="Calibri" w:eastAsia="Calibri" w:hAnsi="Calibri"/>
          <w:b w:val="false"/>
          <w:bCs w:val="false"/>
          <w:i w:val="false"/>
          <w:iCs w:val="false"/>
          <w:caps w:val="false"/>
          <w:color w:val="222222"/>
          <w:sz w:val="21"/>
          <w:szCs w:val="21"/>
        </w:rPr>
        <w:t xml:space="preserve">El acceso es en autoservicio: cualquier empresa entra por el ESE (Escáner de Salud Empresarial) gratuito y activa su plan por pago seguro. Tres planes, según la profundidad del caso.</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2726"/>
        <w:gridCol w:w="2100"/>
        <w:gridCol w:w="2100"/>
        <w:gridCol w:w="2100"/>
      </w:tblGrid>
      <w:tr>
        <w:trPr>
          <w:tblHeader/>
        </w:trPr>
        <w:tc>
          <w:tcPr>
            <w:tcW w:type="dxa" w:w="2726"/>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
            </w:r>
          </w:p>
        </w:tc>
        <w:tc>
          <w:tcPr>
            <w:tcW w:type="dxa" w:w="21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PRE</w:t>
            </w:r>
          </w:p>
        </w:tc>
        <w:tc>
          <w:tcPr>
            <w:tcW w:type="dxa" w:w="21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PAE</w:t>
            </w:r>
          </w:p>
        </w:tc>
        <w:tc>
          <w:tcPr>
            <w:tcW w:type="dxa" w:w="21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PIE</w:t>
            </w:r>
          </w:p>
        </w:tc>
      </w:tr>
      <w:tr>
        <w:tc>
          <w:tcPr>
            <w:tcW w:type="dxa" w:w="2726"/>
            <w:shd w:fill="F1EFF7"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Nombre</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Rescate Estructural</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Actuación Estratégica</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Impulso Empresarial</w:t>
            </w:r>
          </w:p>
        </w:tc>
      </w:tr>
      <w:tr>
        <w:tc>
          <w:tcPr>
            <w:tcW w:type="dxa" w:w="2726"/>
            <w:shd w:fill="F1EFF7"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Ciclos clínicos</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0 (digital)</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2</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3</w:t>
            </w:r>
          </w:p>
        </w:tc>
      </w:tr>
      <w:tr>
        <w:tc>
          <w:tcPr>
            <w:tcW w:type="dxa" w:w="2726"/>
            <w:shd w:fill="F1EFF7"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Síntomas</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Hasta 3</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4 a 6</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7 a 10</w:t>
            </w:r>
          </w:p>
        </w:tc>
      </w:tr>
      <w:tr>
        <w:tc>
          <w:tcPr>
            <w:tcW w:type="dxa" w:w="2726"/>
            <w:shd w:fill="F1EFF7"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Consultor</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Sin asignar</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Activo en 2 ciclos</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Presente siempre</w:t>
            </w:r>
          </w:p>
        </w:tc>
      </w:tr>
      <w:tr>
        <w:tc>
          <w:tcPr>
            <w:tcW w:type="dxa" w:w="2726"/>
            <w:shd w:fill="F1EFF7"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Garantía</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No</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No</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20"/>
                <w:szCs w:val="20"/>
              </w:rPr>
              <w:t xml:space="preserve">Total</w:t>
            </w:r>
          </w:p>
        </w:tc>
      </w:tr>
    </w:tbl>
    <w:p>
      <w:pPr>
        <w:pStyle w:val="Heading2"/>
        <w:spacing w:after="90" w:before="220"/>
      </w:pPr>
      <w:r>
        <w:rPr>
          <w:rFonts w:ascii="Calibri" w:cs="Calibri" w:eastAsia="Calibri" w:hAnsi="Calibri"/>
          <w:b/>
          <w:bCs/>
          <w:color w:val="1B2B4B"/>
          <w:sz w:val="23"/>
          <w:szCs w:val="23"/>
        </w:rPr>
        <w:t xml:space="preserve">Precios según facturación mensual</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2726"/>
        <w:gridCol w:w="2100"/>
        <w:gridCol w:w="2100"/>
        <w:gridCol w:w="2100"/>
      </w:tblGrid>
      <w:tr>
        <w:trPr>
          <w:tblHeader/>
        </w:trPr>
        <w:tc>
          <w:tcPr>
            <w:tcW w:type="dxa" w:w="2726"/>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Facturación</w:t>
            </w:r>
          </w:p>
        </w:tc>
        <w:tc>
          <w:tcPr>
            <w:tcW w:type="dxa" w:w="21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PRE</w:t>
            </w:r>
          </w:p>
        </w:tc>
        <w:tc>
          <w:tcPr>
            <w:tcW w:type="dxa" w:w="21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PAE</w:t>
            </w:r>
          </w:p>
        </w:tc>
        <w:tc>
          <w:tcPr>
            <w:tcW w:type="dxa" w:w="21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PIE</w:t>
            </w:r>
          </w:p>
        </w:tc>
      </w:tr>
      <w:tr>
        <w:tc>
          <w:tcPr>
            <w:tcW w:type="dxa" w:w="2726"/>
            <w:shd w:fill="FBF7EE"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Menos de 15.000 €/mes</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399 €</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999 €</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1.499 €</w:t>
            </w:r>
          </w:p>
        </w:tc>
      </w:tr>
      <w:tr>
        <w:tc>
          <w:tcPr>
            <w:tcW w:type="dxa" w:w="2726"/>
            <w:shd w:fill="FFFFFF"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15.000 – 60.000 €/mes</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999 €</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2.900 €</w:t>
            </w:r>
          </w:p>
        </w:tc>
        <w:tc>
          <w:tcPr>
            <w:tcW w:type="dxa" w:w="21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4.500 €</w:t>
            </w:r>
          </w:p>
        </w:tc>
      </w:tr>
      <w:tr>
        <w:tc>
          <w:tcPr>
            <w:tcW w:type="dxa" w:w="2726"/>
            <w:shd w:fill="FBF7EE"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Más de 60.000 €/mes</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2.499 €</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9.999 €</w:t>
            </w:r>
          </w:p>
        </w:tc>
        <w:tc>
          <w:tcPr>
            <w:tcW w:type="dxa" w:w="21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val="false"/>
                <w:bCs w:val="false"/>
                <w:color w:val="222222"/>
                <w:sz w:val="20"/>
                <w:szCs w:val="20"/>
              </w:rPr>
              <w:t xml:space="preserve">24.499 €</w:t>
            </w:r>
          </w:p>
        </w:tc>
      </w:tr>
    </w:tbl>
    <w:p>
      <w:pPr>
        <w:pStyle w:val="Heading2"/>
        <w:spacing w:after="90" w:before="220"/>
      </w:pPr>
      <w:r>
        <w:rPr>
          <w:rFonts w:ascii="Calibri" w:cs="Calibri" w:eastAsia="Calibri" w:hAnsi="Calibri"/>
          <w:b/>
          <w:bCs/>
          <w:color w:val="1B2B4B"/>
          <w:sz w:val="23"/>
          <w:szCs w:val="23"/>
        </w:rPr>
        <w:t xml:space="preserve">Líneas de ingreso</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Planes clínicos (PRE / PAE / PIE): el ingreso base, recurrente por ciclos.</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Síntoma suelto — 99 €: la entrada más accesible y la palanca de upsell dentro de la relación clínica.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Ciclos clínicos (UCC): intervenciones presenciales o formativas, tarificadas aparte según su carga clínica (rango orientativo 240–720 €).</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Suscripción SaaS: acceso a la plataforma MAS@Framework® (línea recurrente de alto margen, ver sección 8).</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Royalties de franquicia y cuota de certificación de consultores (ver sección 8).</w:t>
      </w:r>
    </w:p>
    <w:p>
      <w:pPr>
        <w:pStyle w:val="Heading1"/>
        <w:pBdr>
          <w:bottom w:val="single" w:color="C4A55A" w:sz="14" w:space="6"/>
        </w:pBdr>
        <w:spacing w:after="130" w:before="340"/>
      </w:pPr>
      <w:r>
        <w:rPr>
          <w:rFonts w:ascii="Calibri" w:cs="Calibri" w:eastAsia="Calibri" w:hAnsi="Calibri"/>
          <w:b/>
          <w:bCs/>
          <w:color w:val="C4A55A"/>
          <w:sz w:val="30"/>
          <w:szCs w:val="30"/>
        </w:rPr>
        <w:t xml:space="preserve">6   </w:t>
      </w:r>
      <w:r>
        <w:rPr>
          <w:rFonts w:ascii="Calibri" w:cs="Calibri" w:eastAsia="Calibri" w:hAnsi="Calibri"/>
          <w:b/>
          <w:bCs/>
          <w:color w:val="1B2B4B"/>
          <w:sz w:val="29"/>
          <w:szCs w:val="29"/>
        </w:rPr>
        <w:t xml:space="preserve">Mercado y oportunidad</w:t>
      </w:r>
    </w:p>
    <w:p>
      <w:pPr>
        <w:spacing w:after="120" w:before="0" w:line="264"/>
      </w:pPr>
      <w:r>
        <w:rPr>
          <w:rFonts w:ascii="Calibri" w:cs="Calibri" w:eastAsia="Calibri" w:hAnsi="Calibri"/>
          <w:b w:val="false"/>
          <w:bCs w:val="false"/>
          <w:i w:val="false"/>
          <w:iCs w:val="false"/>
          <w:caps w:val="false"/>
          <w:color w:val="222222"/>
          <w:sz w:val="21"/>
          <w:szCs w:val="21"/>
        </w:rPr>
        <w:t xml:space="preserve">Masesora arranca donde puede ganar: su comarca. La Marina Baixa concentra más de 5.000 pymes de comercio, servicios, hostelería y manufactura ligera, con un dolor operativo real y sin una alternativa local que combine método, garantía y capacidad de ejecución.</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2600"/>
        <w:gridCol w:w="2600"/>
        <w:gridCol w:w="3826"/>
      </w:tblGrid>
      <w:tr>
        <w:trPr>
          <w:tblHeader/>
        </w:trPr>
        <w:tc>
          <w:tcPr>
            <w:tcW w:type="dxa" w:w="2600"/>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Círculo de mercado</w:t>
            </w:r>
          </w:p>
        </w:tc>
        <w:tc>
          <w:tcPr>
            <w:tcW w:type="dxa" w:w="26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Alcance</w:t>
            </w:r>
          </w:p>
        </w:tc>
        <w:tc>
          <w:tcPr>
            <w:tcW w:type="dxa" w:w="3826"/>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Foco</w:t>
            </w:r>
          </w:p>
        </w:tc>
      </w:tr>
      <w:tr>
        <w:tc>
          <w:tcPr>
            <w:tcW w:type="dxa" w:w="26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Beachhead (SOM)</w:t>
            </w:r>
          </w:p>
        </w:tc>
        <w:tc>
          <w:tcPr>
            <w:tcW w:type="dxa" w:w="26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C4A55A"/>
                <w:sz w:val="20"/>
                <w:szCs w:val="20"/>
              </w:rPr>
              <w:t xml:space="preserve">Marina Baixa</w:t>
            </w:r>
          </w:p>
        </w:tc>
        <w:tc>
          <w:tcPr>
            <w:tcW w:type="dxa" w:w="38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Comercio, hostelería y servicios locales; validación con casos piloto y alianzas.</w:t>
            </w:r>
          </w:p>
        </w:tc>
      </w:tr>
      <w:tr>
        <w:tc>
          <w:tcPr>
            <w:tcW w:type="dxa" w:w="26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Mercado servible (SAM)</w:t>
            </w:r>
          </w:p>
        </w:tc>
        <w:tc>
          <w:tcPr>
            <w:tcW w:type="dxa" w:w="26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C4A55A"/>
                <w:sz w:val="20"/>
                <w:szCs w:val="20"/>
              </w:rPr>
              <w:t xml:space="preserve">Comunidad Valenciana</w:t>
            </w:r>
          </w:p>
        </w:tc>
        <w:tc>
          <w:tcPr>
            <w:tcW w:type="dxa" w:w="38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Comarcas vecinas vía franquicia y consultores certificados.</w:t>
            </w:r>
          </w:p>
        </w:tc>
      </w:tr>
      <w:tr>
        <w:tc>
          <w:tcPr>
            <w:tcW w:type="dxa" w:w="26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1B2B4B"/>
                <w:sz w:val="20"/>
                <w:szCs w:val="20"/>
              </w:rPr>
              <w:t xml:space="preserve">Mercado total (TAM)</w:t>
            </w:r>
          </w:p>
        </w:tc>
        <w:tc>
          <w:tcPr>
            <w:tcW w:type="dxa" w:w="26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C4A55A"/>
                <w:sz w:val="20"/>
                <w:szCs w:val="20"/>
              </w:rPr>
              <w:t xml:space="preserve">España / internacional</w:t>
            </w:r>
          </w:p>
        </w:tc>
        <w:tc>
          <w:tcPr>
            <w:tcW w:type="dxa" w:w="38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19"/>
                <w:szCs w:val="19"/>
              </w:rPr>
              <w:t xml:space="preserve">Pymes con caos estructural, alcanzables por SaaS sin presencia física.</w:t>
            </w:r>
          </w:p>
        </w:tc>
      </w:tr>
    </w:tbl>
    <w:p>
      <w:pPr>
        <w:spacing w:after="120" w:before="0" w:line="264"/>
      </w:pPr>
      <w:r>
        <w:rPr>
          <w:rFonts w:ascii="Calibri" w:cs="Calibri" w:eastAsia="Calibri" w:hAnsi="Calibri"/>
          <w:b w:val="false"/>
          <w:bCs w:val="false"/>
          <w:i w:val="false"/>
          <w:iCs w:val="false"/>
          <w:caps w:val="false"/>
          <w:color w:val="222222"/>
          <w:sz w:val="21"/>
          <w:szCs w:val="21"/>
        </w:rPr>
        <w:t xml:space="preserve">Dos tendencias empujan a favor: el relevo generacional en las pymes familiares y la creciente dificultad para conseguir y retener personal. Ambas convierten a Masesora en un aliado clave, no en un gasto.</w:t>
      </w:r>
    </w:p>
    <w:p>
      <w:pPr>
        <w:pStyle w:val="Heading1"/>
        <w:pBdr>
          <w:bottom w:val="single" w:color="C4A55A" w:sz="14" w:space="6"/>
        </w:pBdr>
        <w:spacing w:after="130" w:before="340"/>
      </w:pPr>
      <w:r>
        <w:rPr>
          <w:rFonts w:ascii="Calibri" w:cs="Calibri" w:eastAsia="Calibri" w:hAnsi="Calibri"/>
          <w:b/>
          <w:bCs/>
          <w:color w:val="C4A55A"/>
          <w:sz w:val="30"/>
          <w:szCs w:val="30"/>
        </w:rPr>
        <w:t xml:space="preserve">7   </w:t>
      </w:r>
      <w:r>
        <w:rPr>
          <w:rFonts w:ascii="Calibri" w:cs="Calibri" w:eastAsia="Calibri" w:hAnsi="Calibri"/>
          <w:b/>
          <w:bCs/>
          <w:color w:val="1B2B4B"/>
          <w:sz w:val="29"/>
          <w:szCs w:val="29"/>
        </w:rPr>
        <w:t xml:space="preserve">Estrategia comercial</w:t>
      </w:r>
    </w:p>
    <w:p>
      <w:pPr>
        <w:pStyle w:val="Heading2"/>
        <w:spacing w:after="90" w:before="220"/>
      </w:pPr>
      <w:r>
        <w:rPr>
          <w:rFonts w:ascii="Calibri" w:cs="Calibri" w:eastAsia="Calibri" w:hAnsi="Calibri"/>
          <w:b/>
          <w:bCs/>
          <w:color w:val="1B2B4B"/>
          <w:sz w:val="23"/>
          <w:szCs w:val="23"/>
        </w:rPr>
        <w:t xml:space="preserve">Captación</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Escáner de Salud Empresarial (ESE) online: puerta de entrada gratuita que diagnostica y despierta urgencia.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Alianzas prescriptoras: gestorías y asesorías (ven el caos primero), cámaras de comercio, asociaciones, HOSBEC, ayuntamientos y bancos — a cambio de comisión por referido y visibilidad conjunta.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Talleres y sesiones de demostración: diagnóstico en directo ante empresarios para generar confianza y captar leads.</w:t>
      </w:r>
    </w:p>
    <w:p>
      <w:pPr>
        <w:pStyle w:val="Heading2"/>
        <w:spacing w:after="90" w:before="220"/>
      </w:pPr>
      <w:r>
        <w:rPr>
          <w:rFonts w:ascii="Calibri" w:cs="Calibri" w:eastAsia="Calibri" w:hAnsi="Calibri"/>
          <w:b/>
          <w:bCs/>
          <w:color w:val="1B2B4B"/>
          <w:sz w:val="23"/>
          <w:szCs w:val="23"/>
        </w:rPr>
        <w:t xml:space="preserve">Conversión y cierre</w:t>
      </w:r>
    </w:p>
    <w:p>
      <w:pPr>
        <w:spacing w:after="120" w:before="0" w:line="264"/>
      </w:pPr>
      <w:r>
        <w:rPr>
          <w:rFonts w:ascii="Calibri" w:cs="Calibri" w:eastAsia="Calibri" w:hAnsi="Calibri"/>
          <w:b w:val="false"/>
          <w:bCs w:val="false"/>
          <w:i w:val="false"/>
          <w:iCs w:val="false"/>
          <w:caps w:val="false"/>
          <w:color w:val="222222"/>
          <w:sz w:val="21"/>
          <w:szCs w:val="21"/>
        </w:rPr>
        <w:t xml:space="preserve">El ESE alimenta el primer plan; desde ahí, la relación clínica genera upsell natural a planes superiores y síntomas sueltos. El cierre se formaliza con contrato único, la cláusula del Agente de Cambio Interno (ACI) — la persona del cliente que ejecuta y garantiza la adopción — y facturación por hitos.</w:t>
      </w:r>
    </w:p>
    <w:p>
      <w:pPr>
        <w:pBdr>
          <w:left w:val="single" w:color="C4A55A" w:sz="18" w:space="10"/>
        </w:pBdr>
        <w:shd w:fill="F1EFF7" w:color="auto" w:val="clear"/>
        <w:spacing w:after="120" w:before="120"/>
      </w:pPr>
      <w:r>
        <w:rPr>
          <w:rFonts w:ascii="Calibri" w:cs="Calibri" w:eastAsia="Calibri" w:hAnsi="Calibri"/>
          <w:b/>
          <w:bCs/>
          <w:i w:val="false"/>
          <w:iCs w:val="false"/>
          <w:caps w:val="false"/>
          <w:color w:val="1B2B4B"/>
          <w:sz w:val="21"/>
          <w:szCs w:val="21"/>
        </w:rPr>
        <w:t xml:space="preserve">Pitch: </w:t>
      </w:r>
      <w:r>
        <w:rPr>
          <w:rFonts w:ascii="Calibri" w:cs="Calibri" w:eastAsia="Calibri" w:hAnsi="Calibri"/>
          <w:b w:val="false"/>
          <w:bCs w:val="false"/>
          <w:i/>
          <w:iCs/>
          <w:caps w:val="false"/>
          <w:color w:val="222222"/>
          <w:sz w:val="21"/>
          <w:szCs w:val="21"/>
        </w:rPr>
        <w:t xml:space="preserve">“En una semana te mostramos dónde pierdes dinero. En seis semanas te devolvemos el control. Y lo dejamos documentado.</w:t>
      </w:r>
    </w:p>
    <w:p>
      <w:pPr>
        <w:pStyle w:val="Heading1"/>
        <w:pBdr>
          <w:bottom w:val="single" w:color="C4A55A" w:sz="14" w:space="6"/>
        </w:pBdr>
        <w:spacing w:after="130" w:before="340"/>
      </w:pPr>
      <w:r>
        <w:rPr>
          <w:rFonts w:ascii="Calibri" w:cs="Calibri" w:eastAsia="Calibri" w:hAnsi="Calibri"/>
          <w:b/>
          <w:bCs/>
          <w:color w:val="C4A55A"/>
          <w:sz w:val="30"/>
          <w:szCs w:val="30"/>
        </w:rPr>
        <w:t xml:space="preserve">8   </w:t>
      </w:r>
      <w:r>
        <w:rPr>
          <w:rFonts w:ascii="Calibri" w:cs="Calibri" w:eastAsia="Calibri" w:hAnsi="Calibri"/>
          <w:b/>
          <w:bCs/>
          <w:color w:val="1B2B4B"/>
          <w:sz w:val="29"/>
          <w:szCs w:val="29"/>
        </w:rPr>
        <w:t xml:space="preserve">El motor de escala: SaaS, franquicia y comunidad</w:t>
      </w:r>
    </w:p>
    <w:p>
      <w:pPr>
        <w:spacing w:after="120" w:before="0" w:line="264"/>
      </w:pPr>
      <w:r>
        <w:rPr>
          <w:rFonts w:ascii="Calibri" w:cs="Calibri" w:eastAsia="Calibri" w:hAnsi="Calibri"/>
          <w:b w:val="false"/>
          <w:bCs w:val="false"/>
          <w:i w:val="false"/>
          <w:iCs w:val="false"/>
          <w:caps w:val="false"/>
          <w:color w:val="222222"/>
          <w:sz w:val="21"/>
          <w:szCs w:val="21"/>
        </w:rPr>
        <w:t xml:space="preserve">La consultoría por sí sola no escala: depende de personas. Masesora está diseñada para romper ese techo con tres palancas que se apoyan en el mismo protocolo.</w:t>
      </w:r>
    </w:p>
    <w:p>
      <w:pPr>
        <w:pStyle w:val="Heading2"/>
        <w:spacing w:after="90" w:before="220"/>
      </w:pPr>
      <w:r>
        <w:rPr>
          <w:rFonts w:ascii="Calibri" w:cs="Calibri" w:eastAsia="Calibri" w:hAnsi="Calibri"/>
          <w:b/>
          <w:bCs/>
          <w:color w:val="1B2B4B"/>
          <w:sz w:val="23"/>
          <w:szCs w:val="23"/>
        </w:rPr>
        <w:t xml:space="preserve">1. SaaS — MAS@Framework®</w:t>
      </w:r>
    </w:p>
    <w:p>
      <w:pPr>
        <w:spacing w:after="120" w:before="0" w:line="264"/>
      </w:pPr>
      <w:r>
        <w:rPr>
          <w:rFonts w:ascii="Calibri" w:cs="Calibri" w:eastAsia="Calibri" w:hAnsi="Calibri"/>
          <w:b w:val="false"/>
          <w:bCs w:val="false"/>
          <w:i w:val="false"/>
          <w:iCs w:val="false"/>
          <w:caps w:val="false"/>
          <w:color w:val="222222"/>
          <w:sz w:val="21"/>
          <w:szCs w:val="21"/>
        </w:rPr>
        <w:t xml:space="preserve">El protocolo vive dentro del software, no en la cabeza de un consultor. Eso permite ofrecer la plataforma como suscripción: ingreso recurrente, margen alto y crecimiento sin sumar horas. La fase actual usa las herramientas en descarga manual; la siguiente las embebe en la plataforma y guarda las evidencias en el expediente.</w:t>
      </w:r>
    </w:p>
    <w:p>
      <w:pPr>
        <w:pStyle w:val="Heading2"/>
        <w:spacing w:after="90" w:before="220"/>
      </w:pPr>
      <w:r>
        <w:rPr>
          <w:rFonts w:ascii="Calibri" w:cs="Calibri" w:eastAsia="Calibri" w:hAnsi="Calibri"/>
          <w:b/>
          <w:bCs/>
          <w:color w:val="1B2B4B"/>
          <w:sz w:val="23"/>
          <w:szCs w:val="23"/>
        </w:rPr>
        <w:t xml:space="preserve">2. Franquicia y certificación de consultores</w:t>
      </w:r>
    </w:p>
    <w:p>
      <w:pPr>
        <w:spacing w:after="120" w:before="0" w:line="264"/>
      </w:pPr>
      <w:r>
        <w:rPr>
          <w:rFonts w:ascii="Calibri" w:cs="Calibri" w:eastAsia="Calibri" w:hAnsi="Calibri"/>
          <w:b w:val="false"/>
          <w:bCs w:val="false"/>
          <w:i w:val="false"/>
          <w:iCs w:val="false"/>
          <w:caps w:val="false"/>
          <w:color w:val="222222"/>
          <w:sz w:val="21"/>
          <w:szCs w:val="21"/>
        </w:rPr>
        <w:t xml:space="preserve">Consultores senior independientes y ex-directivos de operaciones se certifican en el método, pagan una cuota de entrada por la formación y royalties por el uso de marca y herramientas, y operan zonas geográficas definidas. La marca escala por comarcas sin que la fundadora ejecute cada caso.</w:t>
      </w:r>
    </w:p>
    <w:p>
      <w:pPr>
        <w:pStyle w:val="Heading2"/>
        <w:spacing w:after="90" w:before="220"/>
      </w:pPr>
      <w:r>
        <w:rPr>
          <w:rFonts w:ascii="Calibri" w:cs="Calibri" w:eastAsia="Calibri" w:hAnsi="Calibri"/>
          <w:b/>
          <w:bCs/>
          <w:color w:val="1B2B4B"/>
          <w:sz w:val="23"/>
          <w:szCs w:val="23"/>
        </w:rPr>
        <w:t xml:space="preserve">3. Comunidad y alianzas de protocolo</w:t>
      </w:r>
    </w:p>
    <w:p>
      <w:pPr>
        <w:spacing w:after="120" w:before="0" w:line="264"/>
      </w:pPr>
      <w:r>
        <w:rPr>
          <w:rFonts w:ascii="Calibri" w:cs="Calibri" w:eastAsia="Calibri" w:hAnsi="Calibri"/>
          <w:b w:val="false"/>
          <w:bCs w:val="false"/>
          <w:i w:val="false"/>
          <w:iCs w:val="false"/>
          <w:caps w:val="false"/>
          <w:color w:val="222222"/>
          <w:sz w:val="21"/>
          <w:szCs w:val="21"/>
        </w:rPr>
        <w:t xml:space="preserve">El “Círculo de Innovación Operativa y “Personas de Excelencia fidelizan y generan recurrencia. En paralelo, las licencias de protocolo con partners tecnológicos (ERP/CRM como Odoo, Zoho o Sage; no-code como Make o Zapier) posicionan a Masesora como la capa de “organización de procesos previa a la implementación técnica.</w:t>
      </w:r>
    </w:p>
    <w:p>
      <w:pPr>
        <w:pBdr>
          <w:left w:val="single" w:color="C4A55A" w:sz="18" w:space="10"/>
        </w:pBdr>
        <w:shd w:fill="F1EFF7" w:color="auto" w:val="clear"/>
        <w:spacing w:after="120" w:before="120"/>
      </w:pPr>
      <w:r>
        <w:rPr>
          <w:rFonts w:ascii="Calibri" w:cs="Calibri" w:eastAsia="Calibri" w:hAnsi="Calibri"/>
          <w:b/>
          <w:bCs/>
          <w:i w:val="false"/>
          <w:iCs w:val="false"/>
          <w:caps w:val="false"/>
          <w:color w:val="1B2B4B"/>
          <w:sz w:val="21"/>
          <w:szCs w:val="21"/>
        </w:rPr>
        <w:t xml:space="preserve">La clave del modelo: </w:t>
      </w:r>
      <w:r>
        <w:rPr>
          <w:rFonts w:ascii="Calibri" w:cs="Calibri" w:eastAsia="Calibri" w:hAnsi="Calibri"/>
          <w:b w:val="false"/>
          <w:bCs w:val="false"/>
          <w:i w:val="false"/>
          <w:iCs w:val="false"/>
          <w:caps w:val="false"/>
          <w:color w:val="222222"/>
          <w:sz w:val="21"/>
          <w:szCs w:val="21"/>
        </w:rPr>
        <w:t xml:space="preserve">un consultor clínico supervisa hasta 20 clientes activos en modo asíncrono. El valor es del sistema, no de la persona — y eso es lo que hace el negocio escalable y defendible.</w:t>
      </w:r>
    </w:p>
    <w:p>
      <w:pPr>
        <w:pStyle w:val="Heading1"/>
        <w:pBdr>
          <w:bottom w:val="single" w:color="C4A55A" w:sz="14" w:space="6"/>
        </w:pBdr>
        <w:spacing w:after="130" w:before="340"/>
      </w:pPr>
      <w:r>
        <w:rPr>
          <w:rFonts w:ascii="Calibri" w:cs="Calibri" w:eastAsia="Calibri" w:hAnsi="Calibri"/>
          <w:b/>
          <w:bCs/>
          <w:color w:val="C4A55A"/>
          <w:sz w:val="30"/>
          <w:szCs w:val="30"/>
        </w:rPr>
        <w:t xml:space="preserve">9   </w:t>
      </w:r>
      <w:r>
        <w:rPr>
          <w:rFonts w:ascii="Calibri" w:cs="Calibri" w:eastAsia="Calibri" w:hAnsi="Calibri"/>
          <w:b/>
          <w:bCs/>
          <w:color w:val="1B2B4B"/>
          <w:sz w:val="29"/>
          <w:szCs w:val="29"/>
        </w:rPr>
        <w:t xml:space="preserve">Tracción y estado en 2026</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Plataforma funcional de extremo a extremo: ESE → pago → triaje → tratamiento C0–C6 → alta, con contrato, factura y certificado oficiales.</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Los 30 síntomas auditados y listos para beta; 197 herramientas operativas generadas y enlazadas al protocolo.</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Método propio documentado, servicios definidos y web preparada.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Red de contactos real y colaboraciones con asociaciones de comerciantes, HOSBEC y ayuntamientos; plan de casos piloto y ferias de visibilidad institucional.</w:t>
      </w:r>
    </w:p>
    <w:p>
      <w:pPr>
        <w:spacing w:after="120" w:before="0" w:line="264"/>
      </w:pPr>
      <w:r>
        <w:rPr>
          <w:rFonts w:ascii="Calibri" w:cs="Calibri" w:eastAsia="Calibri" w:hAnsi="Calibri"/>
          <w:b w:val="false"/>
          <w:bCs w:val="false"/>
          <w:i w:val="false"/>
          <w:iCs w:val="false"/>
          <w:caps w:val="false"/>
          <w:color w:val="222222"/>
          <w:sz w:val="21"/>
          <w:szCs w:val="21"/>
        </w:rPr>
        <w:t xml:space="preserve">El siguiente paso es convertir esa base en evidencia comercial: 5 casos beta documentados con datos antes/después que alimenten el discurso y el pipeline.</w:t>
      </w:r>
    </w:p>
    <w:p>
      <w:pPr>
        <w:pStyle w:val="Heading1"/>
        <w:pBdr>
          <w:bottom w:val="single" w:color="C4A55A" w:sz="14" w:space="6"/>
        </w:pBdr>
        <w:spacing w:after="130" w:before="340"/>
      </w:pPr>
      <w:r>
        <w:rPr>
          <w:rFonts w:ascii="Calibri" w:cs="Calibri" w:eastAsia="Calibri" w:hAnsi="Calibri"/>
          <w:b/>
          <w:bCs/>
          <w:color w:val="C4A55A"/>
          <w:sz w:val="30"/>
          <w:szCs w:val="30"/>
        </w:rPr>
        <w:t xml:space="preserve">10   </w:t>
      </w:r>
      <w:r>
        <w:rPr>
          <w:rFonts w:ascii="Calibri" w:cs="Calibri" w:eastAsia="Calibri" w:hAnsi="Calibri"/>
          <w:b/>
          <w:bCs/>
          <w:color w:val="1B2B4B"/>
          <w:sz w:val="29"/>
          <w:szCs w:val="29"/>
        </w:rPr>
        <w:t xml:space="preserve">Equipo</w:t>
      </w:r>
    </w:p>
    <w:p>
      <w:pPr>
        <w:spacing w:after="120" w:before="0" w:line="264"/>
      </w:pPr>
      <w:r>
        <w:rPr>
          <w:rFonts w:ascii="Calibri" w:cs="Calibri" w:eastAsia="Calibri" w:hAnsi="Calibri"/>
          <w:b/>
          <w:bCs/>
          <w:i w:val="false"/>
          <w:iCs w:val="false"/>
          <w:caps w:val="false"/>
          <w:color w:val="1B2B4B"/>
          <w:sz w:val="21"/>
          <w:szCs w:val="21"/>
        </w:rPr>
        <w:t xml:space="preserve">Maite Cabezuelos</w:t>
      </w:r>
      <w:r>
        <w:rPr>
          <w:rFonts w:ascii="Calibri" w:cs="Calibri" w:eastAsia="Calibri" w:hAnsi="Calibri"/>
          <w:b w:val="false"/>
          <w:bCs w:val="false"/>
          <w:i w:val="false"/>
          <w:iCs w:val="false"/>
          <w:caps w:val="false"/>
          <w:color w:val="222222"/>
          <w:sz w:val="21"/>
          <w:szCs w:val="21"/>
        </w:rPr>
        <w:t xml:space="preserve"> — fundadora. 15 años de experiencia en eficiencia y liderazgo operativo y en gestión de crisis (turismo y servicios), con Lean, Agile, Kaizen y Project Management. Aporta el método, el enfoque estratégico y una red de contactos cualificada.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Socia/socio comercial (a incorporar): perfil comercial y de representación de marca, para abrir mercado y potenciar el crecimiento institucional — el complemento natural al perfil reservado y metodológico de la fundadora.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Agente de Cambio Interno (ACI): líder dentro de cada cliente, responsable del grueso de la ejecución y de la transferencia de conocimiento.</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Red futura: consultores certificados, partners tecnológicos y comunidad premium; apoyo inicial con freelancers hasta consolidar equipo interno.</w:t>
      </w:r>
    </w:p>
    <w:p>
      <w:r>
        <w:br w:type="page"/>
      </w:r>
    </w:p>
    <w:p>
      <w:pPr>
        <w:pStyle w:val="Heading1"/>
        <w:pBdr>
          <w:bottom w:val="single" w:color="C4A55A" w:sz="14" w:space="6"/>
        </w:pBdr>
        <w:spacing w:after="130" w:before="340"/>
      </w:pPr>
      <w:r>
        <w:rPr>
          <w:rFonts w:ascii="Calibri" w:cs="Calibri" w:eastAsia="Calibri" w:hAnsi="Calibri"/>
          <w:b/>
          <w:bCs/>
          <w:color w:val="C4A55A"/>
          <w:sz w:val="30"/>
          <w:szCs w:val="30"/>
        </w:rPr>
        <w:t xml:space="preserve">11   </w:t>
      </w:r>
      <w:r>
        <w:rPr>
          <w:rFonts w:ascii="Calibri" w:cs="Calibri" w:eastAsia="Calibri" w:hAnsi="Calibri"/>
          <w:b/>
          <w:bCs/>
          <w:color w:val="1B2B4B"/>
          <w:sz w:val="29"/>
          <w:szCs w:val="29"/>
        </w:rPr>
        <w:t xml:space="preserve">Plan financiero</w:t>
      </w:r>
    </w:p>
    <w:p>
      <w:pPr>
        <w:spacing w:after="120" w:before="0" w:line="264"/>
      </w:pPr>
      <w:r>
        <w:rPr>
          <w:rFonts w:ascii="Calibri" w:cs="Calibri" w:eastAsia="Calibri" w:hAnsi="Calibri"/>
          <w:b w:val="false"/>
          <w:bCs w:val="false"/>
          <w:i w:val="false"/>
          <w:iCs w:val="false"/>
          <w:caps w:val="false"/>
          <w:color w:val="222222"/>
          <w:sz w:val="21"/>
          <w:szCs w:val="21"/>
        </w:rPr>
        <w:t xml:space="preserve">Modelo lean: costes mínimos, sin estructura fija, con la fundadora facturable y apoyo freelance bajo demanda. Las cifras siguientes son un escenario base orientativo, a afinar con los datos reales de la beta.</w:t>
      </w:r>
    </w:p>
    <w:p>
      <w:pPr>
        <w:pStyle w:val="Heading2"/>
        <w:spacing w:after="90" w:before="220"/>
      </w:pPr>
      <w:r>
        <w:rPr>
          <w:rFonts w:ascii="Calibri" w:cs="Calibri" w:eastAsia="Calibri" w:hAnsi="Calibri"/>
          <w:b/>
          <w:bCs/>
          <w:color w:val="1B2B4B"/>
          <w:sz w:val="23"/>
          <w:szCs w:val="23"/>
        </w:rPr>
        <w:t xml:space="preserve">Escenario base (orientativo)</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1900"/>
        <w:gridCol w:w="2600"/>
        <w:gridCol w:w="2200"/>
        <w:gridCol w:w="2326"/>
      </w:tblGrid>
      <w:tr>
        <w:trPr>
          <w:tblHeader/>
        </w:trPr>
        <w:tc>
          <w:tcPr>
            <w:tcW w:type="dxa" w:w="1900"/>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Periodo</w:t>
            </w:r>
          </w:p>
        </w:tc>
        <w:tc>
          <w:tcPr>
            <w:tcW w:type="dxa" w:w="26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Foco</w:t>
            </w:r>
          </w:p>
        </w:tc>
        <w:tc>
          <w:tcPr>
            <w:tcW w:type="dxa" w:w="22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Ingresos aprox.</w:t>
            </w:r>
          </w:p>
        </w:tc>
        <w:tc>
          <w:tcPr>
            <w:tcW w:type="dxa" w:w="2326"/>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Hito</w:t>
            </w:r>
          </w:p>
        </w:tc>
      </w:tr>
      <w:tr>
        <w:tc>
          <w:tcPr>
            <w:tcW w:type="dxa" w:w="1900"/>
            <w:shd w:fill="FBF7EE"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S1 2026</w:t>
            </w:r>
          </w:p>
        </w:tc>
        <w:tc>
          <w:tcPr>
            <w:tcW w:type="dxa" w:w="2600"/>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Validación beta (5–8 casos)</w:t>
            </w:r>
          </w:p>
        </w:tc>
        <w:tc>
          <w:tcPr>
            <w:tcW w:type="dxa" w:w="22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19"/>
                <w:szCs w:val="19"/>
              </w:rPr>
              <w:t xml:space="preserve">8.000–15.000 €</w:t>
            </w:r>
          </w:p>
        </w:tc>
        <w:tc>
          <w:tcPr>
            <w:tcW w:type="dxa" w:w="2326"/>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Casos de éxito documentados</w:t>
            </w:r>
          </w:p>
        </w:tc>
      </w:tr>
      <w:tr>
        <w:tc>
          <w:tcPr>
            <w:tcW w:type="dxa" w:w="1900"/>
            <w:shd w:fill="FFFFFF"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S2 2026</w:t>
            </w:r>
          </w:p>
        </w:tc>
        <w:tc>
          <w:tcPr>
            <w:tcW w:type="dxa" w:w="2600"/>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Primeros planes de pago</w:t>
            </w:r>
          </w:p>
        </w:tc>
        <w:tc>
          <w:tcPr>
            <w:tcW w:type="dxa" w:w="22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19"/>
                <w:szCs w:val="19"/>
              </w:rPr>
              <w:t xml:space="preserve">15.000–25.000 €</w:t>
            </w:r>
          </w:p>
        </w:tc>
        <w:tc>
          <w:tcPr>
            <w:tcW w:type="dxa" w:w="2326"/>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Ratio 1 CC : 20 en marcha</w:t>
            </w:r>
          </w:p>
        </w:tc>
      </w:tr>
      <w:tr>
        <w:tc>
          <w:tcPr>
            <w:tcW w:type="dxa" w:w="1900"/>
            <w:shd w:fill="FBF7EE"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2027</w:t>
            </w:r>
          </w:p>
        </w:tc>
        <w:tc>
          <w:tcPr>
            <w:tcW w:type="dxa" w:w="2600"/>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Escala servicios + SaaS</w:t>
            </w:r>
          </w:p>
        </w:tc>
        <w:tc>
          <w:tcPr>
            <w:tcW w:type="dxa" w:w="22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19"/>
                <w:szCs w:val="19"/>
              </w:rPr>
              <w:t xml:space="preserve">≈ 40.000 €/mes a régimen</w:t>
            </w:r>
          </w:p>
        </w:tc>
        <w:tc>
          <w:tcPr>
            <w:tcW w:type="dxa" w:w="2326"/>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Punto de equilibrio</w:t>
            </w:r>
          </w:p>
        </w:tc>
      </w:tr>
      <w:tr>
        <w:tc>
          <w:tcPr>
            <w:tcW w:type="dxa" w:w="1900"/>
            <w:shd w:fill="FFFFFF" w:color="auto" w:val="clear"/>
            <w:tcMar>
              <w:top w:type="dxa" w:w="66"/>
              <w:left w:type="dxa" w:w="110"/>
              <w:bottom w:type="dxa" w:w="66"/>
              <w:right w:type="dxa" w:w="110"/>
            </w:tcMar>
            <w:vAlign w:val="center"/>
          </w:tcPr>
          <w:p>
            <w:pPr>
              <w:spacing w:after="0" w:line="250"/>
            </w:pPr>
            <w:r>
              <w:rPr>
                <w:rFonts w:ascii="Calibri" w:cs="Calibri" w:eastAsia="Calibri" w:hAnsi="Calibri"/>
                <w:b/>
                <w:bCs/>
                <w:color w:val="1B2B4B"/>
                <w:sz w:val="20"/>
                <w:szCs w:val="20"/>
              </w:rPr>
              <w:t xml:space="preserve">2028</w:t>
            </w:r>
          </w:p>
        </w:tc>
        <w:tc>
          <w:tcPr>
            <w:tcW w:type="dxa" w:w="2600"/>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Franquicia y certificación</w:t>
            </w:r>
          </w:p>
        </w:tc>
        <w:tc>
          <w:tcPr>
            <w:tcW w:type="dxa" w:w="22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19"/>
                <w:szCs w:val="19"/>
              </w:rPr>
              <w:t xml:space="preserve">Royalties recurrentes</w:t>
            </w:r>
          </w:p>
        </w:tc>
        <w:tc>
          <w:tcPr>
            <w:tcW w:type="dxa" w:w="2326"/>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222222"/>
                <w:sz w:val="19"/>
                <w:szCs w:val="19"/>
              </w:rPr>
              <w:t xml:space="preserve">Expansión comarcal</w:t>
            </w:r>
          </w:p>
        </w:tc>
      </w:tr>
    </w:tbl>
    <w:p>
      <w:pPr>
        <w:spacing w:after="120" w:before="50"/>
      </w:pPr>
      <w:r>
        <w:rPr>
          <w:rFonts w:ascii="Calibri" w:cs="Calibri" w:eastAsia="Calibri" w:hAnsi="Calibri"/>
          <w:b w:val="false"/>
          <w:bCs w:val="false"/>
          <w:i/>
          <w:iCs/>
          <w:caps w:val="false"/>
          <w:color w:val="6B6B6B"/>
          <w:sz w:val="17"/>
          <w:szCs w:val="17"/>
        </w:rPr>
        <w:t xml:space="preserve">Cifras ilustrativas basadas en las estimaciones de la fundadora; el modelo definitivo se cierra con los datos de la beta.</w:t>
      </w:r>
    </w:p>
    <w:p>
      <w:pPr>
        <w:pStyle w:val="Heading2"/>
        <w:spacing w:after="90" w:before="220"/>
      </w:pPr>
      <w:r>
        <w:rPr>
          <w:rFonts w:ascii="Calibri" w:cs="Calibri" w:eastAsia="Calibri" w:hAnsi="Calibri"/>
          <w:b/>
          <w:bCs/>
          <w:color w:val="1B2B4B"/>
          <w:sz w:val="23"/>
          <w:szCs w:val="23"/>
        </w:rPr>
        <w:t xml:space="preserve">Unit economics y supuestos</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Colchón inicial disponible: 30.000 €.</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Margen bruto objetivo superior al 60 % (modelo lean, sin estructura fija).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Capacidad: 1 consultor clínico ≈ 20 clientes activos (supervisión asíncrona).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Ticket: planes de 399 € a 4.500 € según plan y tramo; síntoma suelto 99 €; ciclos 240–720 €; success fee en los 6 síntomas financieros.</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Punto de equilibrio proyectado en 12–18 meses. El cliente recupera su inversión en 3–6 meses.</w:t>
      </w:r>
    </w:p>
    <w:p>
      <w:pPr>
        <w:pStyle w:val="Heading2"/>
        <w:spacing w:after="90" w:before="220"/>
      </w:pPr>
      <w:r>
        <w:rPr>
          <w:rFonts w:ascii="Calibri" w:cs="Calibri" w:eastAsia="Calibri" w:hAnsi="Calibri"/>
          <w:b/>
          <w:bCs/>
          <w:color w:val="1B2B4B"/>
          <w:sz w:val="23"/>
          <w:szCs w:val="23"/>
        </w:rPr>
        <w:t xml:space="preserve">KPIs de gestión</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6026"/>
        <w:gridCol w:w="3000"/>
      </w:tblGrid>
      <w:tr>
        <w:trPr>
          <w:tblHeader/>
        </w:trPr>
        <w:tc>
          <w:tcPr>
            <w:tcW w:type="dxa" w:w="6026"/>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KPI</w:t>
            </w:r>
          </w:p>
        </w:tc>
        <w:tc>
          <w:tcPr>
            <w:tcW w:type="dxa" w:w="30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Objetivo</w:t>
            </w:r>
          </w:p>
        </w:tc>
      </w:tr>
      <w:tr>
        <w:tc>
          <w:tcPr>
            <w:tcW w:type="dxa" w:w="6026"/>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Conversión a plan superior (upsell)</w:t>
            </w:r>
          </w:p>
        </w:tc>
        <w:tc>
          <w:tcPr>
            <w:tcW w:type="dxa" w:w="30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20"/>
                <w:szCs w:val="20"/>
              </w:rPr>
              <w:t xml:space="preserve">≥ 60 %</w:t>
            </w:r>
          </w:p>
        </w:tc>
      </w:tr>
      <w:tr>
        <w:tc>
          <w:tcPr>
            <w:tcW w:type="dxa" w:w="6026"/>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Tiempo facturable de la fundadora</w:t>
            </w:r>
          </w:p>
        </w:tc>
        <w:tc>
          <w:tcPr>
            <w:tcW w:type="dxa" w:w="30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20"/>
                <w:szCs w:val="20"/>
              </w:rPr>
              <w:t xml:space="preserve">&gt; 75 %</w:t>
            </w:r>
          </w:p>
        </w:tc>
      </w:tr>
      <w:tr>
        <w:tc>
          <w:tcPr>
            <w:tcW w:type="dxa" w:w="6026"/>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Repetición de clientes</w:t>
            </w:r>
          </w:p>
        </w:tc>
        <w:tc>
          <w:tcPr>
            <w:tcW w:type="dxa" w:w="30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20"/>
                <w:szCs w:val="20"/>
              </w:rPr>
              <w:t xml:space="preserve">≥ 30 %</w:t>
            </w:r>
          </w:p>
        </w:tc>
      </w:tr>
      <w:tr>
        <w:tc>
          <w:tcPr>
            <w:tcW w:type="dxa" w:w="6026"/>
            <w:shd w:fill="FFFFFF"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Clientes activos por consultor</w:t>
            </w:r>
          </w:p>
        </w:tc>
        <w:tc>
          <w:tcPr>
            <w:tcW w:type="dxa" w:w="3000"/>
            <w:shd w:fill="FFFFFF"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20"/>
                <w:szCs w:val="20"/>
              </w:rPr>
              <w:t xml:space="preserve">20</w:t>
            </w:r>
          </w:p>
        </w:tc>
      </w:tr>
      <w:tr>
        <w:tc>
          <w:tcPr>
            <w:tcW w:type="dxa" w:w="6026"/>
            <w:shd w:fill="FBF7EE" w:color="auto" w:val="clear"/>
            <w:tcMar>
              <w:top w:type="dxa" w:w="66"/>
              <w:left w:type="dxa" w:w="110"/>
              <w:bottom w:type="dxa" w:w="66"/>
              <w:right w:type="dxa" w:w="110"/>
            </w:tcMar>
            <w:vAlign w:val="center"/>
          </w:tcPr>
          <w:p>
            <w:pPr>
              <w:spacing w:after="0" w:line="250"/>
            </w:pPr>
            <w:r>
              <w:rPr>
                <w:rFonts w:ascii="Calibri" w:cs="Calibri" w:eastAsia="Calibri" w:hAnsi="Calibri"/>
                <w:b w:val="false"/>
                <w:bCs w:val="false"/>
                <w:color w:val="1B2B4B"/>
                <w:sz w:val="20"/>
                <w:szCs w:val="20"/>
              </w:rPr>
              <w:t xml:space="preserve">Punto de equilibrio</w:t>
            </w:r>
          </w:p>
        </w:tc>
        <w:tc>
          <w:tcPr>
            <w:tcW w:type="dxa" w:w="3000"/>
            <w:shd w:fill="FBF7EE"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C4A55A"/>
                <w:sz w:val="20"/>
                <w:szCs w:val="20"/>
              </w:rPr>
              <w:t xml:space="preserve">12–18 meses</w:t>
            </w:r>
          </w:p>
        </w:tc>
      </w:tr>
    </w:tbl>
    <w:p>
      <w:pPr>
        <w:pStyle w:val="Heading1"/>
        <w:pBdr>
          <w:bottom w:val="single" w:color="C4A55A" w:sz="14" w:space="6"/>
        </w:pBdr>
        <w:spacing w:after="130" w:before="340"/>
      </w:pPr>
      <w:r>
        <w:rPr>
          <w:rFonts w:ascii="Calibri" w:cs="Calibri" w:eastAsia="Calibri" w:hAnsi="Calibri"/>
          <w:b/>
          <w:bCs/>
          <w:color w:val="C4A55A"/>
          <w:sz w:val="30"/>
          <w:szCs w:val="30"/>
        </w:rPr>
        <w:t xml:space="preserve">12   </w:t>
      </w:r>
      <w:r>
        <w:rPr>
          <w:rFonts w:ascii="Calibri" w:cs="Calibri" w:eastAsia="Calibri" w:hAnsi="Calibri"/>
          <w:b/>
          <w:bCs/>
          <w:color w:val="1B2B4B"/>
          <w:sz w:val="29"/>
          <w:szCs w:val="29"/>
        </w:rPr>
        <w:t xml:space="preserve">Roadmap 2026–2028</w:t>
      </w:r>
    </w:p>
    <w:tbl>
      <w:tblPr>
        <w:tblW w:type="dxa" w:w="9026"/>
        <w:tblBorders>
          <w:top w:val="single" w:color="D8D4E4" w:sz="4"/>
          <w:left w:val="single" w:color="D8D4E4" w:sz="4"/>
          <w:bottom w:val="single" w:color="D8D4E4" w:sz="4"/>
          <w:right w:val="single" w:color="D8D4E4" w:sz="4"/>
          <w:insideH w:val="single" w:color="D8D4E4" w:sz="4"/>
          <w:insideV w:val="single" w:color="D8D4E4" w:sz="4"/>
        </w:tblBorders>
      </w:tblPr>
      <w:tblGrid>
        <w:gridCol w:w="2200"/>
        <w:gridCol w:w="2200"/>
        <w:gridCol w:w="4626"/>
      </w:tblGrid>
      <w:tr>
        <w:trPr>
          <w:tblHeader/>
        </w:trPr>
        <w:tc>
          <w:tcPr>
            <w:tcW w:type="dxa" w:w="2200"/>
            <w:shd w:fill="1B2B4B" w:color="auto" w:val="clear"/>
            <w:tcMar>
              <w:top w:type="dxa" w:w="66"/>
              <w:left w:type="dxa" w:w="110"/>
              <w:bottom w:type="dxa" w:w="66"/>
              <w:right w:type="dxa" w:w="110"/>
            </w:tcMar>
            <w:vAlign w:val="center"/>
          </w:tcPr>
          <w:p>
            <w:pPr>
              <w:spacing w:after="0" w:line="250"/>
              <w:jc w:val="left"/>
            </w:pPr>
            <w:r>
              <w:rPr>
                <w:rFonts w:ascii="Calibri" w:cs="Calibri" w:eastAsia="Calibri" w:hAnsi="Calibri"/>
                <w:b/>
                <w:bCs/>
                <w:color w:val="FFFFFF"/>
                <w:sz w:val="20"/>
                <w:szCs w:val="20"/>
              </w:rPr>
              <w:t xml:space="preserve">Fase</w:t>
            </w:r>
          </w:p>
        </w:tc>
        <w:tc>
          <w:tcPr>
            <w:tcW w:type="dxa" w:w="2200"/>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Cuando</w:t>
            </w:r>
          </w:p>
        </w:tc>
        <w:tc>
          <w:tcPr>
            <w:tcW w:type="dxa" w:w="4626"/>
            <w:shd w:fill="1B2B4B" w:color="auto" w:val="clear"/>
            <w:tcMar>
              <w:top w:type="dxa" w:w="66"/>
              <w:left w:type="dxa" w:w="110"/>
              <w:bottom w:type="dxa" w:w="66"/>
              <w:right w:type="dxa" w:w="110"/>
            </w:tcMar>
            <w:vAlign w:val="center"/>
          </w:tcPr>
          <w:p>
            <w:pPr>
              <w:spacing w:after="0" w:line="250"/>
              <w:jc w:val="center"/>
            </w:pPr>
            <w:r>
              <w:rPr>
                <w:rFonts w:ascii="Calibri" w:cs="Calibri" w:eastAsia="Calibri" w:hAnsi="Calibri"/>
                <w:b/>
                <w:bCs/>
                <w:color w:val="FFFFFF"/>
                <w:sz w:val="20"/>
                <w:szCs w:val="20"/>
              </w:rPr>
              <w:t xml:space="preserve">Objetivo</w:t>
            </w:r>
          </w:p>
        </w:tc>
      </w:tr>
      <w:tr>
        <w:tc>
          <w:tcPr>
            <w:tcW w:type="dxa" w:w="2200"/>
            <w:shd w:fill="1B2B4B" w:color="auto" w:val="clear"/>
            <w:tcMar>
              <w:top w:type="dxa" w:w="66"/>
              <w:left w:type="dxa" w:w="110"/>
              <w:bottom w:type="dxa" w:w="66"/>
              <w:right w:type="dxa" w:w="110"/>
            </w:tcMar>
            <w:vAlign w:val="top"/>
          </w:tcPr>
          <w:p>
            <w:pPr>
              <w:spacing w:after="0" w:line="250"/>
            </w:pPr>
            <w:r>
              <w:rPr>
                <w:rFonts w:ascii="Calibri" w:cs="Calibri" w:eastAsia="Calibri" w:hAnsi="Calibri"/>
                <w:b/>
                <w:bCs/>
                <w:color w:val="FFFFFF"/>
                <w:sz w:val="20"/>
                <w:szCs w:val="20"/>
              </w:rPr>
              <w:t xml:space="preserve">Fase 1 — Validación</w:t>
            </w:r>
          </w:p>
        </w:tc>
        <w:tc>
          <w:tcPr>
            <w:tcW w:type="dxa" w:w="22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C4A55A"/>
                <w:sz w:val="20"/>
                <w:szCs w:val="20"/>
              </w:rPr>
              <w:t xml:space="preserve">2026 H1</w:t>
            </w:r>
          </w:p>
        </w:tc>
        <w:tc>
          <w:tcPr>
            <w:tcW w:type="dxa" w:w="46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Beta local: 5–8 casos documentados; afinar oferta y precios con datos reales.</w:t>
            </w:r>
          </w:p>
        </w:tc>
      </w:tr>
      <w:tr>
        <w:tc>
          <w:tcPr>
            <w:tcW w:type="dxa" w:w="2200"/>
            <w:shd w:fill="1B2B4B" w:color="auto" w:val="clear"/>
            <w:tcMar>
              <w:top w:type="dxa" w:w="66"/>
              <w:left w:type="dxa" w:w="110"/>
              <w:bottom w:type="dxa" w:w="66"/>
              <w:right w:type="dxa" w:w="110"/>
            </w:tcMar>
            <w:vAlign w:val="top"/>
          </w:tcPr>
          <w:p>
            <w:pPr>
              <w:spacing w:after="0" w:line="250"/>
            </w:pPr>
            <w:r>
              <w:rPr>
                <w:rFonts w:ascii="Calibri" w:cs="Calibri" w:eastAsia="Calibri" w:hAnsi="Calibri"/>
                <w:b/>
                <w:bCs/>
                <w:color w:val="FFFFFF"/>
                <w:sz w:val="20"/>
                <w:szCs w:val="20"/>
              </w:rPr>
              <w:t xml:space="preserve">Fase 2 — Escala Servicios</w:t>
            </w:r>
          </w:p>
        </w:tc>
        <w:tc>
          <w:tcPr>
            <w:tcW w:type="dxa" w:w="22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C4A55A"/>
                <w:sz w:val="20"/>
                <w:szCs w:val="20"/>
              </w:rPr>
              <w:t xml:space="preserve">2026 H2</w:t>
            </w:r>
          </w:p>
        </w:tc>
        <w:tc>
          <w:tcPr>
            <w:tcW w:type="dxa" w:w="46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Cartera de clientes de pago; ratio 1 CC : 20; lanzar suscripción SaaS.</w:t>
            </w:r>
          </w:p>
        </w:tc>
      </w:tr>
      <w:tr>
        <w:tc>
          <w:tcPr>
            <w:tcW w:type="dxa" w:w="2200"/>
            <w:shd w:fill="1B2B4B" w:color="auto" w:val="clear"/>
            <w:tcMar>
              <w:top w:type="dxa" w:w="66"/>
              <w:left w:type="dxa" w:w="110"/>
              <w:bottom w:type="dxa" w:w="66"/>
              <w:right w:type="dxa" w:w="110"/>
            </w:tcMar>
            <w:vAlign w:val="top"/>
          </w:tcPr>
          <w:p>
            <w:pPr>
              <w:spacing w:after="0" w:line="250"/>
            </w:pPr>
            <w:r>
              <w:rPr>
                <w:rFonts w:ascii="Calibri" w:cs="Calibri" w:eastAsia="Calibri" w:hAnsi="Calibri"/>
                <w:b/>
                <w:bCs/>
                <w:color w:val="FFFFFF"/>
                <w:sz w:val="20"/>
                <w:szCs w:val="20"/>
              </w:rPr>
              <w:t xml:space="preserve">Fase 3 — Franquicia</w:t>
            </w:r>
          </w:p>
        </w:tc>
        <w:tc>
          <w:tcPr>
            <w:tcW w:type="dxa" w:w="2200"/>
            <w:shd w:fill="FBF7EE" w:color="auto" w:val="clear"/>
            <w:tcMar>
              <w:top w:type="dxa" w:w="66"/>
              <w:left w:type="dxa" w:w="110"/>
              <w:bottom w:type="dxa" w:w="66"/>
              <w:right w:type="dxa" w:w="110"/>
            </w:tcMar>
            <w:vAlign w:val="top"/>
          </w:tcPr>
          <w:p>
            <w:pPr>
              <w:spacing w:after="0" w:line="250"/>
            </w:pPr>
            <w:r>
              <w:rPr>
                <w:rFonts w:ascii="Calibri" w:cs="Calibri" w:eastAsia="Calibri" w:hAnsi="Calibri"/>
                <w:b/>
                <w:bCs/>
                <w:color w:val="C4A55A"/>
                <w:sz w:val="20"/>
                <w:szCs w:val="20"/>
              </w:rPr>
              <w:t xml:space="preserve">2027</w:t>
            </w:r>
          </w:p>
        </w:tc>
        <w:tc>
          <w:tcPr>
            <w:tcW w:type="dxa" w:w="4626"/>
            <w:shd w:fill="FBF7EE"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Certificar consultores y abrir zonas; alianzas de protocolo con partners tech.</w:t>
            </w:r>
          </w:p>
        </w:tc>
      </w:tr>
      <w:tr>
        <w:tc>
          <w:tcPr>
            <w:tcW w:type="dxa" w:w="2200"/>
            <w:shd w:fill="1B2B4B" w:color="auto" w:val="clear"/>
            <w:tcMar>
              <w:top w:type="dxa" w:w="66"/>
              <w:left w:type="dxa" w:w="110"/>
              <w:bottom w:type="dxa" w:w="66"/>
              <w:right w:type="dxa" w:w="110"/>
            </w:tcMar>
            <w:vAlign w:val="top"/>
          </w:tcPr>
          <w:p>
            <w:pPr>
              <w:spacing w:after="0" w:line="250"/>
            </w:pPr>
            <w:r>
              <w:rPr>
                <w:rFonts w:ascii="Calibri" w:cs="Calibri" w:eastAsia="Calibri" w:hAnsi="Calibri"/>
                <w:b/>
                <w:bCs/>
                <w:color w:val="FFFFFF"/>
                <w:sz w:val="20"/>
                <w:szCs w:val="20"/>
              </w:rPr>
              <w:t xml:space="preserve">Fase 4 — Expansión</w:t>
            </w:r>
          </w:p>
        </w:tc>
        <w:tc>
          <w:tcPr>
            <w:tcW w:type="dxa" w:w="2200"/>
            <w:shd w:fill="FFFFFF" w:color="auto" w:val="clear"/>
            <w:tcMar>
              <w:top w:type="dxa" w:w="66"/>
              <w:left w:type="dxa" w:w="110"/>
              <w:bottom w:type="dxa" w:w="66"/>
              <w:right w:type="dxa" w:w="110"/>
            </w:tcMar>
            <w:vAlign w:val="top"/>
          </w:tcPr>
          <w:p>
            <w:pPr>
              <w:spacing w:after="0" w:line="250"/>
            </w:pPr>
            <w:r>
              <w:rPr>
                <w:rFonts w:ascii="Calibri" w:cs="Calibri" w:eastAsia="Calibri" w:hAnsi="Calibri"/>
                <w:b/>
                <w:bCs/>
                <w:color w:val="C4A55A"/>
                <w:sz w:val="20"/>
                <w:szCs w:val="20"/>
              </w:rPr>
              <w:t xml:space="preserve">2028</w:t>
            </w:r>
          </w:p>
        </w:tc>
        <w:tc>
          <w:tcPr>
            <w:tcW w:type="dxa" w:w="4626"/>
            <w:shd w:fill="FFFFFF" w:color="auto" w:val="clear"/>
            <w:tcMar>
              <w:top w:type="dxa" w:w="66"/>
              <w:left w:type="dxa" w:w="110"/>
              <w:bottom w:type="dxa" w:w="66"/>
              <w:right w:type="dxa" w:w="110"/>
            </w:tcMar>
            <w:vAlign w:val="top"/>
          </w:tcPr>
          <w:p>
            <w:pPr>
              <w:spacing w:after="0" w:line="250"/>
            </w:pPr>
            <w:r>
              <w:rPr>
                <w:rFonts w:ascii="Calibri" w:cs="Calibri" w:eastAsia="Calibri" w:hAnsi="Calibri"/>
                <w:b w:val="false"/>
                <w:bCs w:val="false"/>
                <w:color w:val="222222"/>
                <w:sz w:val="20"/>
                <w:szCs w:val="20"/>
              </w:rPr>
              <w:t xml:space="preserve">Expansión comarcal/nacional del MAS@Framework® y comunidad premium.</w:t>
            </w:r>
          </w:p>
        </w:tc>
      </w:tr>
    </w:tbl>
    <w:p>
      <w:pPr>
        <w:pStyle w:val="Heading1"/>
        <w:pBdr>
          <w:bottom w:val="single" w:color="C4A55A" w:sz="14" w:space="6"/>
        </w:pBdr>
        <w:spacing w:after="130" w:before="340"/>
      </w:pPr>
      <w:r>
        <w:rPr>
          <w:rFonts w:ascii="Calibri" w:cs="Calibri" w:eastAsia="Calibri" w:hAnsi="Calibri"/>
          <w:b/>
          <w:bCs/>
          <w:color w:val="C4A55A"/>
          <w:sz w:val="30"/>
          <w:szCs w:val="30"/>
        </w:rPr>
        <w:t xml:space="preserve">13   </w:t>
      </w:r>
      <w:r>
        <w:rPr>
          <w:rFonts w:ascii="Calibri" w:cs="Calibri" w:eastAsia="Calibri" w:hAnsi="Calibri"/>
          <w:b/>
          <w:bCs/>
          <w:color w:val="1B2B4B"/>
          <w:sz w:val="29"/>
          <w:szCs w:val="29"/>
        </w:rPr>
        <w:t xml:space="preserve">La oportunidad para el socio y el inversor</w:t>
      </w:r>
    </w:p>
    <w:p>
      <w:pPr>
        <w:pStyle w:val="Heading2"/>
        <w:spacing w:after="90" w:before="220"/>
      </w:pPr>
      <w:r>
        <w:rPr>
          <w:rFonts w:ascii="Calibri" w:cs="Calibri" w:eastAsia="Calibri" w:hAnsi="Calibri"/>
          <w:b/>
          <w:bCs/>
          <w:color w:val="1B2B4B"/>
          <w:sz w:val="23"/>
          <w:szCs w:val="23"/>
        </w:rPr>
        <w:t xml:space="preserve">Qué se busca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bCs/>
          <w:color w:val="222222"/>
          <w:sz w:val="21"/>
          <w:szCs w:val="21"/>
        </w:rPr>
        <w:t xml:space="preserve">Una socia o socio estratégico con perfil comercial: representar la marca, abrir mercado y potenciar el crecimiento institucional.</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bCs/>
          <w:color w:val="222222"/>
          <w:sz w:val="21"/>
          <w:szCs w:val="21"/>
        </w:rPr>
        <w:t xml:space="preserve">Capital de arranque para acelerar la validación local y financiar el salto a SaaS y las primeras franquicias.</w:t>
      </w:r>
    </w:p>
    <w:p>
      <w:pPr>
        <w:pStyle w:val="Heading2"/>
        <w:spacing w:after="90" w:before="220"/>
      </w:pPr>
      <w:r>
        <w:rPr>
          <w:rFonts w:ascii="Calibri" w:cs="Calibri" w:eastAsia="Calibri" w:hAnsi="Calibri"/>
          <w:b/>
          <w:bCs/>
          <w:color w:val="1B2B4B"/>
          <w:sz w:val="23"/>
          <w:szCs w:val="23"/>
        </w:rPr>
        <w:t xml:space="preserve">Qué se ofrece</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Participación en un modelo probado, diferenciado y escalable, con una marca llamada a ser referente comarcal y regional.</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Un producto real y funcionando: plataforma de extremo a extremo, 30 síntomas listos y 197 herramientas — no una idea, un sistema.</w:t>
      </w:r>
    </w:p>
    <w:p>
      <w:pPr>
        <w:spacing w:after="88" w:line="258"/>
        <w:ind w:left="240" w:hanging="200"/>
      </w:pPr>
      <w:r>
        <w:rPr>
          <w:rFonts w:ascii="Calibri" w:cs="Calibri" w:eastAsia="Calibri" w:hAnsi="Calibri"/>
          <w:b/>
          <w:bCs/>
          <w:color w:val="C4A55A"/>
          <w:sz w:val="20"/>
          <w:szCs w:val="20"/>
        </w:rPr>
        <w:t xml:space="preserve">▪  </w:t>
      </w:r>
      <w:r>
        <w:rPr>
          <w:rFonts w:ascii="Calibri" w:cs="Calibri" w:eastAsia="Calibri" w:hAnsi="Calibri"/>
          <w:b w:val="false"/>
          <w:bCs w:val="false"/>
          <w:color w:val="222222"/>
          <w:sz w:val="21"/>
          <w:szCs w:val="21"/>
        </w:rPr>
        <w:t xml:space="preserve">Tres motores de escala ya diseñados (SaaS, franquicia, comunidad) sobre un protocolo defendible y difícil de copiar.</w:t>
      </w:r>
    </w:p>
    <w:p>
      <w:pPr>
        <w:pBdr>
          <w:left w:val="single" w:color="C4A55A" w:sz="18" w:space="10"/>
        </w:pBdr>
        <w:shd w:fill="F1EFF7" w:color="auto" w:val="clear"/>
        <w:spacing w:after="120" w:before="120"/>
      </w:pPr>
      <w:r>
        <w:rPr>
          <w:rFonts w:ascii="Calibri" w:cs="Calibri" w:eastAsia="Calibri" w:hAnsi="Calibri"/>
          <w:b/>
          <w:bCs/>
          <w:i w:val="false"/>
          <w:iCs w:val="false"/>
          <w:caps w:val="false"/>
          <w:color w:val="1B2B4B"/>
          <w:sz w:val="21"/>
          <w:szCs w:val="21"/>
        </w:rPr>
        <w:t xml:space="preserve">La tesis en una frase: </w:t>
      </w:r>
      <w:r>
        <w:rPr>
          <w:rFonts w:ascii="Calibri" w:cs="Calibri" w:eastAsia="Calibri" w:hAnsi="Calibri"/>
          <w:b w:val="false"/>
          <w:bCs w:val="false"/>
          <w:i/>
          <w:iCs/>
          <w:caps w:val="false"/>
          <w:color w:val="222222"/>
          <w:sz w:val="21"/>
          <w:szCs w:val="21"/>
        </w:rPr>
        <w:t xml:space="preserve">un método clínico que cobra por resultado, empaquetado en software, validado en una comarca y listo para escalar por SaaS y franquicia.</w:t>
      </w:r>
    </w:p>
    <w:p>
      <w:pPr>
        <w:spacing w:after="160"/>
      </w:pPr>
    </w:p>
    <w:p>
      <w:pPr>
        <w:pBdr>
          <w:top w:val="single" w:color="C4A55A" w:sz="12" w:space="10"/>
        </w:pBdr>
        <w:spacing w:after="40" w:before="160"/>
        <w:jc w:val="center"/>
      </w:pPr>
      <w:r>
        <w:rPr>
          <w:rFonts w:ascii="Georgia" w:cs="Georgia" w:eastAsia="Georgia" w:hAnsi="Georgia"/>
          <w:b/>
          <w:bCs/>
          <w:i w:val="false"/>
          <w:iCs w:val="false"/>
          <w:caps w:val="false"/>
          <w:color w:val="1B2B4B"/>
          <w:sz w:val="20"/>
          <w:szCs w:val="20"/>
        </w:rPr>
        <w:t xml:space="preserve">MASESORA · La Clínica de Empresas · MAS@FRAME®</w:t>
      </w:r>
    </w:p>
    <w:p>
      <w:pPr>
        <w:jc w:val="center"/>
      </w:pPr>
      <w:r>
        <w:rPr>
          <w:rFonts w:ascii="Calibri" w:cs="Calibri" w:eastAsia="Calibri" w:hAnsi="Calibri"/>
          <w:b w:val="false"/>
          <w:bCs w:val="false"/>
          <w:i w:val="false"/>
          <w:iCs w:val="false"/>
          <w:caps w:val="false"/>
          <w:color w:val="6B6B6B"/>
          <w:sz w:val="17"/>
          <w:szCs w:val="17"/>
        </w:rPr>
        <w:t xml:space="preserve">www.masesora.com   ·   info@masesora.com   ·   609 987 436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Confidencial · MASESORA ·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E8" w:sz="4" w:space="4"/>
      </w:pBdr>
      <w:jc w:val="right"/>
    </w:pPr>
    <w:r>
      <w:rPr>
        <w:rFonts w:ascii="Calibri" w:cs="Calibri" w:eastAsia="Calibri" w:hAnsi="Calibri"/>
        <w:b w:val="false"/>
        <w:bCs w:val="false"/>
        <w:i w:val="false"/>
        <w:iCs w:val="false"/>
        <w:caps w:val="false"/>
        <w:color w:val="6B6B6B"/>
        <w:sz w:val="15"/>
        <w:szCs w:val="15"/>
      </w:rPr>
      <w:t xml:space="preserve">Plan de Empresa 2026  ·  MASESORA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Empresa Masesora 2026</dc:title>
  <dc:creator>MASESORA</dc:creator>
  <cp:lastModifiedBy>Un-named</cp:lastModifiedBy>
  <cp:revision>1</cp:revision>
  <dcterms:created xsi:type="dcterms:W3CDTF">2026-07-15T23:23:58.661Z</dcterms:created>
  <dcterms:modified xsi:type="dcterms:W3CDTF">2026-07-15T23:23:58.661Z</dcterms:modified>
</cp:coreProperties>
</file>

<file path=docProps/custom.xml><?xml version="1.0" encoding="utf-8"?>
<Properties xmlns="http://schemas.openxmlformats.org/officeDocument/2006/custom-properties" xmlns:vt="http://schemas.openxmlformats.org/officeDocument/2006/docPropsVTypes"/>
</file>