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DEF" w:rsidRDefault="00237DEF" w:rsidP="00237DEF">
      <w:pPr>
        <w:pStyle w:val="Ttulo2"/>
        <w:spacing w:before="0" w:line="240" w:lineRule="auto"/>
        <w:rPr>
          <w:rFonts w:ascii="Arial" w:eastAsia="Cambria" w:hAnsi="Arial"/>
          <w:color w:val="000099"/>
          <w:sz w:val="36"/>
          <w:szCs w:val="22"/>
        </w:rPr>
      </w:pPr>
      <w:bookmarkStart w:id="0" w:name="_GoBack"/>
      <w:bookmarkEnd w:id="0"/>
    </w:p>
    <w:p w:rsidR="00237DEF" w:rsidRDefault="00616642" w:rsidP="00237DEF">
      <w:pPr>
        <w:pStyle w:val="Ttulo2"/>
        <w:spacing w:before="0" w:line="240" w:lineRule="auto"/>
        <w:rPr>
          <w:rFonts w:ascii="Arial" w:eastAsia="Cambria" w:hAnsi="Arial"/>
          <w:color w:val="000099"/>
          <w:sz w:val="36"/>
          <w:szCs w:val="22"/>
        </w:rPr>
      </w:pPr>
      <w:r>
        <w:rPr>
          <w:rFonts w:ascii="Arial" w:eastAsia="Cambria" w:hAnsi="Arial"/>
          <w:color w:val="000099"/>
          <w:sz w:val="36"/>
          <w:szCs w:val="22"/>
        </w:rPr>
        <w:t>Guía Estudio del Módulo 5</w:t>
      </w:r>
      <w:r w:rsidR="00473421" w:rsidRPr="008E2246">
        <w:rPr>
          <w:rFonts w:ascii="Arial" w:eastAsia="Cambria" w:hAnsi="Arial"/>
          <w:color w:val="000099"/>
          <w:sz w:val="36"/>
          <w:szCs w:val="22"/>
        </w:rPr>
        <w:t xml:space="preserve">: </w:t>
      </w:r>
    </w:p>
    <w:p w:rsidR="00473421" w:rsidRPr="008E2246" w:rsidRDefault="00616642" w:rsidP="00237DEF">
      <w:pPr>
        <w:pStyle w:val="Ttulo2"/>
        <w:spacing w:before="0" w:line="240" w:lineRule="auto"/>
        <w:rPr>
          <w:rFonts w:ascii="Arial" w:eastAsia="Cambria" w:hAnsi="Arial"/>
          <w:color w:val="000099"/>
          <w:sz w:val="36"/>
          <w:szCs w:val="22"/>
        </w:rPr>
      </w:pPr>
      <w:r>
        <w:rPr>
          <w:rFonts w:ascii="Arial" w:eastAsia="Cambria" w:hAnsi="Arial"/>
          <w:color w:val="000099"/>
          <w:sz w:val="36"/>
          <w:szCs w:val="22"/>
        </w:rPr>
        <w:t xml:space="preserve">Administración de Sistemas de </w:t>
      </w:r>
      <w:r w:rsidRPr="00064A54">
        <w:rPr>
          <w:rFonts w:ascii="Arial" w:eastAsia="Cambria" w:hAnsi="Arial"/>
          <w:i/>
          <w:color w:val="000099"/>
          <w:sz w:val="36"/>
          <w:szCs w:val="22"/>
        </w:rPr>
        <w:t xml:space="preserve">Data </w:t>
      </w:r>
      <w:proofErr w:type="spellStart"/>
      <w:r w:rsidRPr="00064A54">
        <w:rPr>
          <w:rFonts w:ascii="Arial" w:eastAsia="Cambria" w:hAnsi="Arial"/>
          <w:i/>
          <w:color w:val="000099"/>
          <w:sz w:val="36"/>
          <w:szCs w:val="22"/>
        </w:rPr>
        <w:t>Warehouse</w:t>
      </w:r>
      <w:proofErr w:type="spellEnd"/>
    </w:p>
    <w:p w:rsidR="00237DEF" w:rsidRDefault="00237DEF" w:rsidP="00BF2219">
      <w:pPr>
        <w:spacing w:after="0"/>
      </w:pPr>
    </w:p>
    <w:p w:rsidR="00BF2219" w:rsidRDefault="00473421" w:rsidP="00BF2219">
      <w:pPr>
        <w:spacing w:after="0"/>
      </w:pPr>
      <w:r>
        <w:t xml:space="preserve">Tiempo de lectura: </w:t>
      </w:r>
      <w:r w:rsidR="000B7757">
        <w:t>3 horas</w:t>
      </w:r>
    </w:p>
    <w:p w:rsidR="00204C4A" w:rsidRDefault="00204C4A" w:rsidP="00BF2219">
      <w:pPr>
        <w:spacing w:after="0"/>
      </w:pPr>
    </w:p>
    <w:p w:rsidR="00473421" w:rsidRPr="00473421" w:rsidRDefault="00473421" w:rsidP="00BF2219">
      <w:pPr>
        <w:spacing w:after="0"/>
      </w:pPr>
    </w:p>
    <w:sdt>
      <w:sdtPr>
        <w:rPr>
          <w:rFonts w:ascii="Arial" w:eastAsia="Cambria" w:hAnsi="Arial"/>
          <w:color w:val="000099"/>
          <w:sz w:val="36"/>
          <w:szCs w:val="22"/>
        </w:rPr>
        <w:tag w:val="goog_rdk_2"/>
        <w:id w:val="-1150362954"/>
      </w:sdtPr>
      <w:sdtEndPr/>
      <w:sdtContent>
        <w:p w:rsidR="0034117B" w:rsidRPr="008E2246" w:rsidRDefault="002173FD" w:rsidP="008E2246">
          <w:pPr>
            <w:pStyle w:val="Ttulo2"/>
            <w:rPr>
              <w:rFonts w:ascii="Arial" w:eastAsia="Cambria" w:hAnsi="Arial"/>
              <w:color w:val="000099"/>
              <w:sz w:val="36"/>
              <w:szCs w:val="22"/>
            </w:rPr>
          </w:pPr>
          <w:r w:rsidRPr="008E2246">
            <w:rPr>
              <w:rFonts w:ascii="Arial" w:eastAsia="Cambria" w:hAnsi="Arial"/>
              <w:color w:val="000099"/>
              <w:sz w:val="36"/>
              <w:szCs w:val="22"/>
            </w:rPr>
            <w:t>Presentación</w:t>
          </w:r>
          <w:r w:rsidR="00FC0F5A" w:rsidRPr="008E2246">
            <w:rPr>
              <w:rFonts w:ascii="Arial" w:eastAsia="Cambria" w:hAnsi="Arial"/>
              <w:color w:val="000099"/>
              <w:sz w:val="36"/>
              <w:szCs w:val="22"/>
            </w:rPr>
            <w:t>.</w:t>
          </w:r>
        </w:p>
      </w:sdtContent>
    </w:sdt>
    <w:sdt>
      <w:sdtPr>
        <w:tag w:val="goog_rdk_3"/>
        <w:id w:val="-627324832"/>
      </w:sdtPr>
      <w:sdtEndPr/>
      <w:sdtContent>
        <w:p w:rsidR="0034117B" w:rsidRDefault="003067A9">
          <w:pPr>
            <w:spacing w:before="240" w:after="200" w:line="276" w:lineRule="auto"/>
          </w:pPr>
          <w:r w:rsidRPr="003067A9">
            <w:t>El objetivo de esta guía es orientar al estudiante durante el estudio del módulo Introducción a las bases de datos analíticas, con la finalidad de optimizar la dedicación que el estudiante pueda dedicar al temario establecido, tanto en lo que se refiere a tiempo, como a interés o relevancia del contenido.</w:t>
          </w:r>
        </w:p>
      </w:sdtContent>
    </w:sdt>
    <w:p w:rsidR="0034117B" w:rsidRDefault="0034117B" w:rsidP="00360C1D">
      <w:pPr>
        <w:spacing w:before="240" w:after="200" w:line="276" w:lineRule="auto"/>
        <w:ind w:left="567"/>
      </w:pPr>
    </w:p>
    <w:sdt>
      <w:sdtPr>
        <w:tag w:val="goog_rdk_2"/>
        <w:id w:val="2053337545"/>
      </w:sdtPr>
      <w:sdtEndPr>
        <w:rPr>
          <w:rFonts w:ascii="Arial" w:eastAsia="Cambria" w:hAnsi="Arial"/>
          <w:color w:val="000099"/>
          <w:sz w:val="36"/>
          <w:szCs w:val="22"/>
        </w:rPr>
      </w:sdtEndPr>
      <w:sdtContent>
        <w:p w:rsidR="002173FD" w:rsidRPr="008E2246" w:rsidRDefault="00473421" w:rsidP="008E2246">
          <w:pPr>
            <w:pStyle w:val="Ttulo2"/>
            <w:rPr>
              <w:rFonts w:ascii="Arial" w:eastAsia="Cambria" w:hAnsi="Arial"/>
              <w:color w:val="000099"/>
              <w:sz w:val="36"/>
              <w:szCs w:val="22"/>
            </w:rPr>
          </w:pPr>
          <w:r w:rsidRPr="008E2246">
            <w:rPr>
              <w:rFonts w:ascii="Arial" w:eastAsia="Cambria" w:hAnsi="Arial"/>
              <w:color w:val="000099"/>
              <w:sz w:val="36"/>
              <w:szCs w:val="22"/>
            </w:rPr>
            <w:t>Objetivo del Aprendizaje</w:t>
          </w:r>
          <w:r w:rsidR="002173FD" w:rsidRPr="008E2246">
            <w:rPr>
              <w:rFonts w:ascii="Arial" w:eastAsia="Cambria" w:hAnsi="Arial"/>
              <w:color w:val="000099"/>
              <w:sz w:val="36"/>
              <w:szCs w:val="22"/>
            </w:rPr>
            <w:t>.</w:t>
          </w:r>
        </w:p>
      </w:sdtContent>
    </w:sdt>
    <w:p w:rsidR="009D1001" w:rsidRDefault="009D1001" w:rsidP="002173FD">
      <w:pPr>
        <w:spacing w:before="240" w:after="200" w:line="276" w:lineRule="auto"/>
      </w:pPr>
      <w:r w:rsidRPr="009D1001">
        <w:t xml:space="preserve">Una vez </w:t>
      </w:r>
      <w:r>
        <w:t>construido</w:t>
      </w:r>
      <w:r w:rsidRPr="009D1001">
        <w:t xml:space="preserve"> </w:t>
      </w:r>
      <w:proofErr w:type="gramStart"/>
      <w:r w:rsidRPr="009D1001">
        <w:t>el</w:t>
      </w:r>
      <w:proofErr w:type="gramEnd"/>
      <w:r w:rsidRPr="009D1001">
        <w:t xml:space="preserve"> </w:t>
      </w:r>
      <w:r w:rsidRPr="00064A54">
        <w:rPr>
          <w:i/>
        </w:rPr>
        <w:t xml:space="preserve">data </w:t>
      </w:r>
      <w:proofErr w:type="spellStart"/>
      <w:r w:rsidRPr="00064A54">
        <w:rPr>
          <w:i/>
        </w:rPr>
        <w:t>warehouse</w:t>
      </w:r>
      <w:proofErr w:type="spellEnd"/>
      <w:r w:rsidRPr="009D1001">
        <w:t xml:space="preserve"> y la FIC</w:t>
      </w:r>
      <w:r>
        <w:t xml:space="preserve"> (módulos 1 y 2)</w:t>
      </w:r>
      <w:r w:rsidRPr="009D1001">
        <w:t>,</w:t>
      </w:r>
      <w:r>
        <w:t xml:space="preserve"> por un lado ya puede iniciarse la explotación de los datos (módulos 3 y 4), pero paralelamente hay que seguir evolucionando y manteniendo los diferentes recursos que forman parte de la FIC. D</w:t>
      </w:r>
      <w:r w:rsidRPr="009D1001">
        <w:t>e aquí</w:t>
      </w:r>
      <w:r>
        <w:t>,</w:t>
      </w:r>
      <w:r w:rsidRPr="009D1001">
        <w:t xml:space="preserve"> la importancia de la administración de sistemas de </w:t>
      </w:r>
      <w:proofErr w:type="spellStart"/>
      <w:r w:rsidRPr="008A3FC1">
        <w:rPr>
          <w:i/>
        </w:rPr>
        <w:t>datawarehousing</w:t>
      </w:r>
      <w:proofErr w:type="spellEnd"/>
      <w:r w:rsidRPr="009D1001">
        <w:t xml:space="preserve">. </w:t>
      </w:r>
    </w:p>
    <w:p w:rsidR="00BF2219" w:rsidRDefault="008A3FC1" w:rsidP="002173FD">
      <w:pPr>
        <w:spacing w:before="240" w:after="200" w:line="276" w:lineRule="auto"/>
      </w:pPr>
      <w:r>
        <w:t>En este mó</w:t>
      </w:r>
      <w:r w:rsidR="009D1001">
        <w:t>dulo s</w:t>
      </w:r>
      <w:r w:rsidR="009D1001" w:rsidRPr="009D1001">
        <w:t xml:space="preserve">e presenta el ciclo de vida del data </w:t>
      </w:r>
      <w:proofErr w:type="spellStart"/>
      <w:r w:rsidR="009D1001" w:rsidRPr="009D1001">
        <w:t>warehouse</w:t>
      </w:r>
      <w:proofErr w:type="spellEnd"/>
      <w:r w:rsidR="009D1001" w:rsidRPr="009D1001">
        <w:t>, desde las primeras etapas de planificación y diseño; pasando por su puesta en marcha y crecimiento; llegando hasta las fases de monitorización, mantenimiento y optimización. También se presentan las figuras concretas encargadas de llevar a cabo conjuntos de tareas especializadas, que las organizaciones deben contemplar para asegurar el buen funcionamiento del sistema.</w:t>
      </w:r>
    </w:p>
    <w:p w:rsidR="009D1001" w:rsidRDefault="009D1001" w:rsidP="002173FD">
      <w:pPr>
        <w:spacing w:before="240" w:after="200" w:line="276" w:lineRule="auto"/>
      </w:pPr>
    </w:p>
    <w:sdt>
      <w:sdtPr>
        <w:tag w:val="goog_rdk_2"/>
        <w:id w:val="-1064481190"/>
      </w:sdtPr>
      <w:sdtEndPr>
        <w:rPr>
          <w:rFonts w:ascii="Arial" w:eastAsia="Cambria" w:hAnsi="Arial"/>
          <w:color w:val="000099"/>
          <w:sz w:val="36"/>
          <w:szCs w:val="22"/>
        </w:rPr>
      </w:sdtEndPr>
      <w:sdtContent>
        <w:p w:rsidR="002173FD" w:rsidRPr="008E2246" w:rsidRDefault="00473421" w:rsidP="008E2246">
          <w:pPr>
            <w:pStyle w:val="Ttulo2"/>
            <w:rPr>
              <w:rFonts w:ascii="Arial" w:eastAsia="Cambria" w:hAnsi="Arial"/>
              <w:color w:val="000099"/>
              <w:sz w:val="36"/>
              <w:szCs w:val="22"/>
            </w:rPr>
          </w:pPr>
          <w:r w:rsidRPr="008E2246">
            <w:rPr>
              <w:rFonts w:ascii="Arial" w:eastAsia="Cambria" w:hAnsi="Arial"/>
              <w:color w:val="000099"/>
              <w:sz w:val="36"/>
              <w:szCs w:val="22"/>
            </w:rPr>
            <w:t>Apartados Relevantes</w:t>
          </w:r>
          <w:r w:rsidR="002173FD" w:rsidRPr="008E2246">
            <w:rPr>
              <w:rFonts w:ascii="Arial" w:eastAsia="Cambria" w:hAnsi="Arial"/>
              <w:color w:val="000099"/>
              <w:sz w:val="36"/>
              <w:szCs w:val="22"/>
            </w:rPr>
            <w:t>.</w:t>
          </w:r>
        </w:p>
      </w:sdtContent>
    </w:sdt>
    <w:p w:rsidR="0096216A" w:rsidRDefault="0096216A" w:rsidP="002173FD">
      <w:pPr>
        <w:spacing w:before="240" w:after="200" w:line="276" w:lineRule="auto"/>
      </w:pPr>
      <w:r>
        <w:t xml:space="preserve">Dado que </w:t>
      </w:r>
      <w:r w:rsidR="008A3FC1">
        <w:t>el objetivo principal de este mó</w:t>
      </w:r>
      <w:r>
        <w:t>dulo es</w:t>
      </w:r>
      <w:r w:rsidR="009D1001">
        <w:t>,</w:t>
      </w:r>
      <w:r>
        <w:t xml:space="preserve"> </w:t>
      </w:r>
      <w:r w:rsidR="009D1001">
        <w:t xml:space="preserve">que el </w:t>
      </w:r>
      <w:r w:rsidR="003067A9">
        <w:t>estudiante</w:t>
      </w:r>
      <w:r w:rsidR="009D1001">
        <w:t xml:space="preserve"> pueda tomar </w:t>
      </w:r>
      <w:proofErr w:type="gramStart"/>
      <w:r w:rsidR="009D1001">
        <w:t>conciencia</w:t>
      </w:r>
      <w:proofErr w:type="gramEnd"/>
      <w:r w:rsidR="009D1001">
        <w:t xml:space="preserve"> de las tareas que acompañan el normal funcionamiento del almacén de datos, y que hacen necesaria la existencia de personas dedicadas a su administración, los dos apartados principales van a tener una relevancia signif</w:t>
      </w:r>
      <w:r w:rsidR="008A3FC1">
        <w:t>icativa en el estudio de este mó</w:t>
      </w:r>
      <w:r w:rsidR="009D1001">
        <w:t>dulo:</w:t>
      </w:r>
    </w:p>
    <w:p w:rsidR="00B51638" w:rsidRDefault="009D1001" w:rsidP="00F46D22">
      <w:pPr>
        <w:pStyle w:val="Prrafodelista"/>
        <w:numPr>
          <w:ilvl w:val="0"/>
          <w:numId w:val="25"/>
        </w:numPr>
        <w:spacing w:before="240" w:after="200" w:line="276" w:lineRule="auto"/>
      </w:pPr>
      <w:r>
        <w:t>1</w:t>
      </w:r>
      <w:r w:rsidR="00B51638">
        <w:t xml:space="preserve"> - </w:t>
      </w:r>
      <w:r w:rsidRPr="009D1001">
        <w:t xml:space="preserve">Desarrollo del sistema de </w:t>
      </w:r>
      <w:r w:rsidRPr="00064A54">
        <w:rPr>
          <w:i/>
        </w:rPr>
        <w:t xml:space="preserve">data </w:t>
      </w:r>
      <w:proofErr w:type="spellStart"/>
      <w:r w:rsidRPr="00064A54">
        <w:rPr>
          <w:i/>
        </w:rPr>
        <w:t>warehouse</w:t>
      </w:r>
      <w:proofErr w:type="spellEnd"/>
    </w:p>
    <w:p w:rsidR="00F46D22" w:rsidRDefault="009D1001" w:rsidP="00B51638">
      <w:pPr>
        <w:pStyle w:val="Prrafodelista"/>
        <w:numPr>
          <w:ilvl w:val="0"/>
          <w:numId w:val="25"/>
        </w:numPr>
        <w:spacing w:before="240" w:after="200" w:line="276" w:lineRule="auto"/>
      </w:pPr>
      <w:r>
        <w:t>2</w:t>
      </w:r>
      <w:r w:rsidR="0096216A">
        <w:t xml:space="preserve"> - </w:t>
      </w:r>
      <w:r w:rsidR="00F41CE3" w:rsidRPr="00F41CE3">
        <w:t>Administración del sistema</w:t>
      </w:r>
    </w:p>
    <w:p w:rsidR="002173FD" w:rsidRDefault="002173FD" w:rsidP="002173FD">
      <w:pPr>
        <w:spacing w:before="240" w:after="200" w:line="276" w:lineRule="auto"/>
      </w:pPr>
    </w:p>
    <w:p w:rsidR="00F41CE3" w:rsidRDefault="00F41CE3" w:rsidP="002173FD">
      <w:pPr>
        <w:spacing w:before="240" w:after="200" w:line="276" w:lineRule="auto"/>
      </w:pPr>
    </w:p>
    <w:p w:rsidR="00F41CE3" w:rsidRDefault="00F41CE3" w:rsidP="002173FD">
      <w:pPr>
        <w:spacing w:before="240" w:after="200" w:line="276" w:lineRule="auto"/>
      </w:pPr>
    </w:p>
    <w:sdt>
      <w:sdtPr>
        <w:tag w:val="goog_rdk_2"/>
        <w:id w:val="686035439"/>
      </w:sdtPr>
      <w:sdtEndPr/>
      <w:sdtContent>
        <w:p w:rsidR="002173FD" w:rsidRPr="00FC0F5A" w:rsidRDefault="00473421" w:rsidP="008E2246">
          <w:pPr>
            <w:pStyle w:val="Ttulo2"/>
          </w:pPr>
          <w:r w:rsidRPr="008E2246">
            <w:rPr>
              <w:rFonts w:ascii="Arial" w:eastAsia="Cambria" w:hAnsi="Arial"/>
              <w:color w:val="000099"/>
              <w:sz w:val="36"/>
              <w:szCs w:val="22"/>
            </w:rPr>
            <w:t>Apartados Informativos</w:t>
          </w:r>
          <w:r w:rsidR="002173FD" w:rsidRPr="008E2246">
            <w:rPr>
              <w:rFonts w:ascii="Arial" w:eastAsia="Cambria" w:hAnsi="Arial"/>
              <w:color w:val="000099"/>
              <w:sz w:val="36"/>
              <w:szCs w:val="22"/>
            </w:rPr>
            <w:t>.</w:t>
          </w:r>
        </w:p>
      </w:sdtContent>
    </w:sdt>
    <w:p w:rsidR="00E83267" w:rsidRDefault="008A3FC1" w:rsidP="00E83267">
      <w:pPr>
        <w:spacing w:before="240" w:after="200" w:line="276" w:lineRule="auto"/>
      </w:pPr>
      <w:r>
        <w:t>En este mismo mó</w:t>
      </w:r>
      <w:r w:rsidR="00F41CE3">
        <w:t xml:space="preserve">dulo, el </w:t>
      </w:r>
      <w:r w:rsidR="003067A9">
        <w:t>estudiante</w:t>
      </w:r>
      <w:r w:rsidR="00F41CE3">
        <w:t xml:space="preserve"> podrá encontrar el punto </w:t>
      </w:r>
      <w:r w:rsidR="00F41CE3" w:rsidRPr="00F41CE3">
        <w:rPr>
          <w:i/>
        </w:rPr>
        <w:t>3 - Roles en la administración del sistema</w:t>
      </w:r>
      <w:r w:rsidR="00F41CE3">
        <w:t>, donde</w:t>
      </w:r>
      <w:r w:rsidR="00F41CE3" w:rsidRPr="00F41CE3">
        <w:t xml:space="preserve"> </w:t>
      </w:r>
      <w:r w:rsidR="00F41CE3">
        <w:t xml:space="preserve">se presentan los roles que deben formar parte de todo el ciclo de vida del </w:t>
      </w:r>
      <w:r w:rsidR="00F41CE3" w:rsidRPr="00064A54">
        <w:rPr>
          <w:i/>
        </w:rPr>
        <w:t xml:space="preserve">data </w:t>
      </w:r>
      <w:proofErr w:type="spellStart"/>
      <w:r w:rsidR="00F41CE3" w:rsidRPr="00064A54">
        <w:rPr>
          <w:i/>
        </w:rPr>
        <w:t>warehouse</w:t>
      </w:r>
      <w:proofErr w:type="spellEnd"/>
      <w:r w:rsidR="00E83267">
        <w:t>.</w:t>
      </w:r>
      <w:r w:rsidR="00F41CE3">
        <w:t xml:space="preserve"> Aunque este punto es muy importante para identificar los perfiles que deben formar parte de un proyecto de estas características, cada organización tiene su propio organigrama y su propia visión organizativa, por lo que el estudiante debe considerar los conceptos presentados como informativos.</w:t>
      </w:r>
    </w:p>
    <w:p w:rsidR="00EA6817" w:rsidRDefault="00EA6817" w:rsidP="00EA6817">
      <w:pPr>
        <w:pStyle w:val="Prrafodelista"/>
        <w:spacing w:before="240" w:after="200" w:line="276" w:lineRule="auto"/>
      </w:pPr>
    </w:p>
    <w:sdt>
      <w:sdtPr>
        <w:tag w:val="goog_rdk_2"/>
        <w:id w:val="-2141252154"/>
      </w:sdtPr>
      <w:sdtEndPr/>
      <w:sdtContent>
        <w:p w:rsidR="00473421" w:rsidRDefault="00473421" w:rsidP="001F1D68">
          <w:pPr>
            <w:pStyle w:val="Ttulo2"/>
            <w:spacing w:line="360" w:lineRule="auto"/>
          </w:pPr>
          <w:r w:rsidRPr="008E2246">
            <w:rPr>
              <w:rFonts w:ascii="Arial" w:eastAsia="Cambria" w:hAnsi="Arial"/>
              <w:color w:val="000099"/>
              <w:sz w:val="36"/>
              <w:szCs w:val="22"/>
            </w:rPr>
            <w:t>Recomendaciones de Estudio.</w:t>
          </w:r>
        </w:p>
      </w:sdtContent>
    </w:sdt>
    <w:p w:rsidR="006A652A" w:rsidRDefault="00FD5D6F" w:rsidP="001F1D68">
      <w:pPr>
        <w:spacing w:line="240" w:lineRule="auto"/>
      </w:pPr>
      <w:r w:rsidRPr="00FD5D6F">
        <w:t xml:space="preserve">Se recomienda una lectura ágil y fluida de este </w:t>
      </w:r>
      <w:r w:rsidR="008A3FC1">
        <w:t>mó</w:t>
      </w:r>
      <w:r>
        <w:t>dulo</w:t>
      </w:r>
      <w:r w:rsidRPr="00FD5D6F">
        <w:t xml:space="preserve">, prestando especial interés en los apartados marcados como relevantes con la finalidad de </w:t>
      </w:r>
      <w:r w:rsidR="006A652A">
        <w:t xml:space="preserve">repasar de forma general algunos de los conceptos vistos en los módulos anteriores. </w:t>
      </w:r>
    </w:p>
    <w:p w:rsidR="006A652A" w:rsidRDefault="008A3FC1" w:rsidP="001F1D68">
      <w:pPr>
        <w:spacing w:line="240" w:lineRule="auto"/>
      </w:pPr>
      <w:r>
        <w:t>En este mó</w:t>
      </w:r>
      <w:r w:rsidR="006A652A">
        <w:t xml:space="preserve">dulo el </w:t>
      </w:r>
      <w:r w:rsidR="003067A9">
        <w:t>estudiante</w:t>
      </w:r>
      <w:r w:rsidR="006A652A">
        <w:t xml:space="preserve"> obtendrá una visión más global del resultado obtenido al encajar todas las piezas presentadas anteriormente, y como debe darse continuidad a los desarrollos realizados, pero en caso de no tener claros algunos de los conceptos presentados, se recomienda remitirse a los módulos anteriores para repasarlo en detalle.</w:t>
      </w:r>
    </w:p>
    <w:p w:rsidR="006A652A" w:rsidRDefault="006A652A" w:rsidP="001F1D68">
      <w:pPr>
        <w:spacing w:line="240" w:lineRule="auto"/>
      </w:pPr>
    </w:p>
    <w:sdt>
      <w:sdtPr>
        <w:tag w:val="goog_rdk_2"/>
        <w:id w:val="-1767772695"/>
      </w:sdtPr>
      <w:sdtEndPr/>
      <w:sdtContent>
        <w:p w:rsidR="00473421" w:rsidRDefault="00473421" w:rsidP="008E2246">
          <w:pPr>
            <w:pStyle w:val="Ttulo2"/>
            <w:rPr>
              <w:rFonts w:eastAsia="Calibri" w:cs="Calibri"/>
            </w:rPr>
          </w:pPr>
          <w:r w:rsidRPr="008E2246">
            <w:rPr>
              <w:rFonts w:ascii="Arial" w:eastAsia="Cambria" w:hAnsi="Arial"/>
              <w:color w:val="000099"/>
              <w:sz w:val="36"/>
              <w:szCs w:val="22"/>
            </w:rPr>
            <w:t>Recursos Adicionales.</w:t>
          </w:r>
        </w:p>
      </w:sdtContent>
    </w:sdt>
    <w:p w:rsidR="00473421" w:rsidRDefault="00473421" w:rsidP="00360C1D">
      <w:pPr>
        <w:spacing w:before="240" w:after="200" w:line="276" w:lineRule="auto"/>
        <w:ind w:left="567"/>
      </w:pPr>
    </w:p>
    <w:sectPr w:rsidR="00473421" w:rsidSect="005F2A9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CB3" w:rsidRDefault="000D3CB3">
      <w:pPr>
        <w:spacing w:after="0" w:line="240" w:lineRule="auto"/>
      </w:pPr>
      <w:r>
        <w:separator/>
      </w:r>
    </w:p>
  </w:endnote>
  <w:endnote w:type="continuationSeparator" w:id="0">
    <w:p w:rsidR="000D3CB3" w:rsidRDefault="000D3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04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Layout w:type="fixed"/>
      <w:tblLook w:val="0400" w:firstRow="0" w:lastRow="0" w:firstColumn="0" w:lastColumn="0" w:noHBand="0" w:noVBand="1"/>
    </w:tblPr>
    <w:tblGrid>
      <w:gridCol w:w="4501"/>
      <w:gridCol w:w="236"/>
      <w:gridCol w:w="1935"/>
      <w:gridCol w:w="236"/>
      <w:gridCol w:w="1596"/>
    </w:tblGrid>
    <w:tr w:rsidR="00D417B2" w:rsidTr="00D10CF5">
      <w:trPr>
        <w:trHeight w:val="280"/>
      </w:trPr>
      <w:tc>
        <w:tcPr>
          <w:tcW w:w="4668" w:type="dxa"/>
          <w:tcBorders>
            <w:top w:val="single" w:sz="18" w:space="0" w:color="00FFFF"/>
            <w:left w:val="nil"/>
            <w:bottom w:val="nil"/>
            <w:right w:val="single" w:sz="24" w:space="0" w:color="EEECE1"/>
          </w:tcBorders>
          <w:vAlign w:val="center"/>
        </w:tcPr>
        <w:p w:rsidR="00D417B2" w:rsidRDefault="000D3CB3" w:rsidP="00D10C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rPr>
              <w:sz w:val="16"/>
              <w:szCs w:val="16"/>
            </w:rPr>
          </w:pPr>
          <w:sdt>
            <w:sdtPr>
              <w:tag w:val="goog_rdk_115"/>
              <w:id w:val="1908415963"/>
            </w:sdtPr>
            <w:sdtEndPr>
              <w:rPr>
                <w:sz w:val="16"/>
                <w:szCs w:val="16"/>
              </w:rPr>
            </w:sdtEndPr>
            <w:sdtContent/>
          </w:sdt>
          <w:r w:rsidR="00237DEF" w:rsidRPr="00237DEF">
            <w:rPr>
              <w:sz w:val="16"/>
              <w:szCs w:val="16"/>
            </w:rPr>
            <w:t xml:space="preserve">22.410 </w:t>
          </w:r>
          <w:r w:rsidR="00D417B2" w:rsidRPr="001A46D7">
            <w:rPr>
              <w:sz w:val="16"/>
              <w:szCs w:val="16"/>
            </w:rPr>
            <w:t>-</w:t>
          </w:r>
          <w:r w:rsidR="00237DEF">
            <w:rPr>
              <w:sz w:val="16"/>
              <w:szCs w:val="16"/>
            </w:rPr>
            <w:t xml:space="preserve"> </w:t>
          </w:r>
          <w:r w:rsidR="00D417B2" w:rsidRPr="001A46D7">
            <w:rPr>
              <w:sz w:val="16"/>
              <w:szCs w:val="16"/>
            </w:rPr>
            <w:t>Diseño y uso de bases de datos analíticas</w:t>
          </w:r>
        </w:p>
        <w:p w:rsidR="00D417B2" w:rsidRDefault="000D3CB3" w:rsidP="00D10C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rPr>
              <w:color w:val="4F81BD"/>
              <w:sz w:val="16"/>
              <w:szCs w:val="16"/>
            </w:rPr>
          </w:pPr>
          <w:sdt>
            <w:sdtPr>
              <w:tag w:val="goog_rdk_116"/>
              <w:id w:val="-1602174607"/>
            </w:sdtPr>
            <w:sdtEndPr/>
            <w:sdtContent>
              <w:r w:rsidR="00D417B2">
                <w:rPr>
                  <w:sz w:val="16"/>
                  <w:szCs w:val="16"/>
                  <w:highlight w:val="white"/>
                </w:rPr>
                <w:t>Estudios de Informática, Multimedia y Telecomunicación</w:t>
              </w:r>
            </w:sdtContent>
          </w:sdt>
        </w:p>
      </w:tc>
      <w:tc>
        <w:tcPr>
          <w:tcW w:w="80" w:type="dxa"/>
          <w:tcBorders>
            <w:top w:val="single" w:sz="18" w:space="0" w:color="00FFFF"/>
            <w:left w:val="single" w:sz="24" w:space="0" w:color="EEECE1"/>
            <w:bottom w:val="single" w:sz="24" w:space="0" w:color="EEECE1"/>
            <w:right w:val="single" w:sz="24" w:space="0" w:color="EEECE1"/>
          </w:tcBorders>
        </w:tcPr>
        <w:sdt>
          <w:sdtPr>
            <w:tag w:val="goog_rdk_117"/>
            <w:id w:val="2124963311"/>
          </w:sdtPr>
          <w:sdtEndPr/>
          <w:sdtContent>
            <w:p w:rsidR="00D417B2" w:rsidRDefault="000D3CB3" w:rsidP="00D10CF5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252"/>
                  <w:tab w:val="right" w:pos="8504"/>
                </w:tabs>
                <w:spacing w:after="0" w:line="240" w:lineRule="auto"/>
                <w:rPr>
                  <w:color w:val="4F81BD"/>
                  <w:sz w:val="16"/>
                  <w:szCs w:val="16"/>
                </w:rPr>
              </w:pPr>
            </w:p>
          </w:sdtContent>
        </w:sdt>
      </w:tc>
      <w:tc>
        <w:tcPr>
          <w:tcW w:w="2002" w:type="dxa"/>
          <w:tcBorders>
            <w:top w:val="single" w:sz="18" w:space="0" w:color="00FFFF"/>
            <w:left w:val="single" w:sz="24" w:space="0" w:color="EEECE1"/>
            <w:bottom w:val="nil"/>
            <w:right w:val="single" w:sz="24" w:space="0" w:color="EEECE1"/>
          </w:tcBorders>
          <w:vAlign w:val="center"/>
        </w:tcPr>
        <w:sdt>
          <w:sdtPr>
            <w:tag w:val="goog_rdk_118"/>
            <w:id w:val="-543526122"/>
          </w:sdtPr>
          <w:sdtEndPr/>
          <w:sdtContent>
            <w:p w:rsidR="00D417B2" w:rsidRDefault="00D417B2" w:rsidP="00D10CF5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252"/>
                  <w:tab w:val="right" w:pos="8504"/>
                </w:tabs>
                <w:spacing w:after="0" w:line="240" w:lineRule="auto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2020-2021</w:t>
              </w:r>
            </w:p>
          </w:sdtContent>
        </w:sdt>
      </w:tc>
      <w:tc>
        <w:tcPr>
          <w:tcW w:w="105" w:type="dxa"/>
          <w:tcBorders>
            <w:top w:val="single" w:sz="18" w:space="0" w:color="EEECE1"/>
            <w:left w:val="single" w:sz="24" w:space="0" w:color="EEECE1"/>
            <w:bottom w:val="single" w:sz="24" w:space="0" w:color="EEECE1"/>
            <w:right w:val="single" w:sz="24" w:space="0" w:color="EEECE1"/>
          </w:tcBorders>
        </w:tcPr>
        <w:sdt>
          <w:sdtPr>
            <w:tag w:val="goog_rdk_119"/>
            <w:id w:val="1931074709"/>
          </w:sdtPr>
          <w:sdtEndPr/>
          <w:sdtContent>
            <w:p w:rsidR="00D417B2" w:rsidRDefault="000D3CB3" w:rsidP="00D10CF5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252"/>
                  <w:tab w:val="right" w:pos="8504"/>
                </w:tabs>
                <w:spacing w:after="0" w:line="240" w:lineRule="auto"/>
                <w:rPr>
                  <w:sz w:val="16"/>
                  <w:szCs w:val="16"/>
                </w:rPr>
              </w:pPr>
            </w:p>
          </w:sdtContent>
        </w:sdt>
      </w:tc>
      <w:tc>
        <w:tcPr>
          <w:tcW w:w="1649" w:type="dxa"/>
          <w:tcBorders>
            <w:top w:val="single" w:sz="18" w:space="0" w:color="00FFFF"/>
            <w:left w:val="single" w:sz="24" w:space="0" w:color="EEECE1"/>
            <w:bottom w:val="nil"/>
            <w:right w:val="nil"/>
          </w:tcBorders>
          <w:vAlign w:val="center"/>
        </w:tcPr>
        <w:sdt>
          <w:sdtPr>
            <w:tag w:val="goog_rdk_120"/>
            <w:id w:val="-1577505319"/>
          </w:sdtPr>
          <w:sdtEndPr/>
          <w:sdtContent>
            <w:p w:rsidR="00D417B2" w:rsidRDefault="00D417B2" w:rsidP="00D10CF5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252"/>
                  <w:tab w:val="right" w:pos="8504"/>
                </w:tabs>
                <w:spacing w:after="0" w:line="240" w:lineRule="auto"/>
                <w:rPr>
                  <w:sz w:val="16"/>
                  <w:szCs w:val="16"/>
                </w:rPr>
              </w:pPr>
              <w:proofErr w:type="gramStart"/>
              <w:r>
                <w:rPr>
                  <w:sz w:val="16"/>
                  <w:szCs w:val="16"/>
                </w:rPr>
                <w:t>pág..</w:t>
              </w:r>
              <w:proofErr w:type="gramEnd"/>
              <w:r>
                <w:rPr>
                  <w:sz w:val="16"/>
                  <w:szCs w:val="16"/>
                </w:rPr>
                <w:t xml:space="preserve"> </w:t>
              </w:r>
              <w:r w:rsidR="005E67D2">
                <w:rPr>
                  <w:sz w:val="16"/>
                  <w:szCs w:val="16"/>
                </w:rPr>
                <w:fldChar w:fldCharType="begin"/>
              </w:r>
              <w:r>
                <w:rPr>
                  <w:sz w:val="16"/>
                  <w:szCs w:val="16"/>
                </w:rPr>
                <w:instrText>PAGE</w:instrText>
              </w:r>
              <w:r w:rsidR="005E67D2">
                <w:rPr>
                  <w:sz w:val="16"/>
                  <w:szCs w:val="16"/>
                </w:rPr>
                <w:fldChar w:fldCharType="separate"/>
              </w:r>
              <w:r w:rsidR="00F62D87">
                <w:rPr>
                  <w:noProof/>
                  <w:sz w:val="16"/>
                  <w:szCs w:val="16"/>
                </w:rPr>
                <w:t>1</w:t>
              </w:r>
              <w:r w:rsidR="005E67D2">
                <w:rPr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:rsidR="00D417B2" w:rsidRDefault="00D417B2" w:rsidP="00D10CF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3CB3" w:rsidRDefault="000D3CB3">
      <w:pPr>
        <w:spacing w:after="0" w:line="240" w:lineRule="auto"/>
      </w:pPr>
      <w:r>
        <w:separator/>
      </w:r>
    </w:p>
  </w:footnote>
  <w:footnote w:type="continuationSeparator" w:id="0">
    <w:p w:rsidR="000D3CB3" w:rsidRDefault="000D3C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7B2" w:rsidRDefault="00D417B2">
    <w:pPr>
      <w:pStyle w:val="Encabezado"/>
    </w:pPr>
    <w:r w:rsidRPr="000B3162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5467350" cy="425450"/>
          <wp:effectExtent l="0" t="0" r="0" b="0"/>
          <wp:wrapNone/>
          <wp:docPr id="5" name="5 Imagen" descr="uoc_LOGO_masterbrand_DOC_tzdo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oc_LOGO_masterbrand_DOC_tzdo.tif"/>
                  <pic:cNvPicPr/>
                </pic:nvPicPr>
                <pic:blipFill>
                  <a:blip r:embed="rId1"/>
                  <a:srcRect r="9877"/>
                  <a:stretch>
                    <a:fillRect/>
                  </a:stretch>
                </pic:blipFill>
                <pic:spPr>
                  <a:xfrm>
                    <a:off x="0" y="0"/>
                    <a:ext cx="5467350" cy="425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775BC"/>
    <w:multiLevelType w:val="hybridMultilevel"/>
    <w:tmpl w:val="1F1A6A7A"/>
    <w:lvl w:ilvl="0" w:tplc="C4301E84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color w:val="000099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E753CF"/>
    <w:multiLevelType w:val="hybridMultilevel"/>
    <w:tmpl w:val="78BEA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20751"/>
    <w:multiLevelType w:val="hybridMultilevel"/>
    <w:tmpl w:val="C6FC443E"/>
    <w:lvl w:ilvl="0" w:tplc="5658FFD6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color w:val="000099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7B6A01"/>
    <w:multiLevelType w:val="hybridMultilevel"/>
    <w:tmpl w:val="01A68D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F5715"/>
    <w:multiLevelType w:val="hybridMultilevel"/>
    <w:tmpl w:val="1DF24B32"/>
    <w:lvl w:ilvl="0" w:tplc="589A794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color w:val="000099"/>
        <w:sz w:val="28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911EE"/>
    <w:multiLevelType w:val="hybridMultilevel"/>
    <w:tmpl w:val="0E16CB22"/>
    <w:lvl w:ilvl="0" w:tplc="FE88710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8F04FB"/>
    <w:multiLevelType w:val="multilevel"/>
    <w:tmpl w:val="520E5B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84847"/>
    <w:multiLevelType w:val="hybridMultilevel"/>
    <w:tmpl w:val="04B012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FE7E48"/>
    <w:multiLevelType w:val="hybridMultilevel"/>
    <w:tmpl w:val="E0863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D41EAC"/>
    <w:multiLevelType w:val="hybridMultilevel"/>
    <w:tmpl w:val="B3042F3E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2C11540"/>
    <w:multiLevelType w:val="hybridMultilevel"/>
    <w:tmpl w:val="B4D86018"/>
    <w:lvl w:ilvl="0" w:tplc="FE409FCA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color w:val="000099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953D8B"/>
    <w:multiLevelType w:val="hybridMultilevel"/>
    <w:tmpl w:val="82B015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155238"/>
    <w:multiLevelType w:val="hybridMultilevel"/>
    <w:tmpl w:val="E66A35F6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CA6522C"/>
    <w:multiLevelType w:val="hybridMultilevel"/>
    <w:tmpl w:val="2E0E5C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9F1AC5"/>
    <w:multiLevelType w:val="multilevel"/>
    <w:tmpl w:val="520E5B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8A224B"/>
    <w:multiLevelType w:val="multilevel"/>
    <w:tmpl w:val="7D4064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64567D"/>
    <w:multiLevelType w:val="hybridMultilevel"/>
    <w:tmpl w:val="5DDC2B44"/>
    <w:lvl w:ilvl="0" w:tplc="589A794A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color w:val="000099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7B57A9"/>
    <w:multiLevelType w:val="multilevel"/>
    <w:tmpl w:val="65DC3B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8D45532"/>
    <w:multiLevelType w:val="multilevel"/>
    <w:tmpl w:val="6F1AB5D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831DF4"/>
    <w:multiLevelType w:val="hybridMultilevel"/>
    <w:tmpl w:val="8C54D56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9311FF"/>
    <w:multiLevelType w:val="hybridMultilevel"/>
    <w:tmpl w:val="1CA8ADE8"/>
    <w:lvl w:ilvl="0" w:tplc="0434B5B0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color w:val="000099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4194239"/>
    <w:multiLevelType w:val="multilevel"/>
    <w:tmpl w:val="B0206E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D230485"/>
    <w:multiLevelType w:val="hybridMultilevel"/>
    <w:tmpl w:val="2A1E09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B5444E"/>
    <w:multiLevelType w:val="multilevel"/>
    <w:tmpl w:val="40102E0C"/>
    <w:lvl w:ilvl="0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5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2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988" w:hanging="360"/>
      </w:pPr>
      <w:rPr>
        <w:rFonts w:ascii="Noto Sans Symbols" w:eastAsia="Noto Sans Symbols" w:hAnsi="Noto Sans Symbols" w:cs="Noto Sans Symbols"/>
      </w:rPr>
    </w:lvl>
  </w:abstractNum>
  <w:num w:numId="1">
    <w:abstractNumId w:val="23"/>
  </w:num>
  <w:num w:numId="2">
    <w:abstractNumId w:val="21"/>
  </w:num>
  <w:num w:numId="3">
    <w:abstractNumId w:val="15"/>
  </w:num>
  <w:num w:numId="4">
    <w:abstractNumId w:val="17"/>
  </w:num>
  <w:num w:numId="5">
    <w:abstractNumId w:val="14"/>
  </w:num>
  <w:num w:numId="6">
    <w:abstractNumId w:val="18"/>
  </w:num>
  <w:num w:numId="7">
    <w:abstractNumId w:val="22"/>
  </w:num>
  <w:num w:numId="8">
    <w:abstractNumId w:val="11"/>
  </w:num>
  <w:num w:numId="9">
    <w:abstractNumId w:val="7"/>
  </w:num>
  <w:num w:numId="10">
    <w:abstractNumId w:val="8"/>
  </w:num>
  <w:num w:numId="11">
    <w:abstractNumId w:val="8"/>
    <w:lvlOverride w:ilvl="0">
      <w:lvl w:ilvl="0" w:tplc="0C0A0001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C0A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A0005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A0001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A0003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A000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A0001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A0003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A0005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>
    <w:abstractNumId w:val="12"/>
  </w:num>
  <w:num w:numId="13">
    <w:abstractNumId w:val="4"/>
  </w:num>
  <w:num w:numId="14">
    <w:abstractNumId w:val="13"/>
  </w:num>
  <w:num w:numId="15">
    <w:abstractNumId w:val="1"/>
  </w:num>
  <w:num w:numId="16">
    <w:abstractNumId w:val="9"/>
  </w:num>
  <w:num w:numId="17">
    <w:abstractNumId w:val="6"/>
  </w:num>
  <w:num w:numId="18">
    <w:abstractNumId w:val="16"/>
  </w:num>
  <w:num w:numId="19">
    <w:abstractNumId w:val="0"/>
  </w:num>
  <w:num w:numId="20">
    <w:abstractNumId w:val="3"/>
  </w:num>
  <w:num w:numId="21">
    <w:abstractNumId w:val="5"/>
  </w:num>
  <w:num w:numId="22">
    <w:abstractNumId w:val="10"/>
  </w:num>
  <w:num w:numId="23">
    <w:abstractNumId w:val="2"/>
  </w:num>
  <w:num w:numId="24">
    <w:abstractNumId w:val="20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17B"/>
    <w:rsid w:val="00013E43"/>
    <w:rsid w:val="00022867"/>
    <w:rsid w:val="00043316"/>
    <w:rsid w:val="00064A54"/>
    <w:rsid w:val="0009467B"/>
    <w:rsid w:val="000B7757"/>
    <w:rsid w:val="000D3CB3"/>
    <w:rsid w:val="00113612"/>
    <w:rsid w:val="00114877"/>
    <w:rsid w:val="0013088F"/>
    <w:rsid w:val="00165E06"/>
    <w:rsid w:val="001A46D7"/>
    <w:rsid w:val="001D5121"/>
    <w:rsid w:val="001E44D1"/>
    <w:rsid w:val="001F1D68"/>
    <w:rsid w:val="00204C4A"/>
    <w:rsid w:val="002173FD"/>
    <w:rsid w:val="00236292"/>
    <w:rsid w:val="00237DEF"/>
    <w:rsid w:val="002D20E9"/>
    <w:rsid w:val="00305BF9"/>
    <w:rsid w:val="003067A9"/>
    <w:rsid w:val="0034117B"/>
    <w:rsid w:val="00360C1D"/>
    <w:rsid w:val="003C5A5D"/>
    <w:rsid w:val="003E073F"/>
    <w:rsid w:val="003F0D19"/>
    <w:rsid w:val="00473421"/>
    <w:rsid w:val="00486537"/>
    <w:rsid w:val="004A3E00"/>
    <w:rsid w:val="00556E39"/>
    <w:rsid w:val="00557463"/>
    <w:rsid w:val="005968B2"/>
    <w:rsid w:val="005B3CAA"/>
    <w:rsid w:val="005B5341"/>
    <w:rsid w:val="005C57B3"/>
    <w:rsid w:val="005E67D2"/>
    <w:rsid w:val="005F2A97"/>
    <w:rsid w:val="00616642"/>
    <w:rsid w:val="0063348F"/>
    <w:rsid w:val="006635E0"/>
    <w:rsid w:val="006A652A"/>
    <w:rsid w:val="006B0DB4"/>
    <w:rsid w:val="006C3019"/>
    <w:rsid w:val="006D532D"/>
    <w:rsid w:val="006E4E13"/>
    <w:rsid w:val="006F01E8"/>
    <w:rsid w:val="00754CD7"/>
    <w:rsid w:val="00765ACF"/>
    <w:rsid w:val="008015AA"/>
    <w:rsid w:val="008470D8"/>
    <w:rsid w:val="00852467"/>
    <w:rsid w:val="008907DF"/>
    <w:rsid w:val="00894CAF"/>
    <w:rsid w:val="00896474"/>
    <w:rsid w:val="008A3FC1"/>
    <w:rsid w:val="008E2246"/>
    <w:rsid w:val="008F2E7C"/>
    <w:rsid w:val="008F5366"/>
    <w:rsid w:val="00940D07"/>
    <w:rsid w:val="0096216A"/>
    <w:rsid w:val="00966CC1"/>
    <w:rsid w:val="00980B11"/>
    <w:rsid w:val="00997342"/>
    <w:rsid w:val="009A5EA0"/>
    <w:rsid w:val="009D1001"/>
    <w:rsid w:val="009F74F6"/>
    <w:rsid w:val="00A0631D"/>
    <w:rsid w:val="00A1344C"/>
    <w:rsid w:val="00A40AC5"/>
    <w:rsid w:val="00A55FF4"/>
    <w:rsid w:val="00AA0BD0"/>
    <w:rsid w:val="00AA0F6D"/>
    <w:rsid w:val="00AA35D9"/>
    <w:rsid w:val="00B30AEF"/>
    <w:rsid w:val="00B46164"/>
    <w:rsid w:val="00B51638"/>
    <w:rsid w:val="00B63934"/>
    <w:rsid w:val="00B70946"/>
    <w:rsid w:val="00BB40DE"/>
    <w:rsid w:val="00BF2219"/>
    <w:rsid w:val="00CD29F0"/>
    <w:rsid w:val="00D10CF5"/>
    <w:rsid w:val="00D417B2"/>
    <w:rsid w:val="00D75D98"/>
    <w:rsid w:val="00DA2AD6"/>
    <w:rsid w:val="00DC178E"/>
    <w:rsid w:val="00DC5BA8"/>
    <w:rsid w:val="00E0100D"/>
    <w:rsid w:val="00E01CFA"/>
    <w:rsid w:val="00E0662A"/>
    <w:rsid w:val="00E153D3"/>
    <w:rsid w:val="00E21B36"/>
    <w:rsid w:val="00E56455"/>
    <w:rsid w:val="00E83267"/>
    <w:rsid w:val="00EA6817"/>
    <w:rsid w:val="00EC7EA0"/>
    <w:rsid w:val="00EF4891"/>
    <w:rsid w:val="00F0607D"/>
    <w:rsid w:val="00F06CF6"/>
    <w:rsid w:val="00F41CE3"/>
    <w:rsid w:val="00F44AA5"/>
    <w:rsid w:val="00F46D22"/>
    <w:rsid w:val="00F528FC"/>
    <w:rsid w:val="00F62D87"/>
    <w:rsid w:val="00F661E8"/>
    <w:rsid w:val="00FC0F5A"/>
    <w:rsid w:val="00FD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27D53E3-B06D-4BA8-9CB3-543C92F63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F5A"/>
    <w:pPr>
      <w:spacing w:after="264" w:line="264" w:lineRule="exact"/>
      <w:jc w:val="both"/>
    </w:pPr>
    <w:rPr>
      <w:rFonts w:ascii="Arial" w:hAnsi="Arial"/>
      <w:color w:val="000099"/>
    </w:rPr>
  </w:style>
  <w:style w:type="paragraph" w:styleId="Ttulo1">
    <w:name w:val="heading 1"/>
    <w:basedOn w:val="Normal"/>
    <w:next w:val="Normal"/>
    <w:link w:val="Ttulo1Car"/>
    <w:uiPriority w:val="9"/>
    <w:qFormat/>
    <w:rsid w:val="00594FB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4FB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F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952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02F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rsid w:val="005F2A9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5F2A9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rsid w:val="005F2A97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594FB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94FB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594FB3"/>
    <w:pPr>
      <w:ind w:left="720"/>
      <w:contextualSpacing/>
    </w:pPr>
  </w:style>
  <w:style w:type="paragraph" w:customStyle="1" w:styleId="Default">
    <w:name w:val="Default"/>
    <w:rsid w:val="007E29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Listamulticolor-nfasis11">
    <w:name w:val="Lista multicolor - Énfasis 11"/>
    <w:basedOn w:val="Normal"/>
    <w:uiPriority w:val="34"/>
    <w:qFormat/>
    <w:rsid w:val="00F1192E"/>
    <w:pPr>
      <w:spacing w:after="200" w:line="240" w:lineRule="auto"/>
      <w:ind w:left="720"/>
      <w:contextualSpacing/>
    </w:pPr>
    <w:rPr>
      <w:rFonts w:ascii="Cambria" w:eastAsia="MS Mincho" w:hAnsi="Cambria" w:cs="Times New Roman"/>
      <w:sz w:val="24"/>
      <w:szCs w:val="24"/>
      <w:lang w:val="en-GB" w:eastAsia="ja-JP"/>
    </w:rPr>
  </w:style>
  <w:style w:type="table" w:styleId="Tablaconcuadrcula">
    <w:name w:val="Table Grid"/>
    <w:basedOn w:val="Tablanormal"/>
    <w:uiPriority w:val="59"/>
    <w:rsid w:val="00545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B37FD7"/>
    <w:rPr>
      <w:rFonts w:asciiTheme="majorHAnsi" w:eastAsiaTheme="majorEastAsia" w:hAnsiTheme="majorHAnsi" w:cstheme="majorBidi"/>
      <w:b/>
      <w:bCs/>
      <w:color w:val="5B9BD5" w:themeColor="accent1"/>
    </w:rPr>
  </w:style>
  <w:style w:type="table" w:customStyle="1" w:styleId="Tabladecuadrcula6concolores1">
    <w:name w:val="Tabla de cuadrícula 6 con colores1"/>
    <w:basedOn w:val="Tablanormal"/>
    <w:uiPriority w:val="51"/>
    <w:rsid w:val="007653C5"/>
    <w:pPr>
      <w:spacing w:after="0" w:line="240" w:lineRule="auto"/>
    </w:pPr>
    <w:rPr>
      <w:color w:val="000000" w:themeColor="text1"/>
      <w:lang w:val="ca-E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vnculo">
    <w:name w:val="Hyperlink"/>
    <w:basedOn w:val="Fuentedeprrafopredeter"/>
    <w:uiPriority w:val="99"/>
    <w:semiHidden/>
    <w:unhideWhenUsed/>
    <w:rsid w:val="00193403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7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7F0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17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7206"/>
  </w:style>
  <w:style w:type="paragraph" w:styleId="Piedepgina">
    <w:name w:val="footer"/>
    <w:basedOn w:val="Normal"/>
    <w:link w:val="PiedepginaCar"/>
    <w:uiPriority w:val="99"/>
    <w:unhideWhenUsed/>
    <w:rsid w:val="00F17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7206"/>
  </w:style>
  <w:style w:type="character" w:customStyle="1" w:styleId="leaf">
    <w:name w:val="leaf"/>
    <w:basedOn w:val="Fuentedeprrafopredeter"/>
    <w:rsid w:val="00A00506"/>
  </w:style>
  <w:style w:type="character" w:customStyle="1" w:styleId="Ttulo4Car">
    <w:name w:val="Título 4 Car"/>
    <w:basedOn w:val="Fuentedeprrafopredeter"/>
    <w:link w:val="Ttulo4"/>
    <w:uiPriority w:val="9"/>
    <w:rsid w:val="0009527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202FD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extoindependiente">
    <w:name w:val="Body Text"/>
    <w:basedOn w:val="Normal"/>
    <w:link w:val="TextoindependienteCar"/>
    <w:uiPriority w:val="1"/>
    <w:qFormat/>
    <w:rsid w:val="00906B9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06B97"/>
    <w:rPr>
      <w:rFonts w:ascii="Times New Roman" w:eastAsia="Times New Roman" w:hAnsi="Times New Roman" w:cs="Times New Roman"/>
      <w:sz w:val="26"/>
      <w:szCs w:val="26"/>
      <w:lang w:val="es-ES_tradnl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720AB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720AB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2720AB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720A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720A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720AB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3856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856E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856E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856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856E6"/>
    <w:rPr>
      <w:b/>
      <w:bCs/>
      <w:sz w:val="20"/>
      <w:szCs w:val="20"/>
    </w:rPr>
  </w:style>
  <w:style w:type="paragraph" w:styleId="Subttulo">
    <w:name w:val="Subtitle"/>
    <w:basedOn w:val="Normal"/>
    <w:next w:val="Normal"/>
    <w:rsid w:val="005F2A9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jwLSzK00mHog1JQTSRlOKssvtQ==">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435</Words>
  <Characters>2393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Sevilla Marchena, Nerea</dc:creator>
  <cp:lastModifiedBy>Maria Delmàs Ruiz</cp:lastModifiedBy>
  <cp:revision>2</cp:revision>
  <dcterms:created xsi:type="dcterms:W3CDTF">2020-02-17T12:27:00Z</dcterms:created>
  <dcterms:modified xsi:type="dcterms:W3CDTF">2020-02-17T12:27:00Z</dcterms:modified>
</cp:coreProperties>
</file>