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229C" w14:textId="76A4E47E" w:rsidR="0071628C" w:rsidRPr="004E5FBE" w:rsidRDefault="004E5FBE" w:rsidP="004E5FBE">
      <w:pPr>
        <w:jc w:val="center"/>
        <w:rPr>
          <w:b/>
          <w:bCs/>
        </w:rPr>
      </w:pPr>
      <w:r w:rsidRPr="004E5FBE">
        <w:rPr>
          <w:b/>
          <w:bCs/>
        </w:rPr>
        <w:t>PEC5: ESTADO DEL ARTE EN DEEP LEARNING</w:t>
      </w:r>
    </w:p>
    <w:p w14:paraId="767B2363" w14:textId="30A2CA90" w:rsidR="004E5FBE" w:rsidRDefault="004E5FBE" w:rsidP="004E5FBE">
      <w:pPr>
        <w:jc w:val="center"/>
        <w:rPr>
          <w:b/>
          <w:bCs/>
        </w:rPr>
      </w:pPr>
      <w:r w:rsidRPr="004E5FBE">
        <w:rPr>
          <w:b/>
          <w:bCs/>
        </w:rPr>
        <w:t>EDUARDO MORA GONZÁLEZ</w:t>
      </w:r>
    </w:p>
    <w:p w14:paraId="2B21E40A" w14:textId="77777777" w:rsidR="004E5FBE" w:rsidRDefault="004E5FBE" w:rsidP="004E5FBE">
      <w:pPr>
        <w:jc w:val="both"/>
        <w:rPr>
          <w:rFonts w:ascii="Arial" w:hAnsi="Arial" w:cs="Arial"/>
        </w:rPr>
      </w:pPr>
    </w:p>
    <w:p w14:paraId="7F910CB4" w14:textId="138D3473" w:rsidR="004E5FBE" w:rsidRPr="004E5FBE" w:rsidRDefault="004E5FBE" w:rsidP="004E5FBE">
      <w:pPr>
        <w:jc w:val="both"/>
        <w:rPr>
          <w:rFonts w:ascii="Arial" w:hAnsi="Arial" w:cs="Arial"/>
        </w:rPr>
      </w:pPr>
      <w:r w:rsidRPr="004E5FBE">
        <w:rPr>
          <w:rFonts w:ascii="Arial" w:hAnsi="Arial" w:cs="Arial"/>
        </w:rPr>
        <w:t>El artículo titulado "</w:t>
      </w:r>
      <w:proofErr w:type="spellStart"/>
      <w:r w:rsidRPr="004E5FBE">
        <w:rPr>
          <w:rFonts w:ascii="Arial" w:hAnsi="Arial" w:cs="Arial"/>
          <w:i/>
          <w:iCs/>
        </w:rPr>
        <w:t>Attention</w:t>
      </w:r>
      <w:proofErr w:type="spellEnd"/>
      <w:r w:rsidRPr="004E5FBE">
        <w:rPr>
          <w:rFonts w:ascii="Arial" w:hAnsi="Arial" w:cs="Arial"/>
          <w:i/>
          <w:iCs/>
        </w:rPr>
        <w:t xml:space="preserve"> </w:t>
      </w:r>
      <w:proofErr w:type="spellStart"/>
      <w:r w:rsidRPr="004E5FBE">
        <w:rPr>
          <w:rFonts w:ascii="Arial" w:hAnsi="Arial" w:cs="Arial"/>
          <w:i/>
          <w:iCs/>
        </w:rPr>
        <w:t>Is</w:t>
      </w:r>
      <w:proofErr w:type="spellEnd"/>
      <w:r w:rsidRPr="004E5FBE">
        <w:rPr>
          <w:rFonts w:ascii="Arial" w:hAnsi="Arial" w:cs="Arial"/>
          <w:i/>
          <w:iCs/>
        </w:rPr>
        <w:t xml:space="preserve"> </w:t>
      </w:r>
      <w:proofErr w:type="spellStart"/>
      <w:r w:rsidRPr="004E5FBE">
        <w:rPr>
          <w:rFonts w:ascii="Arial" w:hAnsi="Arial" w:cs="Arial"/>
          <w:i/>
          <w:iCs/>
        </w:rPr>
        <w:t>All</w:t>
      </w:r>
      <w:proofErr w:type="spellEnd"/>
      <w:r w:rsidRPr="004E5FBE">
        <w:rPr>
          <w:rFonts w:ascii="Arial" w:hAnsi="Arial" w:cs="Arial"/>
          <w:i/>
          <w:iCs/>
        </w:rPr>
        <w:t xml:space="preserve"> </w:t>
      </w:r>
      <w:proofErr w:type="spellStart"/>
      <w:r w:rsidRPr="004E5FBE">
        <w:rPr>
          <w:rFonts w:ascii="Arial" w:hAnsi="Arial" w:cs="Arial"/>
          <w:i/>
          <w:iCs/>
        </w:rPr>
        <w:t>You</w:t>
      </w:r>
      <w:proofErr w:type="spellEnd"/>
      <w:r w:rsidRPr="004E5FBE">
        <w:rPr>
          <w:rFonts w:ascii="Arial" w:hAnsi="Arial" w:cs="Arial"/>
          <w:i/>
          <w:iCs/>
        </w:rPr>
        <w:t xml:space="preserve"> </w:t>
      </w:r>
      <w:proofErr w:type="spellStart"/>
      <w:r w:rsidRPr="004E5FBE">
        <w:rPr>
          <w:rFonts w:ascii="Arial" w:hAnsi="Arial" w:cs="Arial"/>
          <w:i/>
          <w:iCs/>
        </w:rPr>
        <w:t>Need</w:t>
      </w:r>
      <w:proofErr w:type="spellEnd"/>
      <w:r w:rsidRPr="004E5FBE">
        <w:rPr>
          <w:rFonts w:ascii="Arial" w:hAnsi="Arial" w:cs="Arial"/>
        </w:rPr>
        <w:t xml:space="preserve">" fue escrito </w:t>
      </w:r>
      <w:r w:rsidRPr="004E5FBE">
        <w:rPr>
          <w:rFonts w:ascii="Arial" w:hAnsi="Arial" w:cs="Arial"/>
          <w:i/>
          <w:iCs/>
        </w:rPr>
        <w:t xml:space="preserve">por </w:t>
      </w:r>
      <w:proofErr w:type="spellStart"/>
      <w:r w:rsidRPr="004E5FBE">
        <w:rPr>
          <w:rFonts w:ascii="Arial" w:hAnsi="Arial" w:cs="Arial"/>
          <w:i/>
          <w:iCs/>
        </w:rPr>
        <w:t>Ashish</w:t>
      </w:r>
      <w:proofErr w:type="spellEnd"/>
      <w:r w:rsidRPr="004E5FBE">
        <w:rPr>
          <w:rFonts w:ascii="Arial" w:hAnsi="Arial" w:cs="Arial"/>
          <w:i/>
          <w:iCs/>
        </w:rPr>
        <w:t xml:space="preserve"> </w:t>
      </w:r>
      <w:proofErr w:type="spellStart"/>
      <w:r w:rsidRPr="004E5FBE">
        <w:rPr>
          <w:rFonts w:ascii="Arial" w:hAnsi="Arial" w:cs="Arial"/>
          <w:i/>
          <w:iCs/>
        </w:rPr>
        <w:t>Vaswani</w:t>
      </w:r>
      <w:proofErr w:type="spellEnd"/>
      <w:r w:rsidRPr="004E5FBE">
        <w:rPr>
          <w:rFonts w:ascii="Arial" w:hAnsi="Arial" w:cs="Arial"/>
          <w:i/>
          <w:iCs/>
        </w:rPr>
        <w:t xml:space="preserve">, Noam </w:t>
      </w:r>
      <w:proofErr w:type="spellStart"/>
      <w:r w:rsidRPr="004E5FBE">
        <w:rPr>
          <w:rFonts w:ascii="Arial" w:hAnsi="Arial" w:cs="Arial"/>
          <w:i/>
          <w:iCs/>
        </w:rPr>
        <w:t>Shazeer</w:t>
      </w:r>
      <w:proofErr w:type="spellEnd"/>
      <w:r w:rsidRPr="004E5FBE">
        <w:rPr>
          <w:rFonts w:ascii="Arial" w:hAnsi="Arial" w:cs="Arial"/>
          <w:i/>
          <w:iCs/>
        </w:rPr>
        <w:t xml:space="preserve">, Niki </w:t>
      </w:r>
      <w:proofErr w:type="spellStart"/>
      <w:r w:rsidRPr="004E5FBE">
        <w:rPr>
          <w:rFonts w:ascii="Arial" w:hAnsi="Arial" w:cs="Arial"/>
          <w:i/>
          <w:iCs/>
        </w:rPr>
        <w:t>Parmar</w:t>
      </w:r>
      <w:proofErr w:type="spellEnd"/>
      <w:r w:rsidRPr="004E5FBE">
        <w:rPr>
          <w:rFonts w:ascii="Arial" w:hAnsi="Arial" w:cs="Arial"/>
          <w:i/>
          <w:iCs/>
        </w:rPr>
        <w:t xml:space="preserve">, Jakob </w:t>
      </w:r>
      <w:proofErr w:type="spellStart"/>
      <w:r w:rsidRPr="004E5FBE">
        <w:rPr>
          <w:rFonts w:ascii="Arial" w:hAnsi="Arial" w:cs="Arial"/>
          <w:i/>
          <w:iCs/>
        </w:rPr>
        <w:t>Uszkoreit</w:t>
      </w:r>
      <w:proofErr w:type="spellEnd"/>
      <w:r w:rsidRPr="004E5FBE">
        <w:rPr>
          <w:rFonts w:ascii="Arial" w:hAnsi="Arial" w:cs="Arial"/>
          <w:i/>
          <w:iCs/>
        </w:rPr>
        <w:t xml:space="preserve">, </w:t>
      </w:r>
      <w:proofErr w:type="spellStart"/>
      <w:r w:rsidRPr="004E5FBE">
        <w:rPr>
          <w:rFonts w:ascii="Arial" w:hAnsi="Arial" w:cs="Arial"/>
          <w:i/>
          <w:iCs/>
        </w:rPr>
        <w:t>Llion</w:t>
      </w:r>
      <w:proofErr w:type="spellEnd"/>
      <w:r w:rsidRPr="004E5FBE">
        <w:rPr>
          <w:rFonts w:ascii="Arial" w:hAnsi="Arial" w:cs="Arial"/>
          <w:i/>
          <w:iCs/>
        </w:rPr>
        <w:t xml:space="preserve"> Jones, </w:t>
      </w:r>
      <w:proofErr w:type="spellStart"/>
      <w:r w:rsidRPr="004E5FBE">
        <w:rPr>
          <w:rFonts w:ascii="Arial" w:hAnsi="Arial" w:cs="Arial"/>
          <w:i/>
          <w:iCs/>
        </w:rPr>
        <w:t>Aidan</w:t>
      </w:r>
      <w:proofErr w:type="spellEnd"/>
      <w:r w:rsidRPr="004E5FBE">
        <w:rPr>
          <w:rFonts w:ascii="Arial" w:hAnsi="Arial" w:cs="Arial"/>
          <w:i/>
          <w:iCs/>
        </w:rPr>
        <w:t xml:space="preserve"> N. </w:t>
      </w:r>
      <w:proofErr w:type="spellStart"/>
      <w:r w:rsidRPr="004E5FBE">
        <w:rPr>
          <w:rFonts w:ascii="Arial" w:hAnsi="Arial" w:cs="Arial"/>
          <w:i/>
          <w:iCs/>
        </w:rPr>
        <w:t>Gomez</w:t>
      </w:r>
      <w:proofErr w:type="spellEnd"/>
      <w:r w:rsidRPr="004E5FBE">
        <w:rPr>
          <w:rFonts w:ascii="Arial" w:hAnsi="Arial" w:cs="Arial"/>
          <w:i/>
          <w:iCs/>
        </w:rPr>
        <w:t xml:space="preserve">, </w:t>
      </w:r>
      <w:proofErr w:type="spellStart"/>
      <w:r w:rsidRPr="004E5FBE">
        <w:rPr>
          <w:rFonts w:ascii="Arial" w:hAnsi="Arial" w:cs="Arial"/>
          <w:i/>
          <w:iCs/>
        </w:rPr>
        <w:t>Lukasz</w:t>
      </w:r>
      <w:proofErr w:type="spellEnd"/>
      <w:r w:rsidRPr="004E5FBE">
        <w:rPr>
          <w:rFonts w:ascii="Arial" w:hAnsi="Arial" w:cs="Arial"/>
          <w:i/>
          <w:iCs/>
        </w:rPr>
        <w:t xml:space="preserve"> Kaiser </w:t>
      </w:r>
      <w:r w:rsidRPr="004E5FBE">
        <w:rPr>
          <w:rFonts w:ascii="Arial" w:hAnsi="Arial" w:cs="Arial"/>
        </w:rPr>
        <w:t>e</w:t>
      </w:r>
      <w:r w:rsidRPr="004E5FBE">
        <w:rPr>
          <w:rFonts w:ascii="Arial" w:hAnsi="Arial" w:cs="Arial"/>
          <w:i/>
          <w:iCs/>
        </w:rPr>
        <w:t xml:space="preserve"> Illia </w:t>
      </w:r>
      <w:proofErr w:type="spellStart"/>
      <w:r w:rsidRPr="004E5FBE">
        <w:rPr>
          <w:rFonts w:ascii="Arial" w:hAnsi="Arial" w:cs="Arial"/>
          <w:i/>
          <w:iCs/>
        </w:rPr>
        <w:t>Polosukhin</w:t>
      </w:r>
      <w:proofErr w:type="spellEnd"/>
      <w:r w:rsidRPr="004E5FBE">
        <w:rPr>
          <w:rFonts w:ascii="Arial" w:hAnsi="Arial" w:cs="Arial"/>
        </w:rPr>
        <w:t xml:space="preserve"> en 2017. Este artículo representa un hito significativo en el campo del procesamiento del lenguaje natural.</w:t>
      </w:r>
    </w:p>
    <w:p w14:paraId="7AA15717" w14:textId="77777777" w:rsidR="004E5FBE" w:rsidRDefault="004E5FBE" w:rsidP="004E5FBE">
      <w:pPr>
        <w:jc w:val="both"/>
        <w:rPr>
          <w:rFonts w:ascii="Arial" w:hAnsi="Arial" w:cs="Arial"/>
        </w:rPr>
      </w:pPr>
    </w:p>
    <w:p w14:paraId="2C9D1EFA" w14:textId="6DC99339" w:rsidR="004E5FBE" w:rsidRDefault="004E5FBE" w:rsidP="004E5FBE">
      <w:pPr>
        <w:jc w:val="both"/>
        <w:rPr>
          <w:rFonts w:ascii="Arial" w:hAnsi="Arial" w:cs="Arial"/>
        </w:rPr>
      </w:pPr>
      <w:r w:rsidRPr="004E5FBE">
        <w:rPr>
          <w:rFonts w:ascii="Arial" w:hAnsi="Arial" w:cs="Arial"/>
        </w:rPr>
        <w:t xml:space="preserve">El enfoque principal del artículo se centra en la presentación de la arquitectura de redes neuronales conocida como </w:t>
      </w:r>
      <w:proofErr w:type="spellStart"/>
      <w:r w:rsidRPr="004E5FBE">
        <w:rPr>
          <w:rFonts w:ascii="Arial" w:hAnsi="Arial" w:cs="Arial"/>
          <w:i/>
          <w:iCs/>
        </w:rPr>
        <w:t>Transformer</w:t>
      </w:r>
      <w:proofErr w:type="spellEnd"/>
      <w:r w:rsidRPr="004E5FBE">
        <w:rPr>
          <w:rFonts w:ascii="Arial" w:hAnsi="Arial" w:cs="Arial"/>
        </w:rPr>
        <w:t>. Esta arquitectura introduce el mecanismo de atención como un componente fundamental en lugar de depender de las técnicas tradicionales basadas en Redes Neuronales Recurrentes (RNN). La atención, en este contexto, se refiere a la capacidad del modelo para asignar diferentes niveles de importancia a diferentes partes de la secuencia de entrada, permitiendo una mayor capacidad de modelado y captura de relaciones a largo plazo.</w:t>
      </w:r>
    </w:p>
    <w:p w14:paraId="09CB077E" w14:textId="77777777" w:rsidR="004E5FBE" w:rsidRPr="004E5FBE" w:rsidRDefault="004E5FBE" w:rsidP="004E5FBE">
      <w:pPr>
        <w:jc w:val="both"/>
        <w:rPr>
          <w:rFonts w:ascii="Arial" w:hAnsi="Arial" w:cs="Arial"/>
        </w:rPr>
      </w:pPr>
    </w:p>
    <w:p w14:paraId="22BA3563" w14:textId="77777777" w:rsidR="004E5FBE" w:rsidRDefault="004E5FBE" w:rsidP="004E5FBE">
      <w:pPr>
        <w:jc w:val="both"/>
        <w:rPr>
          <w:rFonts w:ascii="Arial" w:hAnsi="Arial" w:cs="Arial"/>
        </w:rPr>
      </w:pPr>
      <w:r w:rsidRPr="004E5FBE">
        <w:rPr>
          <w:rFonts w:ascii="Arial" w:hAnsi="Arial" w:cs="Arial"/>
        </w:rPr>
        <w:t xml:space="preserve">El enfoque propuesto en el artículo representa una novedad importante en el campo. Los autores demuestran que el modelo </w:t>
      </w:r>
      <w:proofErr w:type="spellStart"/>
      <w:r w:rsidRPr="00F12F35">
        <w:rPr>
          <w:rFonts w:ascii="Arial" w:hAnsi="Arial" w:cs="Arial"/>
          <w:i/>
          <w:iCs/>
        </w:rPr>
        <w:t>Transformer</w:t>
      </w:r>
      <w:proofErr w:type="spellEnd"/>
      <w:r w:rsidRPr="004E5FBE">
        <w:rPr>
          <w:rFonts w:ascii="Arial" w:hAnsi="Arial" w:cs="Arial"/>
        </w:rPr>
        <w:t xml:space="preserve"> supera en rendimiento a los enfoques tradicionales basados en RNN en tareas de procesamiento del lenguaje natural. Esta arquitectura, basada únicamente en el mecanismo de atención, se considera un avance significativo y ha generado un gran interés en la comunidad científica.</w:t>
      </w:r>
    </w:p>
    <w:p w14:paraId="75CAABB1" w14:textId="77777777" w:rsidR="004E5FBE" w:rsidRDefault="004E5FBE" w:rsidP="004E5FBE">
      <w:pPr>
        <w:jc w:val="both"/>
        <w:rPr>
          <w:rFonts w:ascii="Arial" w:hAnsi="Arial" w:cs="Arial"/>
        </w:rPr>
      </w:pPr>
    </w:p>
    <w:p w14:paraId="0615AAC1" w14:textId="4B298F3D" w:rsidR="004E5FBE" w:rsidRDefault="004E5FBE" w:rsidP="004E5FBE">
      <w:pPr>
        <w:jc w:val="both"/>
        <w:rPr>
          <w:rFonts w:ascii="Arial" w:hAnsi="Arial" w:cs="Arial"/>
        </w:rPr>
      </w:pPr>
      <w:r w:rsidRPr="004E5FBE">
        <w:rPr>
          <w:rFonts w:ascii="Arial" w:hAnsi="Arial" w:cs="Arial"/>
        </w:rPr>
        <w:t xml:space="preserve">El artículo presenta una descripción detallada de la arquitectura del modelo </w:t>
      </w:r>
      <w:proofErr w:type="spellStart"/>
      <w:r w:rsidRPr="00F12F35">
        <w:rPr>
          <w:rFonts w:ascii="Arial" w:hAnsi="Arial" w:cs="Arial"/>
          <w:i/>
          <w:iCs/>
        </w:rPr>
        <w:t>Transformer</w:t>
      </w:r>
      <w:proofErr w:type="spellEnd"/>
      <w:r w:rsidRPr="004E5FBE">
        <w:rPr>
          <w:rFonts w:ascii="Arial" w:hAnsi="Arial" w:cs="Arial"/>
        </w:rPr>
        <w:t xml:space="preserve">. En lugar de depender de las estructuras recurrentes, este modelo se basa en capas de atención que operan tanto en el nivel de palabras como en el nivel de </w:t>
      </w:r>
      <w:proofErr w:type="spellStart"/>
      <w:r w:rsidRPr="004E5FBE">
        <w:rPr>
          <w:rFonts w:ascii="Arial" w:hAnsi="Arial" w:cs="Arial"/>
        </w:rPr>
        <w:t>subpalabras</w:t>
      </w:r>
      <w:proofErr w:type="spellEnd"/>
      <w:r w:rsidRPr="004E5FBE">
        <w:rPr>
          <w:rFonts w:ascii="Arial" w:hAnsi="Arial" w:cs="Arial"/>
        </w:rPr>
        <w:t>. El mecanismo de atención permite que el modelo se enfoque en diferentes partes de la secuencia de entrada en función de su relevancia contextual, lo que lleva a una mejor capacidad de representación y comprensión del lenguaje.</w:t>
      </w:r>
    </w:p>
    <w:p w14:paraId="0C87F226" w14:textId="77777777" w:rsidR="00F12F35" w:rsidRPr="004E5FBE" w:rsidRDefault="00F12F35" w:rsidP="004E5FBE">
      <w:pPr>
        <w:jc w:val="both"/>
        <w:rPr>
          <w:rFonts w:ascii="Arial" w:hAnsi="Arial" w:cs="Arial"/>
        </w:rPr>
      </w:pPr>
    </w:p>
    <w:p w14:paraId="5C9EE543" w14:textId="3C6001F7" w:rsidR="004E5FBE" w:rsidRPr="004E5FBE" w:rsidRDefault="004E5FBE" w:rsidP="004E5FBE">
      <w:pPr>
        <w:jc w:val="both"/>
        <w:rPr>
          <w:rFonts w:ascii="Arial" w:hAnsi="Arial" w:cs="Arial"/>
        </w:rPr>
      </w:pPr>
      <w:r w:rsidRPr="004E5FBE">
        <w:rPr>
          <w:rFonts w:ascii="Arial" w:hAnsi="Arial" w:cs="Arial"/>
        </w:rPr>
        <w:t xml:space="preserve">Además de describir la arquitectura del modelo, el artículo también proporciona resultados experimentales comparando el rendimiento del </w:t>
      </w:r>
      <w:proofErr w:type="spellStart"/>
      <w:r w:rsidRPr="00F12F35">
        <w:rPr>
          <w:rFonts w:ascii="Arial" w:hAnsi="Arial" w:cs="Arial"/>
          <w:i/>
          <w:iCs/>
        </w:rPr>
        <w:t>Transformer</w:t>
      </w:r>
      <w:proofErr w:type="spellEnd"/>
      <w:r w:rsidRPr="004E5FBE">
        <w:rPr>
          <w:rFonts w:ascii="Arial" w:hAnsi="Arial" w:cs="Arial"/>
        </w:rPr>
        <w:t xml:space="preserve"> con los enfoques basados en RNN en diferentes conjuntos de datos y tareas de procesamiento del lenguaje natural. Estos experimentos demuestran consistentemente la superioridad del modelo </w:t>
      </w:r>
      <w:proofErr w:type="spellStart"/>
      <w:r w:rsidRPr="00F12F35">
        <w:rPr>
          <w:rFonts w:ascii="Arial" w:hAnsi="Arial" w:cs="Arial"/>
          <w:i/>
          <w:iCs/>
        </w:rPr>
        <w:t>Transformer</w:t>
      </w:r>
      <w:proofErr w:type="spellEnd"/>
      <w:r w:rsidRPr="004E5FBE">
        <w:rPr>
          <w:rFonts w:ascii="Arial" w:hAnsi="Arial" w:cs="Arial"/>
        </w:rPr>
        <w:t xml:space="preserve"> en términos de calidad de traducción y capacidad de modelado del lenguaje.</w:t>
      </w:r>
    </w:p>
    <w:p w14:paraId="3FBE0174" w14:textId="77777777" w:rsidR="004E5FBE" w:rsidRPr="004E5FBE" w:rsidRDefault="004E5FBE" w:rsidP="004E5FBE">
      <w:pPr>
        <w:jc w:val="both"/>
        <w:rPr>
          <w:rFonts w:ascii="Arial" w:hAnsi="Arial" w:cs="Arial"/>
        </w:rPr>
      </w:pPr>
    </w:p>
    <w:p w14:paraId="6425F875" w14:textId="6921E41F" w:rsidR="004E5FBE" w:rsidRPr="00F12F35" w:rsidRDefault="004E5FBE" w:rsidP="00F12F35">
      <w:pPr>
        <w:jc w:val="both"/>
        <w:rPr>
          <w:rFonts w:ascii="Arial" w:hAnsi="Arial" w:cs="Arial"/>
        </w:rPr>
      </w:pPr>
      <w:r w:rsidRPr="004E5FBE">
        <w:rPr>
          <w:rFonts w:ascii="Arial" w:hAnsi="Arial" w:cs="Arial"/>
        </w:rPr>
        <w:t>En conclusión, el artículo "</w:t>
      </w:r>
      <w:proofErr w:type="spellStart"/>
      <w:r w:rsidRPr="00F12F35">
        <w:rPr>
          <w:rFonts w:ascii="Arial" w:hAnsi="Arial" w:cs="Arial"/>
          <w:i/>
          <w:iCs/>
        </w:rPr>
        <w:t>Attention</w:t>
      </w:r>
      <w:proofErr w:type="spellEnd"/>
      <w:r w:rsidRPr="00F12F35">
        <w:rPr>
          <w:rFonts w:ascii="Arial" w:hAnsi="Arial" w:cs="Arial"/>
          <w:i/>
          <w:iCs/>
        </w:rPr>
        <w:t xml:space="preserve"> </w:t>
      </w:r>
      <w:proofErr w:type="spellStart"/>
      <w:r w:rsidRPr="00F12F35">
        <w:rPr>
          <w:rFonts w:ascii="Arial" w:hAnsi="Arial" w:cs="Arial"/>
          <w:i/>
          <w:iCs/>
        </w:rPr>
        <w:t>Is</w:t>
      </w:r>
      <w:proofErr w:type="spellEnd"/>
      <w:r w:rsidRPr="00F12F35">
        <w:rPr>
          <w:rFonts w:ascii="Arial" w:hAnsi="Arial" w:cs="Arial"/>
          <w:i/>
          <w:iCs/>
        </w:rPr>
        <w:t xml:space="preserve"> </w:t>
      </w:r>
      <w:proofErr w:type="spellStart"/>
      <w:r w:rsidRPr="00F12F35">
        <w:rPr>
          <w:rFonts w:ascii="Arial" w:hAnsi="Arial" w:cs="Arial"/>
          <w:i/>
          <w:iCs/>
        </w:rPr>
        <w:t>All</w:t>
      </w:r>
      <w:proofErr w:type="spellEnd"/>
      <w:r w:rsidRPr="00F12F35">
        <w:rPr>
          <w:rFonts w:ascii="Arial" w:hAnsi="Arial" w:cs="Arial"/>
          <w:i/>
          <w:iCs/>
        </w:rPr>
        <w:t xml:space="preserve"> </w:t>
      </w:r>
      <w:proofErr w:type="spellStart"/>
      <w:r w:rsidRPr="00F12F35">
        <w:rPr>
          <w:rFonts w:ascii="Arial" w:hAnsi="Arial" w:cs="Arial"/>
          <w:i/>
          <w:iCs/>
        </w:rPr>
        <w:t>You</w:t>
      </w:r>
      <w:proofErr w:type="spellEnd"/>
      <w:r w:rsidRPr="00F12F35">
        <w:rPr>
          <w:rFonts w:ascii="Arial" w:hAnsi="Arial" w:cs="Arial"/>
          <w:i/>
          <w:iCs/>
        </w:rPr>
        <w:t xml:space="preserve"> </w:t>
      </w:r>
      <w:proofErr w:type="spellStart"/>
      <w:r w:rsidRPr="00F12F35">
        <w:rPr>
          <w:rFonts w:ascii="Arial" w:hAnsi="Arial" w:cs="Arial"/>
          <w:i/>
          <w:iCs/>
        </w:rPr>
        <w:t>Need</w:t>
      </w:r>
      <w:proofErr w:type="spellEnd"/>
      <w:r w:rsidRPr="004E5FBE">
        <w:rPr>
          <w:rFonts w:ascii="Arial" w:hAnsi="Arial" w:cs="Arial"/>
        </w:rPr>
        <w:t xml:space="preserve">" destaca la arquitectura </w:t>
      </w:r>
      <w:proofErr w:type="spellStart"/>
      <w:r w:rsidRPr="00F12F35">
        <w:rPr>
          <w:rFonts w:ascii="Arial" w:hAnsi="Arial" w:cs="Arial"/>
          <w:i/>
          <w:iCs/>
        </w:rPr>
        <w:t>Transformer</w:t>
      </w:r>
      <w:proofErr w:type="spellEnd"/>
      <w:r w:rsidRPr="004E5FBE">
        <w:rPr>
          <w:rFonts w:ascii="Arial" w:hAnsi="Arial" w:cs="Arial"/>
        </w:rPr>
        <w:t xml:space="preserve"> como una alternativa altamente efectiva a los enfoques tradicionales basados en RNN en el campo del procesamiento del lenguaje natural. La propuesta de utilizar el mecanismo de atención como elemento central en el diseño de modelos ha generado un impacto significativo en el campo y ha abierto nuevas posibilidades para el desarrollo de modelos de aprendizaje automático en el procesamiento del lenguaje natural.</w:t>
      </w:r>
    </w:p>
    <w:sectPr w:rsidR="004E5FBE" w:rsidRPr="00F12F35">
      <w:headerReference w:type="even" r:id="rId6"/>
      <w:headerReference w:type="default" r:id="rId7"/>
      <w:headerReference w:type="firs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BCC9C" w14:textId="77777777" w:rsidR="0061512D" w:rsidRDefault="0061512D" w:rsidP="00F12F35">
      <w:pPr>
        <w:spacing w:after="0" w:line="240" w:lineRule="auto"/>
      </w:pPr>
      <w:r>
        <w:separator/>
      </w:r>
    </w:p>
  </w:endnote>
  <w:endnote w:type="continuationSeparator" w:id="0">
    <w:p w14:paraId="1F4582EA" w14:textId="77777777" w:rsidR="0061512D" w:rsidRDefault="0061512D" w:rsidP="00F1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80341" w14:textId="77777777" w:rsidR="0061512D" w:rsidRDefault="0061512D" w:rsidP="00F12F35">
      <w:pPr>
        <w:spacing w:after="0" w:line="240" w:lineRule="auto"/>
      </w:pPr>
      <w:r>
        <w:separator/>
      </w:r>
    </w:p>
  </w:footnote>
  <w:footnote w:type="continuationSeparator" w:id="0">
    <w:p w14:paraId="26F981CC" w14:textId="77777777" w:rsidR="0061512D" w:rsidRDefault="0061512D" w:rsidP="00F12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FA29" w14:textId="37CCC5BA" w:rsidR="00F12F35" w:rsidRDefault="00F12F35">
    <w:pPr>
      <w:pStyle w:val="Encabezado"/>
    </w:pPr>
    <w:r>
      <w:rPr>
        <w:noProof/>
      </w:rPr>
      <mc:AlternateContent>
        <mc:Choice Requires="wps">
          <w:drawing>
            <wp:anchor distT="0" distB="0" distL="0" distR="0" simplePos="0" relativeHeight="251659264" behindDoc="0" locked="0" layoutInCell="1" allowOverlap="1" wp14:anchorId="45CA5174" wp14:editId="735BD555">
              <wp:simplePos x="635" y="635"/>
              <wp:positionH relativeFrom="page">
                <wp:align>center</wp:align>
              </wp:positionH>
              <wp:positionV relativeFrom="page">
                <wp:align>top</wp:align>
              </wp:positionV>
              <wp:extent cx="443865" cy="443865"/>
              <wp:effectExtent l="0" t="0" r="11430" b="6985"/>
              <wp:wrapNone/>
              <wp:docPr id="1951466073" name="Cuadro de texto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E272E4" w14:textId="1F5E46E2" w:rsidR="00F12F35" w:rsidRPr="00F12F35" w:rsidRDefault="00F12F35" w:rsidP="00F12F35">
                          <w:pPr>
                            <w:spacing w:after="0"/>
                            <w:rPr>
                              <w:rFonts w:ascii="Arial" w:eastAsia="Arial" w:hAnsi="Arial" w:cs="Arial"/>
                              <w:noProof/>
                              <w:color w:val="000000"/>
                              <w:sz w:val="16"/>
                              <w:szCs w:val="16"/>
                            </w:rPr>
                          </w:pPr>
                          <w:r w:rsidRPr="00F12F35">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5CA5174" id="_x0000_t202" coordsize="21600,21600" o:spt="202" path="m,l,21600r21600,l21600,xe">
              <v:stroke joinstyle="miter"/>
              <v:path gradientshapeok="t" o:connecttype="rect"/>
            </v:shapetype>
            <v:shape id="Cuadro de texto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19E272E4" w14:textId="1F5E46E2" w:rsidR="00F12F35" w:rsidRPr="00F12F35" w:rsidRDefault="00F12F35" w:rsidP="00F12F35">
                    <w:pPr>
                      <w:spacing w:after="0"/>
                      <w:rPr>
                        <w:rFonts w:ascii="Arial" w:eastAsia="Arial" w:hAnsi="Arial" w:cs="Arial"/>
                        <w:noProof/>
                        <w:color w:val="000000"/>
                        <w:sz w:val="16"/>
                        <w:szCs w:val="16"/>
                      </w:rPr>
                    </w:pPr>
                    <w:r w:rsidRPr="00F12F35">
                      <w:rPr>
                        <w:rFonts w:ascii="Arial" w:eastAsia="Arial" w:hAnsi="Arial" w:cs="Arial"/>
                        <w:noProof/>
                        <w:color w:val="000000"/>
                        <w:sz w:val="16"/>
                        <w:szCs w:val="16"/>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B9670" w14:textId="0C5D8536" w:rsidR="00F12F35" w:rsidRDefault="00F12F35">
    <w:pPr>
      <w:pStyle w:val="Encabezado"/>
    </w:pPr>
    <w:r>
      <w:rPr>
        <w:noProof/>
      </w:rPr>
      <mc:AlternateContent>
        <mc:Choice Requires="wps">
          <w:drawing>
            <wp:anchor distT="0" distB="0" distL="0" distR="0" simplePos="0" relativeHeight="251660288" behindDoc="0" locked="0" layoutInCell="1" allowOverlap="1" wp14:anchorId="7ACC25E8" wp14:editId="76EBEA3A">
              <wp:simplePos x="1082650" y="453542"/>
              <wp:positionH relativeFrom="page">
                <wp:align>center</wp:align>
              </wp:positionH>
              <wp:positionV relativeFrom="page">
                <wp:align>top</wp:align>
              </wp:positionV>
              <wp:extent cx="443865" cy="443865"/>
              <wp:effectExtent l="0" t="0" r="11430" b="6985"/>
              <wp:wrapNone/>
              <wp:docPr id="2960209" name="Cuadro de texto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F47281" w14:textId="21D98586" w:rsidR="00F12F35" w:rsidRPr="00F12F35" w:rsidRDefault="00F12F35" w:rsidP="00F12F35">
                          <w:pPr>
                            <w:spacing w:after="0"/>
                            <w:rPr>
                              <w:rFonts w:ascii="Arial" w:eastAsia="Arial" w:hAnsi="Arial" w:cs="Arial"/>
                              <w:noProof/>
                              <w:color w:val="000000"/>
                              <w:sz w:val="16"/>
                              <w:szCs w:val="16"/>
                            </w:rPr>
                          </w:pPr>
                          <w:r w:rsidRPr="00F12F35">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ACC25E8" id="_x0000_t202" coordsize="21600,21600" o:spt="202" path="m,l,21600r21600,l21600,xe">
              <v:stroke joinstyle="miter"/>
              <v:path gradientshapeok="t" o:connecttype="rect"/>
            </v:shapetype>
            <v:shape id="Cuadro de texto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29F47281" w14:textId="21D98586" w:rsidR="00F12F35" w:rsidRPr="00F12F35" w:rsidRDefault="00F12F35" w:rsidP="00F12F35">
                    <w:pPr>
                      <w:spacing w:after="0"/>
                      <w:rPr>
                        <w:rFonts w:ascii="Arial" w:eastAsia="Arial" w:hAnsi="Arial" w:cs="Arial"/>
                        <w:noProof/>
                        <w:color w:val="000000"/>
                        <w:sz w:val="16"/>
                        <w:szCs w:val="16"/>
                      </w:rPr>
                    </w:pPr>
                    <w:r w:rsidRPr="00F12F35">
                      <w:rPr>
                        <w:rFonts w:ascii="Arial" w:eastAsia="Arial" w:hAnsi="Arial" w:cs="Arial"/>
                        <w:noProof/>
                        <w:color w:val="000000"/>
                        <w:sz w:val="16"/>
                        <w:szCs w:val="16"/>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A93B" w14:textId="319F6D0E" w:rsidR="00F12F35" w:rsidRDefault="00F12F35">
    <w:pPr>
      <w:pStyle w:val="Encabezado"/>
    </w:pPr>
    <w:r>
      <w:rPr>
        <w:noProof/>
      </w:rPr>
      <mc:AlternateContent>
        <mc:Choice Requires="wps">
          <w:drawing>
            <wp:anchor distT="0" distB="0" distL="0" distR="0" simplePos="0" relativeHeight="251658240" behindDoc="0" locked="0" layoutInCell="1" allowOverlap="1" wp14:anchorId="4C277C57" wp14:editId="17B46F0B">
              <wp:simplePos x="635" y="635"/>
              <wp:positionH relativeFrom="page">
                <wp:align>center</wp:align>
              </wp:positionH>
              <wp:positionV relativeFrom="page">
                <wp:align>top</wp:align>
              </wp:positionV>
              <wp:extent cx="443865" cy="443865"/>
              <wp:effectExtent l="0" t="0" r="11430" b="6985"/>
              <wp:wrapNone/>
              <wp:docPr id="81817051" name="Cuadro de texto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99F50D" w14:textId="7F5AE96E" w:rsidR="00F12F35" w:rsidRPr="00F12F35" w:rsidRDefault="00F12F35" w:rsidP="00F12F35">
                          <w:pPr>
                            <w:spacing w:after="0"/>
                            <w:rPr>
                              <w:rFonts w:ascii="Arial" w:eastAsia="Arial" w:hAnsi="Arial" w:cs="Arial"/>
                              <w:noProof/>
                              <w:color w:val="000000"/>
                              <w:sz w:val="16"/>
                              <w:szCs w:val="16"/>
                            </w:rPr>
                          </w:pPr>
                          <w:r w:rsidRPr="00F12F35">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C277C57" id="_x0000_t202" coordsize="21600,21600" o:spt="202" path="m,l,21600r21600,l21600,xe">
              <v:stroke joinstyle="miter"/>
              <v:path gradientshapeok="t" o:connecttype="rect"/>
            </v:shapetype>
            <v:shape id="Cuadro de texto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7A99F50D" w14:textId="7F5AE96E" w:rsidR="00F12F35" w:rsidRPr="00F12F35" w:rsidRDefault="00F12F35" w:rsidP="00F12F35">
                    <w:pPr>
                      <w:spacing w:after="0"/>
                      <w:rPr>
                        <w:rFonts w:ascii="Arial" w:eastAsia="Arial" w:hAnsi="Arial" w:cs="Arial"/>
                        <w:noProof/>
                        <w:color w:val="000000"/>
                        <w:sz w:val="16"/>
                        <w:szCs w:val="16"/>
                      </w:rPr>
                    </w:pPr>
                    <w:r w:rsidRPr="00F12F35">
                      <w:rPr>
                        <w:rFonts w:ascii="Arial" w:eastAsia="Arial" w:hAnsi="Arial" w:cs="Arial"/>
                        <w:noProof/>
                        <w:color w:val="000000"/>
                        <w:sz w:val="16"/>
                        <w:szCs w:val="16"/>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87"/>
    <w:rsid w:val="002C6008"/>
    <w:rsid w:val="002E7D87"/>
    <w:rsid w:val="004E5FBE"/>
    <w:rsid w:val="0061512D"/>
    <w:rsid w:val="0071628C"/>
    <w:rsid w:val="00F12F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A039"/>
  <w15:chartTrackingRefBased/>
  <w15:docId w15:val="{195373D8-E7C8-470D-8AD8-1B62800E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2F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421</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Gonzalez, Eduardo</dc:creator>
  <cp:keywords/>
  <dc:description/>
  <cp:lastModifiedBy>Mora Gonzalez, Eduardo</cp:lastModifiedBy>
  <cp:revision>2</cp:revision>
  <dcterms:created xsi:type="dcterms:W3CDTF">2023-06-26T10:16:00Z</dcterms:created>
  <dcterms:modified xsi:type="dcterms:W3CDTF">2023-06-26T10:31:00Z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4e06ddb,74510259,2d2b51</vt:lpwstr>
  </property>
  <property fmtid="{D5CDD505-2E9C-101B-9397-08002B2CF9AE}" pid="3" name="ClassificationContentMarkingHeaderFontProps">
    <vt:lpwstr>#000000,8,Arial</vt:lpwstr>
  </property>
  <property fmtid="{D5CDD505-2E9C-101B-9397-08002B2CF9AE}" pid="4" name="ClassificationContentMarkingHeaderText">
    <vt:lpwstr>INTERNAL</vt:lpwstr>
  </property>
  <property fmtid="{D5CDD505-2E9C-101B-9397-08002B2CF9AE}" pid="5" name="MSIP_Label_797ad33d-ed35-43c0-b526-22bc83c17deb_Enabled">
    <vt:lpwstr>true</vt:lpwstr>
  </property>
  <property fmtid="{D5CDD505-2E9C-101B-9397-08002B2CF9AE}" pid="6" name="MSIP_Label_797ad33d-ed35-43c0-b526-22bc83c17deb_SetDate">
    <vt:lpwstr>2023-06-26T10:31:12Z</vt:lpwstr>
  </property>
  <property fmtid="{D5CDD505-2E9C-101B-9397-08002B2CF9AE}" pid="7" name="MSIP_Label_797ad33d-ed35-43c0-b526-22bc83c17deb_Method">
    <vt:lpwstr>Standard</vt:lpwstr>
  </property>
  <property fmtid="{D5CDD505-2E9C-101B-9397-08002B2CF9AE}" pid="8" name="MSIP_Label_797ad33d-ed35-43c0-b526-22bc83c17deb_Name">
    <vt:lpwstr>797ad33d-ed35-43c0-b526-22bc83c17deb</vt:lpwstr>
  </property>
  <property fmtid="{D5CDD505-2E9C-101B-9397-08002B2CF9AE}" pid="9" name="MSIP_Label_797ad33d-ed35-43c0-b526-22bc83c17deb_SiteId">
    <vt:lpwstr>d539d4bf-5610-471a-afc2-1c76685cfefa</vt:lpwstr>
  </property>
  <property fmtid="{D5CDD505-2E9C-101B-9397-08002B2CF9AE}" pid="10" name="MSIP_Label_797ad33d-ed35-43c0-b526-22bc83c17deb_ActionId">
    <vt:lpwstr>941296e9-9b80-460d-9d98-403a064f36e0</vt:lpwstr>
  </property>
  <property fmtid="{D5CDD505-2E9C-101B-9397-08002B2CF9AE}" pid="11" name="MSIP_Label_797ad33d-ed35-43c0-b526-22bc83c17deb_ContentBits">
    <vt:lpwstr>1</vt:lpwstr>
  </property>
</Properties>
</file>