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99573" w14:textId="77777777" w:rsidR="00947584" w:rsidRPr="00947584" w:rsidRDefault="00947584" w:rsidP="00947584">
      <w:pPr>
        <w:rPr>
          <w:b/>
          <w:bCs/>
        </w:rPr>
      </w:pPr>
      <w:r w:rsidRPr="00947584">
        <w:rPr>
          <w:b/>
          <w:bCs/>
        </w:rPr>
        <w:t>1. GEDI is sparse—you only get a point every ~25 m along each orbit, not a continuous map</w:t>
      </w:r>
    </w:p>
    <w:p w14:paraId="1FD74FB8" w14:textId="77777777" w:rsidR="00947584" w:rsidRPr="00947584" w:rsidRDefault="00947584" w:rsidP="00947584">
      <w:pPr>
        <w:numPr>
          <w:ilvl w:val="0"/>
          <w:numId w:val="1"/>
        </w:numPr>
      </w:pPr>
      <w:r w:rsidRPr="00947584">
        <w:rPr>
          <w:b/>
          <w:bCs/>
        </w:rPr>
        <w:t>Footprint spacing:</w:t>
      </w:r>
      <w:r w:rsidRPr="00947584">
        <w:t xml:space="preserve"> GEDI orbits cross the landscape in strips, leaving gaps of hundreds of meters between shots.</w:t>
      </w:r>
    </w:p>
    <w:p w14:paraId="221A11C0" w14:textId="77777777" w:rsidR="00947584" w:rsidRPr="00947584" w:rsidRDefault="00947584" w:rsidP="00947584">
      <w:pPr>
        <w:numPr>
          <w:ilvl w:val="0"/>
          <w:numId w:val="1"/>
        </w:numPr>
      </w:pPr>
      <w:r w:rsidRPr="00947584">
        <w:rPr>
          <w:b/>
          <w:bCs/>
        </w:rPr>
        <w:t>Wall-to-wall need:</w:t>
      </w:r>
      <w:r w:rsidRPr="00947584">
        <w:t xml:space="preserve"> For management, policymaking or cattle feed planning, you usually want a </w:t>
      </w:r>
      <w:r w:rsidRPr="00947584">
        <w:rPr>
          <w:b/>
          <w:bCs/>
        </w:rPr>
        <w:t>complete</w:t>
      </w:r>
      <w:r w:rsidRPr="00947584">
        <w:t xml:space="preserve"> raster layer of biomass across your entire study area—not just isolated points.</w:t>
      </w:r>
    </w:p>
    <w:p w14:paraId="5D27A64D" w14:textId="77777777" w:rsidR="00947584" w:rsidRPr="00947584" w:rsidRDefault="00947584" w:rsidP="00947584">
      <w:pPr>
        <w:numPr>
          <w:ilvl w:val="0"/>
          <w:numId w:val="1"/>
        </w:numPr>
      </w:pPr>
      <w:r w:rsidRPr="00947584">
        <w:rPr>
          <w:b/>
          <w:bCs/>
        </w:rPr>
        <w:t>Extrapolation with covariates:</w:t>
      </w:r>
      <w:r w:rsidRPr="00947584">
        <w:t xml:space="preserve"> By training a machine-learning model on the GEDI footprints (where you know true AGB) and feeding it </w:t>
      </w:r>
      <w:r w:rsidRPr="00947584">
        <w:rPr>
          <w:b/>
          <w:bCs/>
        </w:rPr>
        <w:t>continuous</w:t>
      </w:r>
      <w:r w:rsidRPr="00947584">
        <w:t xml:space="preserve"> satellite and topographic layers (Sentinel-2 bands, SAR backscatter, DEM slope, canopy height maps, vegetation indices), you can predict AGB </w:t>
      </w:r>
      <w:r w:rsidRPr="00947584">
        <w:rPr>
          <w:b/>
          <w:bCs/>
        </w:rPr>
        <w:t>everywhere</w:t>
      </w:r>
      <w:r w:rsidRPr="00947584">
        <w:t xml:space="preserve"> at your desired resolution (e.g. 10 m or 30 m pixels).</w:t>
      </w:r>
    </w:p>
    <w:p w14:paraId="5523B09D" w14:textId="77777777" w:rsidR="00947584" w:rsidRPr="00947584" w:rsidRDefault="00947584" w:rsidP="00947584">
      <w:r w:rsidRPr="00947584">
        <w:pict w14:anchorId="70E964DB">
          <v:rect id="_x0000_i1037" style="width:0;height:1.5pt" o:hralign="center" o:hrstd="t" o:hr="t" fillcolor="#a0a0a0" stroked="f"/>
        </w:pict>
      </w:r>
    </w:p>
    <w:p w14:paraId="553B4C4D" w14:textId="77777777" w:rsidR="00947584" w:rsidRPr="00947584" w:rsidRDefault="00947584" w:rsidP="00947584">
      <w:pPr>
        <w:rPr>
          <w:b/>
          <w:bCs/>
        </w:rPr>
      </w:pPr>
      <w:r w:rsidRPr="00947584">
        <w:rPr>
          <w:b/>
          <w:bCs/>
        </w:rPr>
        <w:t>2. GEDI’s own AGB estimates carry uncertainty and potential bias in dense canopies</w:t>
      </w:r>
    </w:p>
    <w:p w14:paraId="5EEB1AEF" w14:textId="77777777" w:rsidR="00947584" w:rsidRPr="00947584" w:rsidRDefault="00947584" w:rsidP="00947584">
      <w:pPr>
        <w:numPr>
          <w:ilvl w:val="0"/>
          <w:numId w:val="2"/>
        </w:numPr>
      </w:pPr>
      <w:r w:rsidRPr="00947584">
        <w:rPr>
          <w:b/>
          <w:bCs/>
        </w:rPr>
        <w:t>Signal saturation:</w:t>
      </w:r>
      <w:r w:rsidRPr="00947584">
        <w:t xml:space="preserve"> In very high-biomass forests, radar and lidar can saturate; GEDI’s allometric model may under-estimate the tallest, densest stands.</w:t>
      </w:r>
    </w:p>
    <w:p w14:paraId="7C75316A" w14:textId="77777777" w:rsidR="00947584" w:rsidRPr="00947584" w:rsidRDefault="00947584" w:rsidP="00947584">
      <w:pPr>
        <w:numPr>
          <w:ilvl w:val="0"/>
          <w:numId w:val="2"/>
        </w:numPr>
      </w:pPr>
      <w:r w:rsidRPr="00947584">
        <w:rPr>
          <w:b/>
          <w:bCs/>
        </w:rPr>
        <w:t>Site/region bias:</w:t>
      </w:r>
      <w:r w:rsidRPr="00947584">
        <w:t xml:space="preserve"> GEDI calibrations are global, but local species mix, soil and structure can shift that relationship. A region-specific model (incorporating local optical &amp; SAR signals) can correct systematic biases.</w:t>
      </w:r>
    </w:p>
    <w:p w14:paraId="36F5B39B" w14:textId="77777777" w:rsidR="00947584" w:rsidRPr="00947584" w:rsidRDefault="00947584" w:rsidP="00947584">
      <w:pPr>
        <w:numPr>
          <w:ilvl w:val="0"/>
          <w:numId w:val="2"/>
        </w:numPr>
      </w:pPr>
      <w:r w:rsidRPr="00947584">
        <w:rPr>
          <w:b/>
          <w:bCs/>
        </w:rPr>
        <w:t>Error propagation:</w:t>
      </w:r>
      <w:r w:rsidRPr="00947584">
        <w:t xml:space="preserve"> By quantifying GEDI’s standard error per shot and then training a local RF (or other) model, you can weight your training samples by their confidence—yielding a more robust wall-to-wall prediction.</w:t>
      </w:r>
    </w:p>
    <w:p w14:paraId="0AF82424" w14:textId="77777777" w:rsidR="00947584" w:rsidRPr="00947584" w:rsidRDefault="00947584" w:rsidP="00947584">
      <w:r w:rsidRPr="00947584">
        <w:pict w14:anchorId="44CF16C6">
          <v:rect id="_x0000_i1038" style="width:0;height:1.5pt" o:hralign="center" o:hrstd="t" o:hr="t" fillcolor="#a0a0a0" stroked="f"/>
        </w:pict>
      </w:r>
    </w:p>
    <w:p w14:paraId="6C8F42F4" w14:textId="77777777" w:rsidR="00947584" w:rsidRPr="00947584" w:rsidRDefault="00947584" w:rsidP="00947584">
      <w:pPr>
        <w:rPr>
          <w:b/>
          <w:bCs/>
        </w:rPr>
      </w:pPr>
      <w:r w:rsidRPr="00947584">
        <w:rPr>
          <w:b/>
          <w:bCs/>
        </w:rPr>
        <w:t>In a nutshell</w:t>
      </w:r>
    </w:p>
    <w:p w14:paraId="4F088E97" w14:textId="77777777" w:rsidR="00947584" w:rsidRPr="00947584" w:rsidRDefault="00947584" w:rsidP="00947584">
      <w:pPr>
        <w:numPr>
          <w:ilvl w:val="0"/>
          <w:numId w:val="3"/>
        </w:numPr>
      </w:pPr>
      <w:r w:rsidRPr="00947584">
        <w:rPr>
          <w:b/>
          <w:bCs/>
        </w:rPr>
        <w:t>GEDI = “truth” at sample points</w:t>
      </w:r>
      <w:r w:rsidRPr="00947584">
        <w:t xml:space="preserve"> (but sparse + noisy in extremes).</w:t>
      </w:r>
    </w:p>
    <w:p w14:paraId="16530BC1" w14:textId="77777777" w:rsidR="00947584" w:rsidRPr="00947584" w:rsidRDefault="00947584" w:rsidP="00947584">
      <w:pPr>
        <w:numPr>
          <w:ilvl w:val="0"/>
          <w:numId w:val="3"/>
        </w:numPr>
      </w:pPr>
      <w:r w:rsidRPr="00947584">
        <w:rPr>
          <w:b/>
          <w:bCs/>
        </w:rPr>
        <w:t>Model = “best possible guess” across the whole map</w:t>
      </w:r>
      <w:r w:rsidRPr="00947584">
        <w:t>, learned from GEDI samples plus rich wall-to-wall predictors.</w:t>
      </w:r>
    </w:p>
    <w:p w14:paraId="2023EF02" w14:textId="491FCB3A" w:rsidR="00FE1346" w:rsidRDefault="00947584">
      <w:r>
        <w:t>////////////////////////////////////////////////////////////////////////////////////</w:t>
      </w:r>
    </w:p>
    <w:p w14:paraId="3EC5EE80" w14:textId="77777777" w:rsidR="00947584" w:rsidRPr="00947584" w:rsidRDefault="00947584" w:rsidP="00947584">
      <w:r w:rsidRPr="00947584">
        <w:t>Imagine drawing a line on a map every time the ISS (which carries GEDI) passes overhead. Along each of those lines, GEDI “fires” its laser repeatedly, measuring the forest at discrete spots—those are the footprints.</w:t>
      </w:r>
    </w:p>
    <w:p w14:paraId="4A5B884E" w14:textId="77777777" w:rsidR="00947584" w:rsidRPr="00947584" w:rsidRDefault="00947584" w:rsidP="00947584">
      <w:pPr>
        <w:numPr>
          <w:ilvl w:val="0"/>
          <w:numId w:val="4"/>
        </w:numPr>
      </w:pPr>
      <w:r w:rsidRPr="00947584">
        <w:rPr>
          <w:b/>
          <w:bCs/>
        </w:rPr>
        <w:lastRenderedPageBreak/>
        <w:t>Strips</w:t>
      </w:r>
      <w:r w:rsidRPr="00947584">
        <w:t>: Each pass of the ISS creates one of those long, narrow lines of shots on the ground.</w:t>
      </w:r>
    </w:p>
    <w:p w14:paraId="3488F014" w14:textId="77777777" w:rsidR="00947584" w:rsidRPr="00947584" w:rsidRDefault="00947584" w:rsidP="00947584">
      <w:pPr>
        <w:numPr>
          <w:ilvl w:val="0"/>
          <w:numId w:val="4"/>
        </w:numPr>
      </w:pPr>
      <w:r w:rsidRPr="00947584">
        <w:rPr>
          <w:b/>
          <w:bCs/>
        </w:rPr>
        <w:t>Spacing along a strip</w:t>
      </w:r>
      <w:r w:rsidRPr="00947584">
        <w:t>: The footprints are only about 60 m apart along that line.</w:t>
      </w:r>
    </w:p>
    <w:p w14:paraId="046EFDA5" w14:textId="77777777" w:rsidR="00947584" w:rsidRPr="00947584" w:rsidRDefault="00947584" w:rsidP="00947584">
      <w:pPr>
        <w:numPr>
          <w:ilvl w:val="0"/>
          <w:numId w:val="4"/>
        </w:numPr>
      </w:pPr>
      <w:r w:rsidRPr="00947584">
        <w:rPr>
          <w:b/>
          <w:bCs/>
        </w:rPr>
        <w:t>Gaps between strips</w:t>
      </w:r>
      <w:r w:rsidRPr="00947584">
        <w:t>: But the ISS doesn’t travel directly next to its previous path on each orbit—its next pass is shifted over, leaving a gap of several hundred meters (often 400–600 m) before the next line of shots.</w:t>
      </w:r>
    </w:p>
    <w:p w14:paraId="31055645" w14:textId="77777777" w:rsidR="00947584" w:rsidRPr="00947584" w:rsidRDefault="00947584" w:rsidP="00947584">
      <w:r w:rsidRPr="00947584">
        <w:t xml:space="preserve">Visually, if you color in the footprint locations you end up with pale “teeth” or parallel “stripes” of data, with blank ground in between where GEDI simply didn’t shoot. That’s why we say GEDI is </w:t>
      </w:r>
      <w:r w:rsidRPr="00947584">
        <w:rPr>
          <w:b/>
          <w:bCs/>
        </w:rPr>
        <w:t>sparse</w:t>
      </w:r>
      <w:r w:rsidRPr="00947584">
        <w:t>—it gives you very accurate biomass estimates, but only along those narrow, spaced-apart strips.</w:t>
      </w:r>
    </w:p>
    <w:p w14:paraId="7CC17C66" w14:textId="7FF47188" w:rsidR="00947584" w:rsidRDefault="00947584">
      <w:r>
        <w:t>/////////////////////////////////////////////////////////////////////////////////////</w:t>
      </w:r>
    </w:p>
    <w:p w14:paraId="259FE40B" w14:textId="77777777" w:rsidR="00947584" w:rsidRDefault="00947584"/>
    <w:p w14:paraId="43BF5D3D" w14:textId="77777777" w:rsidR="00947584" w:rsidRDefault="00947584"/>
    <w:p w14:paraId="3AECD9DA" w14:textId="77777777" w:rsidR="00947584" w:rsidRPr="00947584" w:rsidRDefault="00947584" w:rsidP="00947584">
      <w:r w:rsidRPr="00947584">
        <w:rPr>
          <w:b/>
          <w:bCs/>
        </w:rPr>
        <w:t>NDVI (Normalized Difference Vegetation Index)</w:t>
      </w:r>
      <w:r w:rsidRPr="00947584">
        <w:t xml:space="preserve"> and </w:t>
      </w:r>
      <w:r w:rsidRPr="00947584">
        <w:rPr>
          <w:b/>
          <w:bCs/>
        </w:rPr>
        <w:t>EVI (Enhanced Vegetation Index)</w:t>
      </w:r>
      <w:r w:rsidRPr="00947584">
        <w:t xml:space="preserve"> are both simple mathematical transformations of satellite reflectance bands that give you a single number—per pixel—that correlates with “greenness” or vegetation health.</w:t>
      </w:r>
    </w:p>
    <w:p w14:paraId="2B6E5CE2" w14:textId="77777777" w:rsidR="00947584" w:rsidRPr="00947584" w:rsidRDefault="00947584" w:rsidP="00947584">
      <w:r w:rsidRPr="00947584">
        <w:pict w14:anchorId="26C212C6">
          <v:rect id="_x0000_i1059" style="width:0;height:1.5pt" o:hralign="center" o:hrstd="t" o:hr="t" fillcolor="#a0a0a0" stroked="f"/>
        </w:pict>
      </w:r>
    </w:p>
    <w:p w14:paraId="43EE1807" w14:textId="77777777" w:rsidR="00947584" w:rsidRPr="00947584" w:rsidRDefault="00947584" w:rsidP="00947584">
      <w:pPr>
        <w:rPr>
          <w:b/>
          <w:bCs/>
        </w:rPr>
      </w:pPr>
      <w:r w:rsidRPr="00947584">
        <w:rPr>
          <w:b/>
          <w:bCs/>
        </w:rPr>
        <w:t>NDVI</w:t>
      </w:r>
    </w:p>
    <w:p w14:paraId="201C9ACA" w14:textId="77777777" w:rsidR="00947584" w:rsidRPr="00947584" w:rsidRDefault="00947584" w:rsidP="00947584">
      <w:pPr>
        <w:numPr>
          <w:ilvl w:val="0"/>
          <w:numId w:val="5"/>
        </w:numPr>
      </w:pPr>
      <w:r w:rsidRPr="00947584">
        <w:rPr>
          <w:b/>
          <w:bCs/>
        </w:rPr>
        <w:t>Formula</w:t>
      </w:r>
    </w:p>
    <w:p w14:paraId="046AED7C" w14:textId="77777777" w:rsidR="00947584" w:rsidRPr="00947584" w:rsidRDefault="00947584" w:rsidP="00947584">
      <w:r w:rsidRPr="00947584">
        <w:t>NDVI=</w:t>
      </w:r>
      <w:proofErr w:type="spellStart"/>
      <w:r w:rsidRPr="00947584">
        <w:t>NIR−RedNIR+Red</w:t>
      </w:r>
      <w:proofErr w:type="spellEnd"/>
      <w:r w:rsidRPr="00947584">
        <w:t xml:space="preserve"> \text{NDVI} = \frac{\text{NIR} - \text{Red}}{\text{NIR} + \text{Red}} </w:t>
      </w:r>
    </w:p>
    <w:p w14:paraId="15256712" w14:textId="77777777" w:rsidR="00947584" w:rsidRPr="00947584" w:rsidRDefault="00947584" w:rsidP="00947584">
      <w:pPr>
        <w:numPr>
          <w:ilvl w:val="0"/>
          <w:numId w:val="5"/>
        </w:numPr>
      </w:pPr>
      <w:r w:rsidRPr="00947584">
        <w:rPr>
          <w:b/>
          <w:bCs/>
        </w:rPr>
        <w:t>Bands used</w:t>
      </w:r>
    </w:p>
    <w:p w14:paraId="56EFD9C8" w14:textId="77777777" w:rsidR="00947584" w:rsidRPr="00947584" w:rsidRDefault="00947584" w:rsidP="00947584">
      <w:pPr>
        <w:numPr>
          <w:ilvl w:val="1"/>
          <w:numId w:val="5"/>
        </w:numPr>
      </w:pPr>
      <w:r w:rsidRPr="00947584">
        <w:rPr>
          <w:b/>
          <w:bCs/>
        </w:rPr>
        <w:t>NIR</w:t>
      </w:r>
      <w:r w:rsidRPr="00947584">
        <w:t>: Near-infrared (for Landsat, band 5 or 8 depending on sensor)</w:t>
      </w:r>
    </w:p>
    <w:p w14:paraId="4A82A8FE" w14:textId="77777777" w:rsidR="00947584" w:rsidRPr="00947584" w:rsidRDefault="00947584" w:rsidP="00947584">
      <w:pPr>
        <w:numPr>
          <w:ilvl w:val="1"/>
          <w:numId w:val="5"/>
        </w:numPr>
      </w:pPr>
      <w:r w:rsidRPr="00947584">
        <w:rPr>
          <w:b/>
          <w:bCs/>
        </w:rPr>
        <w:t>Red</w:t>
      </w:r>
      <w:r w:rsidRPr="00947584">
        <w:t>: Red visible (e.g. Landsat band 4 or 3)</w:t>
      </w:r>
    </w:p>
    <w:p w14:paraId="119A023A" w14:textId="77777777" w:rsidR="00947584" w:rsidRPr="00947584" w:rsidRDefault="00947584" w:rsidP="00947584">
      <w:pPr>
        <w:numPr>
          <w:ilvl w:val="0"/>
          <w:numId w:val="5"/>
        </w:numPr>
      </w:pPr>
      <w:r w:rsidRPr="00947584">
        <w:rPr>
          <w:b/>
          <w:bCs/>
        </w:rPr>
        <w:t>Range</w:t>
      </w:r>
      <w:r w:rsidRPr="00947584">
        <w:br/>
        <w:t>–1 to +1</w:t>
      </w:r>
    </w:p>
    <w:p w14:paraId="5C541867" w14:textId="77777777" w:rsidR="00947584" w:rsidRPr="00947584" w:rsidRDefault="00947584" w:rsidP="00947584">
      <w:pPr>
        <w:numPr>
          <w:ilvl w:val="1"/>
          <w:numId w:val="5"/>
        </w:numPr>
      </w:pPr>
      <w:r w:rsidRPr="00947584">
        <w:t xml:space="preserve">Values near </w:t>
      </w:r>
      <w:r w:rsidRPr="00947584">
        <w:rPr>
          <w:b/>
          <w:bCs/>
        </w:rPr>
        <w:t>+1</w:t>
      </w:r>
      <w:r w:rsidRPr="00947584">
        <w:t xml:space="preserve"> (e.g. 0.7–0.9) usually indicate dense, healthy vegetation</w:t>
      </w:r>
    </w:p>
    <w:p w14:paraId="2138FD23" w14:textId="77777777" w:rsidR="00947584" w:rsidRPr="00947584" w:rsidRDefault="00947584" w:rsidP="00947584">
      <w:pPr>
        <w:numPr>
          <w:ilvl w:val="1"/>
          <w:numId w:val="5"/>
        </w:numPr>
      </w:pPr>
      <w:r w:rsidRPr="00947584">
        <w:t xml:space="preserve">Values near </w:t>
      </w:r>
      <w:r w:rsidRPr="00947584">
        <w:rPr>
          <w:b/>
          <w:bCs/>
        </w:rPr>
        <w:t>0</w:t>
      </w:r>
      <w:r w:rsidRPr="00947584">
        <w:t xml:space="preserve"> indicate bare soil or built-up areas</w:t>
      </w:r>
    </w:p>
    <w:p w14:paraId="2253F9C3" w14:textId="77777777" w:rsidR="00947584" w:rsidRPr="00947584" w:rsidRDefault="00947584" w:rsidP="00947584">
      <w:pPr>
        <w:numPr>
          <w:ilvl w:val="1"/>
          <w:numId w:val="5"/>
        </w:numPr>
      </w:pPr>
      <w:r w:rsidRPr="00947584">
        <w:t xml:space="preserve">Values below </w:t>
      </w:r>
      <w:r w:rsidRPr="00947584">
        <w:rPr>
          <w:b/>
          <w:bCs/>
        </w:rPr>
        <w:t>0</w:t>
      </w:r>
      <w:r w:rsidRPr="00947584">
        <w:t xml:space="preserve"> often represent water, snow, or clouds</w:t>
      </w:r>
    </w:p>
    <w:p w14:paraId="0AA183B6" w14:textId="77777777" w:rsidR="00947584" w:rsidRPr="00947584" w:rsidRDefault="00947584" w:rsidP="00947584">
      <w:pPr>
        <w:numPr>
          <w:ilvl w:val="0"/>
          <w:numId w:val="5"/>
        </w:numPr>
      </w:pPr>
      <w:r w:rsidRPr="00947584">
        <w:rPr>
          <w:b/>
          <w:bCs/>
        </w:rPr>
        <w:lastRenderedPageBreak/>
        <w:t>What it tells you</w:t>
      </w:r>
      <w:r w:rsidRPr="00947584">
        <w:br/>
        <w:t>The more chlorophyll there is, the more red light is absorbed and the more NIR is reflected—so a high NDVI means more live green leaves.</w:t>
      </w:r>
    </w:p>
    <w:p w14:paraId="714696BC" w14:textId="77777777" w:rsidR="00947584" w:rsidRPr="00947584" w:rsidRDefault="00947584" w:rsidP="00947584">
      <w:r w:rsidRPr="00947584">
        <w:pict w14:anchorId="7E5701E7">
          <v:rect id="_x0000_i1060" style="width:0;height:1.5pt" o:hralign="center" o:hrstd="t" o:hr="t" fillcolor="#a0a0a0" stroked="f"/>
        </w:pict>
      </w:r>
    </w:p>
    <w:p w14:paraId="3C119E49" w14:textId="77777777" w:rsidR="00947584" w:rsidRPr="00947584" w:rsidRDefault="00947584" w:rsidP="00947584">
      <w:pPr>
        <w:rPr>
          <w:b/>
          <w:bCs/>
        </w:rPr>
      </w:pPr>
      <w:r w:rsidRPr="00947584">
        <w:rPr>
          <w:b/>
          <w:bCs/>
        </w:rPr>
        <w:t>EVI</w:t>
      </w:r>
    </w:p>
    <w:p w14:paraId="0AF23741" w14:textId="77777777" w:rsidR="00947584" w:rsidRPr="00947584" w:rsidRDefault="00947584" w:rsidP="00947584">
      <w:pPr>
        <w:numPr>
          <w:ilvl w:val="0"/>
          <w:numId w:val="6"/>
        </w:numPr>
      </w:pPr>
      <w:r w:rsidRPr="00947584">
        <w:rPr>
          <w:b/>
          <w:bCs/>
        </w:rPr>
        <w:t>Formula</w:t>
      </w:r>
    </w:p>
    <w:p w14:paraId="093E7F33" w14:textId="77777777" w:rsidR="00947584" w:rsidRPr="00947584" w:rsidRDefault="00947584" w:rsidP="00947584">
      <w:r w:rsidRPr="00947584">
        <w:t>EVI=2.5×NIR−RedNIR+6</w:t>
      </w:r>
      <w:r w:rsidRPr="00947584">
        <w:rPr>
          <w:rFonts w:ascii="Arial" w:hAnsi="Arial" w:cs="Arial"/>
        </w:rPr>
        <w:t> </w:t>
      </w:r>
      <w:r w:rsidRPr="00947584">
        <w:rPr>
          <w:rFonts w:ascii="Aptos" w:hAnsi="Aptos" w:cs="Aptos"/>
        </w:rPr>
        <w:t>×</w:t>
      </w:r>
      <w:r w:rsidRPr="00947584">
        <w:t>Red</w:t>
      </w:r>
      <w:r w:rsidRPr="00947584">
        <w:rPr>
          <w:rFonts w:ascii="Aptos" w:hAnsi="Aptos" w:cs="Aptos"/>
        </w:rPr>
        <w:t>−</w:t>
      </w:r>
      <w:r w:rsidRPr="00947584">
        <w:t>7.5</w:t>
      </w:r>
      <w:r w:rsidRPr="00947584">
        <w:rPr>
          <w:rFonts w:ascii="Arial" w:hAnsi="Arial" w:cs="Arial"/>
        </w:rPr>
        <w:t> </w:t>
      </w:r>
      <w:r w:rsidRPr="00947584">
        <w:rPr>
          <w:rFonts w:ascii="Aptos" w:hAnsi="Aptos" w:cs="Aptos"/>
        </w:rPr>
        <w:t>×</w:t>
      </w:r>
      <w:r w:rsidRPr="00947584">
        <w:t xml:space="preserve">Blue+1 \text{EVI} = 2.5 \times \frac{\text{NIR} - \text{Red}} {\text{NIR} + 6\,\times\text{Red} - 7.5\,\times\text{Blue} + 1} </w:t>
      </w:r>
    </w:p>
    <w:p w14:paraId="3DA27F0D" w14:textId="77777777" w:rsidR="00947584" w:rsidRPr="00947584" w:rsidRDefault="00947584" w:rsidP="00947584">
      <w:pPr>
        <w:numPr>
          <w:ilvl w:val="0"/>
          <w:numId w:val="6"/>
        </w:numPr>
      </w:pPr>
      <w:r w:rsidRPr="00947584">
        <w:rPr>
          <w:b/>
          <w:bCs/>
        </w:rPr>
        <w:t>Bands used</w:t>
      </w:r>
    </w:p>
    <w:p w14:paraId="1DF0E00E" w14:textId="77777777" w:rsidR="00947584" w:rsidRPr="00947584" w:rsidRDefault="00947584" w:rsidP="00947584">
      <w:pPr>
        <w:numPr>
          <w:ilvl w:val="1"/>
          <w:numId w:val="6"/>
        </w:numPr>
      </w:pPr>
      <w:r w:rsidRPr="00947584">
        <w:rPr>
          <w:b/>
          <w:bCs/>
        </w:rPr>
        <w:t>NIR</w:t>
      </w:r>
      <w:r w:rsidRPr="00947584">
        <w:t>: Near-infrared</w:t>
      </w:r>
    </w:p>
    <w:p w14:paraId="3CD033C1" w14:textId="77777777" w:rsidR="00947584" w:rsidRPr="00947584" w:rsidRDefault="00947584" w:rsidP="00947584">
      <w:pPr>
        <w:numPr>
          <w:ilvl w:val="1"/>
          <w:numId w:val="6"/>
        </w:numPr>
      </w:pPr>
      <w:r w:rsidRPr="00947584">
        <w:rPr>
          <w:b/>
          <w:bCs/>
        </w:rPr>
        <w:t>Red</w:t>
      </w:r>
      <w:r w:rsidRPr="00947584">
        <w:t>: Red visible</w:t>
      </w:r>
    </w:p>
    <w:p w14:paraId="1A5E5592" w14:textId="77777777" w:rsidR="00947584" w:rsidRPr="00947584" w:rsidRDefault="00947584" w:rsidP="00947584">
      <w:pPr>
        <w:numPr>
          <w:ilvl w:val="1"/>
          <w:numId w:val="6"/>
        </w:numPr>
      </w:pPr>
      <w:r w:rsidRPr="00947584">
        <w:rPr>
          <w:b/>
          <w:bCs/>
        </w:rPr>
        <w:t>Blue</w:t>
      </w:r>
      <w:r w:rsidRPr="00947584">
        <w:t>: Blue visible (to help correct atmospheric effects)</w:t>
      </w:r>
    </w:p>
    <w:p w14:paraId="30058F71" w14:textId="77777777" w:rsidR="00947584" w:rsidRPr="00947584" w:rsidRDefault="00947584" w:rsidP="00947584">
      <w:pPr>
        <w:numPr>
          <w:ilvl w:val="0"/>
          <w:numId w:val="6"/>
        </w:numPr>
      </w:pPr>
      <w:r w:rsidRPr="00947584">
        <w:rPr>
          <w:b/>
          <w:bCs/>
        </w:rPr>
        <w:t>Range</w:t>
      </w:r>
      <w:r w:rsidRPr="00947584">
        <w:br/>
        <w:t>Typically from –1 to +1 (but can exceed +1 under very lush vegetation)</w:t>
      </w:r>
    </w:p>
    <w:p w14:paraId="605CADE0" w14:textId="77777777" w:rsidR="00947584" w:rsidRPr="00947584" w:rsidRDefault="00947584" w:rsidP="00947584">
      <w:pPr>
        <w:numPr>
          <w:ilvl w:val="0"/>
          <w:numId w:val="6"/>
        </w:numPr>
      </w:pPr>
      <w:r w:rsidRPr="00947584">
        <w:rPr>
          <w:b/>
          <w:bCs/>
        </w:rPr>
        <w:t>Why use it?</w:t>
      </w:r>
    </w:p>
    <w:p w14:paraId="5E8763AF" w14:textId="77777777" w:rsidR="00947584" w:rsidRPr="00947584" w:rsidRDefault="00947584" w:rsidP="00947584">
      <w:pPr>
        <w:numPr>
          <w:ilvl w:val="1"/>
          <w:numId w:val="6"/>
        </w:numPr>
      </w:pPr>
      <w:r w:rsidRPr="00947584">
        <w:rPr>
          <w:b/>
          <w:bCs/>
        </w:rPr>
        <w:t>Reduces</w:t>
      </w:r>
      <w:r w:rsidRPr="00947584">
        <w:t xml:space="preserve"> sensitivity to atmospheric scattering and soil background</w:t>
      </w:r>
    </w:p>
    <w:p w14:paraId="0B080D57" w14:textId="77777777" w:rsidR="00947584" w:rsidRPr="00947584" w:rsidRDefault="00947584" w:rsidP="00947584">
      <w:pPr>
        <w:numPr>
          <w:ilvl w:val="1"/>
          <w:numId w:val="6"/>
        </w:numPr>
      </w:pPr>
      <w:r w:rsidRPr="00947584">
        <w:rPr>
          <w:b/>
          <w:bCs/>
        </w:rPr>
        <w:t>Corrects</w:t>
      </w:r>
      <w:r w:rsidRPr="00947584">
        <w:t xml:space="preserve"> for canopy saturation (where very dense leaves cause NDVI to “max out” and lose sensitivity)</w:t>
      </w:r>
    </w:p>
    <w:p w14:paraId="4EF47123" w14:textId="77777777" w:rsidR="00947584" w:rsidRPr="00947584" w:rsidRDefault="00947584" w:rsidP="00947584">
      <w:pPr>
        <w:numPr>
          <w:ilvl w:val="0"/>
          <w:numId w:val="6"/>
        </w:numPr>
      </w:pPr>
      <w:r w:rsidRPr="00947584">
        <w:rPr>
          <w:b/>
          <w:bCs/>
        </w:rPr>
        <w:t>What it tells you</w:t>
      </w:r>
      <w:r w:rsidRPr="00947584">
        <w:br/>
        <w:t>Like NDVI, EVI measures greenness, but it handles very dense canopies and hazy conditions more robustly—useful in tropical forests or areas prone to haze.</w:t>
      </w:r>
    </w:p>
    <w:p w14:paraId="12A51DD7" w14:textId="77777777" w:rsidR="00947584" w:rsidRPr="00947584" w:rsidRDefault="00947584" w:rsidP="00947584">
      <w:r w:rsidRPr="00947584">
        <w:pict w14:anchorId="6AF10229">
          <v:rect id="_x0000_i1061" style="width:0;height:1.5pt" o:hralign="center" o:hrstd="t" o:hr="t" fillcolor="#a0a0a0" stroked="f"/>
        </w:pict>
      </w:r>
    </w:p>
    <w:p w14:paraId="63767794" w14:textId="77777777" w:rsidR="00947584" w:rsidRPr="00947584" w:rsidRDefault="00947584" w:rsidP="00947584">
      <w:pPr>
        <w:rPr>
          <w:b/>
          <w:bCs/>
        </w:rPr>
      </w:pPr>
      <w:r w:rsidRPr="00947584">
        <w:rPr>
          <w:b/>
          <w:bCs/>
        </w:rPr>
        <w:t>When to choose which?</w:t>
      </w:r>
    </w:p>
    <w:p w14:paraId="52D644A0" w14:textId="77777777" w:rsidR="00947584" w:rsidRPr="00947584" w:rsidRDefault="00947584" w:rsidP="00947584">
      <w:pPr>
        <w:numPr>
          <w:ilvl w:val="0"/>
          <w:numId w:val="7"/>
        </w:numPr>
      </w:pPr>
      <w:r w:rsidRPr="00947584">
        <w:rPr>
          <w:b/>
          <w:bCs/>
        </w:rPr>
        <w:t>NDVI</w:t>
      </w:r>
      <w:r w:rsidRPr="00947584">
        <w:t xml:space="preserve"> is simple and widely used—great for moderate vegetation densities and clear</w:t>
      </w:r>
      <w:r w:rsidRPr="00947584">
        <w:rPr>
          <w:rFonts w:ascii="Cambria Math" w:hAnsi="Cambria Math" w:cs="Cambria Math"/>
        </w:rPr>
        <w:t>‐</w:t>
      </w:r>
      <w:r w:rsidRPr="00947584">
        <w:t>sky conditions.</w:t>
      </w:r>
    </w:p>
    <w:p w14:paraId="0113A27E" w14:textId="77777777" w:rsidR="00947584" w:rsidRPr="00947584" w:rsidRDefault="00947584" w:rsidP="00947584">
      <w:pPr>
        <w:numPr>
          <w:ilvl w:val="0"/>
          <w:numId w:val="7"/>
        </w:numPr>
      </w:pPr>
      <w:r w:rsidRPr="00947584">
        <w:rPr>
          <w:b/>
          <w:bCs/>
        </w:rPr>
        <w:t>EVI</w:t>
      </w:r>
      <w:r w:rsidRPr="00947584">
        <w:t xml:space="preserve"> shines when you have </w:t>
      </w:r>
      <w:r w:rsidRPr="00947584">
        <w:rPr>
          <w:b/>
          <w:bCs/>
        </w:rPr>
        <w:t>very dense vegetation</w:t>
      </w:r>
      <w:r w:rsidRPr="00947584">
        <w:t xml:space="preserve"> (where NDVI saturates) or </w:t>
      </w:r>
      <w:r w:rsidRPr="00947584">
        <w:rPr>
          <w:b/>
          <w:bCs/>
        </w:rPr>
        <w:t xml:space="preserve">atmospheric </w:t>
      </w:r>
      <w:proofErr w:type="spellStart"/>
      <w:r w:rsidRPr="00947584">
        <w:rPr>
          <w:b/>
          <w:bCs/>
        </w:rPr>
        <w:t>effects</w:t>
      </w:r>
      <w:r w:rsidRPr="00947584">
        <w:t xml:space="preserve"> you</w:t>
      </w:r>
      <w:proofErr w:type="spellEnd"/>
      <w:r w:rsidRPr="00947584">
        <w:t xml:space="preserve"> want to minimize (haze, smoke, dust).</w:t>
      </w:r>
    </w:p>
    <w:p w14:paraId="694D729E" w14:textId="77777777" w:rsidR="00947584" w:rsidRPr="00947584" w:rsidRDefault="00947584" w:rsidP="00947584">
      <w:r w:rsidRPr="00947584">
        <w:t>Both indices become useful predictor variables in your biomass</w:t>
      </w:r>
      <w:r w:rsidRPr="00947584">
        <w:rPr>
          <w:rFonts w:ascii="Cambria Math" w:hAnsi="Cambria Math" w:cs="Cambria Math"/>
        </w:rPr>
        <w:t>‐</w:t>
      </w:r>
      <w:r w:rsidRPr="00947584">
        <w:t>mapping model because they encapsulate the vegetation signal in just one number per pixel.</w:t>
      </w:r>
    </w:p>
    <w:p w14:paraId="12D50619" w14:textId="7D25D188" w:rsidR="00947584" w:rsidRDefault="00947584">
      <w:r>
        <w:lastRenderedPageBreak/>
        <w:t>///////////////////////////////////////////////////////</w:t>
      </w:r>
    </w:p>
    <w:p w14:paraId="05F39C14" w14:textId="77777777" w:rsidR="00947584" w:rsidRDefault="00947584"/>
    <w:p w14:paraId="1A095CC4" w14:textId="77777777" w:rsidR="00947584" w:rsidRPr="00947584" w:rsidRDefault="00947584" w:rsidP="00947584">
      <w:r w:rsidRPr="00947584">
        <w:t xml:space="preserve">A </w:t>
      </w:r>
      <w:r w:rsidRPr="00947584">
        <w:rPr>
          <w:b/>
          <w:bCs/>
        </w:rPr>
        <w:t>DEM</w:t>
      </w:r>
      <w:r w:rsidRPr="00947584">
        <w:t xml:space="preserve"> (Digital Elevation Model) is simply a gridded map of ground elevation—every pixel gives you the height of the terrain above sea level. We bring it into our biomass workflow because </w:t>
      </w:r>
      <w:r w:rsidRPr="00947584">
        <w:rPr>
          <w:b/>
          <w:bCs/>
        </w:rPr>
        <w:t>topography strongly influences vegetation</w:t>
      </w:r>
      <w:r w:rsidRPr="00947584">
        <w:t>:</w:t>
      </w:r>
    </w:p>
    <w:p w14:paraId="74389D9F" w14:textId="77777777" w:rsidR="00947584" w:rsidRPr="00947584" w:rsidRDefault="00947584" w:rsidP="00947584">
      <w:pPr>
        <w:numPr>
          <w:ilvl w:val="0"/>
          <w:numId w:val="8"/>
        </w:numPr>
      </w:pPr>
      <w:r w:rsidRPr="00947584">
        <w:rPr>
          <w:b/>
          <w:bCs/>
        </w:rPr>
        <w:t>Water &amp; soil moisture</w:t>
      </w:r>
    </w:p>
    <w:p w14:paraId="3B03D579" w14:textId="77777777" w:rsidR="00947584" w:rsidRPr="00947584" w:rsidRDefault="00947584" w:rsidP="00947584">
      <w:pPr>
        <w:numPr>
          <w:ilvl w:val="1"/>
          <w:numId w:val="8"/>
        </w:numPr>
      </w:pPr>
      <w:r w:rsidRPr="00947584">
        <w:t>Steep slopes drain water quickly—plants on those hillsides often get drier soil.</w:t>
      </w:r>
    </w:p>
    <w:p w14:paraId="1D214E6A" w14:textId="77777777" w:rsidR="00947584" w:rsidRPr="00947584" w:rsidRDefault="00947584" w:rsidP="00947584">
      <w:pPr>
        <w:numPr>
          <w:ilvl w:val="1"/>
          <w:numId w:val="8"/>
        </w:numPr>
      </w:pPr>
      <w:r w:rsidRPr="00947584">
        <w:t>Flat areas hold more moisture, so they tend to support denser, lusher growth.</w:t>
      </w:r>
    </w:p>
    <w:p w14:paraId="21C9E89D" w14:textId="77777777" w:rsidR="00947584" w:rsidRPr="00947584" w:rsidRDefault="00947584" w:rsidP="00947584">
      <w:pPr>
        <w:numPr>
          <w:ilvl w:val="0"/>
          <w:numId w:val="8"/>
        </w:numPr>
      </w:pPr>
      <w:r w:rsidRPr="00947584">
        <w:rPr>
          <w:b/>
          <w:bCs/>
        </w:rPr>
        <w:t>Sunlight &amp; temperature</w:t>
      </w:r>
    </w:p>
    <w:p w14:paraId="59ED9A0A" w14:textId="77777777" w:rsidR="00947584" w:rsidRPr="00947584" w:rsidRDefault="00947584" w:rsidP="00947584">
      <w:pPr>
        <w:numPr>
          <w:ilvl w:val="1"/>
          <w:numId w:val="8"/>
        </w:numPr>
      </w:pPr>
      <w:r w:rsidRPr="00947584">
        <w:t>South</w:t>
      </w:r>
      <w:r w:rsidRPr="00947584">
        <w:rPr>
          <w:rFonts w:ascii="Cambria Math" w:hAnsi="Cambria Math" w:cs="Cambria Math"/>
        </w:rPr>
        <w:t>‐</w:t>
      </w:r>
      <w:r w:rsidRPr="00947584">
        <w:t>facing slopes (in the Northern Hemisphere) get more direct sun and can be hotter/drier.</w:t>
      </w:r>
    </w:p>
    <w:p w14:paraId="0B3B44A8" w14:textId="77777777" w:rsidR="00947584" w:rsidRPr="00947584" w:rsidRDefault="00947584" w:rsidP="00947584">
      <w:pPr>
        <w:numPr>
          <w:ilvl w:val="1"/>
          <w:numId w:val="8"/>
        </w:numPr>
      </w:pPr>
      <w:r w:rsidRPr="00947584">
        <w:t>North</w:t>
      </w:r>
      <w:r w:rsidRPr="00947584">
        <w:rPr>
          <w:rFonts w:ascii="Cambria Math" w:hAnsi="Cambria Math" w:cs="Cambria Math"/>
        </w:rPr>
        <w:t>‐</w:t>
      </w:r>
      <w:r w:rsidRPr="00947584">
        <w:t>facing slopes stay cooler and moister, so biomass varies.</w:t>
      </w:r>
    </w:p>
    <w:p w14:paraId="7BC59E65" w14:textId="77777777" w:rsidR="00947584" w:rsidRPr="00947584" w:rsidRDefault="00947584" w:rsidP="00947584">
      <w:pPr>
        <w:numPr>
          <w:ilvl w:val="0"/>
          <w:numId w:val="8"/>
        </w:numPr>
      </w:pPr>
      <w:r w:rsidRPr="00947584">
        <w:rPr>
          <w:b/>
          <w:bCs/>
        </w:rPr>
        <w:t>Erosion &amp; nutrient cycling</w:t>
      </w:r>
    </w:p>
    <w:p w14:paraId="675A7FD3" w14:textId="77777777" w:rsidR="00947584" w:rsidRPr="00947584" w:rsidRDefault="00947584" w:rsidP="00947584">
      <w:pPr>
        <w:numPr>
          <w:ilvl w:val="1"/>
          <w:numId w:val="8"/>
        </w:numPr>
      </w:pPr>
      <w:r w:rsidRPr="00947584">
        <w:t>On steep ground, topsoil washes downhill, affecting how much nutrients stay in place.</w:t>
      </w:r>
    </w:p>
    <w:p w14:paraId="15E6BAAA" w14:textId="77777777" w:rsidR="00947584" w:rsidRPr="00947584" w:rsidRDefault="00947584" w:rsidP="00947584">
      <w:r w:rsidRPr="00947584">
        <w:t xml:space="preserve">By loading the DEM and computing a </w:t>
      </w:r>
      <w:r w:rsidRPr="00947584">
        <w:rPr>
          <w:b/>
          <w:bCs/>
        </w:rPr>
        <w:t>slope map</w:t>
      </w:r>
      <w:r w:rsidRPr="00947584">
        <w:t xml:space="preserve"> (the steepness in degrees at each pixel), you add a predictor that captures all those effects. When you train your model (Random Forest, etc.), it will learn, for example:</w:t>
      </w:r>
    </w:p>
    <w:p w14:paraId="4F93CCA5" w14:textId="77777777" w:rsidR="00947584" w:rsidRPr="00947584" w:rsidRDefault="00947584" w:rsidP="00947584">
      <w:r w:rsidRPr="00947584">
        <w:t>“Where slope &gt; 30° my observed above</w:t>
      </w:r>
      <w:r w:rsidRPr="00947584">
        <w:rPr>
          <w:rFonts w:ascii="Cambria Math" w:hAnsi="Cambria Math" w:cs="Cambria Math"/>
        </w:rPr>
        <w:t>‐</w:t>
      </w:r>
      <w:r w:rsidRPr="00947584">
        <w:t>ground biomass is on average 20 Mg/ha,</w:t>
      </w:r>
      <w:r w:rsidRPr="00947584">
        <w:br/>
        <w:t>but where slope &lt; 5</w:t>
      </w:r>
      <w:r w:rsidRPr="00947584">
        <w:rPr>
          <w:rFonts w:ascii="Aptos" w:hAnsi="Aptos" w:cs="Aptos"/>
        </w:rPr>
        <w:t>°</w:t>
      </w:r>
      <w:r w:rsidRPr="00947584">
        <w:t xml:space="preserve"> it</w:t>
      </w:r>
      <w:r w:rsidRPr="00947584">
        <w:rPr>
          <w:rFonts w:ascii="Aptos" w:hAnsi="Aptos" w:cs="Aptos"/>
        </w:rPr>
        <w:t>’</w:t>
      </w:r>
      <w:r w:rsidRPr="00947584">
        <w:t>s 60 Mg/ha.</w:t>
      </w:r>
      <w:r w:rsidRPr="00947584">
        <w:rPr>
          <w:rFonts w:ascii="Aptos" w:hAnsi="Aptos" w:cs="Aptos"/>
        </w:rPr>
        <w:t>”</w:t>
      </w:r>
    </w:p>
    <w:p w14:paraId="741EBB51" w14:textId="77777777" w:rsidR="00947584" w:rsidRPr="00947584" w:rsidRDefault="00947584" w:rsidP="00947584">
      <w:r w:rsidRPr="00947584">
        <w:t>In short:</w:t>
      </w:r>
    </w:p>
    <w:p w14:paraId="5A050969" w14:textId="77777777" w:rsidR="00947584" w:rsidRPr="00947584" w:rsidRDefault="00947584" w:rsidP="00947584">
      <w:pPr>
        <w:numPr>
          <w:ilvl w:val="0"/>
          <w:numId w:val="9"/>
        </w:numPr>
      </w:pPr>
      <w:r w:rsidRPr="00947584">
        <w:rPr>
          <w:b/>
          <w:bCs/>
        </w:rPr>
        <w:t>DEM → slope (and you could derive aspect too)</w:t>
      </w:r>
    </w:p>
    <w:p w14:paraId="0E46EC12" w14:textId="77777777" w:rsidR="00947584" w:rsidRPr="00947584" w:rsidRDefault="00947584" w:rsidP="00947584">
      <w:pPr>
        <w:numPr>
          <w:ilvl w:val="0"/>
          <w:numId w:val="9"/>
        </w:numPr>
      </w:pPr>
      <w:r w:rsidRPr="00947584">
        <w:rPr>
          <w:b/>
          <w:bCs/>
        </w:rPr>
        <w:t>Slope</w:t>
      </w:r>
      <w:r w:rsidRPr="00947584">
        <w:t xml:space="preserve"> helps your model explain why two areas with the same “greenness” (NDVI/EVI) can still have different biomass because of their terrain.</w:t>
      </w:r>
    </w:p>
    <w:p w14:paraId="31976FB8" w14:textId="6876A11D" w:rsidR="00947584" w:rsidRDefault="00947584">
      <w:r>
        <w:t>///////////////////////////////////////////////////////////////////////////</w:t>
      </w:r>
    </w:p>
    <w:p w14:paraId="771F9CEE" w14:textId="77777777" w:rsidR="00947584" w:rsidRDefault="00947584"/>
    <w:p w14:paraId="732DD632" w14:textId="77777777" w:rsidR="00947584" w:rsidRDefault="00947584"/>
    <w:sectPr w:rsidR="0094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527D9"/>
    <w:multiLevelType w:val="multilevel"/>
    <w:tmpl w:val="E78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D6407"/>
    <w:multiLevelType w:val="multilevel"/>
    <w:tmpl w:val="5972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824AE"/>
    <w:multiLevelType w:val="multilevel"/>
    <w:tmpl w:val="C4C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65C69"/>
    <w:multiLevelType w:val="multilevel"/>
    <w:tmpl w:val="E3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37CED"/>
    <w:multiLevelType w:val="multilevel"/>
    <w:tmpl w:val="C86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04A8F"/>
    <w:multiLevelType w:val="multilevel"/>
    <w:tmpl w:val="28466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C0ADA"/>
    <w:multiLevelType w:val="multilevel"/>
    <w:tmpl w:val="E508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05DB3"/>
    <w:multiLevelType w:val="multilevel"/>
    <w:tmpl w:val="D4D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322E7"/>
    <w:multiLevelType w:val="multilevel"/>
    <w:tmpl w:val="8676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745349">
    <w:abstractNumId w:val="7"/>
  </w:num>
  <w:num w:numId="2" w16cid:durableId="1470585742">
    <w:abstractNumId w:val="3"/>
  </w:num>
  <w:num w:numId="3" w16cid:durableId="1181167282">
    <w:abstractNumId w:val="1"/>
  </w:num>
  <w:num w:numId="4" w16cid:durableId="246424676">
    <w:abstractNumId w:val="2"/>
  </w:num>
  <w:num w:numId="5" w16cid:durableId="1793550538">
    <w:abstractNumId w:val="6"/>
  </w:num>
  <w:num w:numId="6" w16cid:durableId="1367176593">
    <w:abstractNumId w:val="4"/>
  </w:num>
  <w:num w:numId="7" w16cid:durableId="1011614269">
    <w:abstractNumId w:val="0"/>
  </w:num>
  <w:num w:numId="8" w16cid:durableId="184825866">
    <w:abstractNumId w:val="5"/>
  </w:num>
  <w:num w:numId="9" w16cid:durableId="1188762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46"/>
    <w:rsid w:val="00722E4A"/>
    <w:rsid w:val="00947584"/>
    <w:rsid w:val="00FE1346"/>
    <w:rsid w:val="00FE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29D7"/>
  <w15:chartTrackingRefBased/>
  <w15:docId w15:val="{EFD67FB3-070E-460C-99B5-E6B9B43B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346"/>
    <w:rPr>
      <w:rFonts w:eastAsiaTheme="majorEastAsia" w:cstheme="majorBidi"/>
      <w:color w:val="272727" w:themeColor="text1" w:themeTint="D8"/>
    </w:rPr>
  </w:style>
  <w:style w:type="paragraph" w:styleId="Title">
    <w:name w:val="Title"/>
    <w:basedOn w:val="Normal"/>
    <w:next w:val="Normal"/>
    <w:link w:val="TitleChar"/>
    <w:uiPriority w:val="10"/>
    <w:qFormat/>
    <w:rsid w:val="00FE1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346"/>
    <w:pPr>
      <w:spacing w:before="160"/>
      <w:jc w:val="center"/>
    </w:pPr>
    <w:rPr>
      <w:i/>
      <w:iCs/>
      <w:color w:val="404040" w:themeColor="text1" w:themeTint="BF"/>
    </w:rPr>
  </w:style>
  <w:style w:type="character" w:customStyle="1" w:styleId="QuoteChar">
    <w:name w:val="Quote Char"/>
    <w:basedOn w:val="DefaultParagraphFont"/>
    <w:link w:val="Quote"/>
    <w:uiPriority w:val="29"/>
    <w:rsid w:val="00FE1346"/>
    <w:rPr>
      <w:i/>
      <w:iCs/>
      <w:color w:val="404040" w:themeColor="text1" w:themeTint="BF"/>
    </w:rPr>
  </w:style>
  <w:style w:type="paragraph" w:styleId="ListParagraph">
    <w:name w:val="List Paragraph"/>
    <w:basedOn w:val="Normal"/>
    <w:uiPriority w:val="34"/>
    <w:qFormat/>
    <w:rsid w:val="00FE1346"/>
    <w:pPr>
      <w:ind w:left="720"/>
      <w:contextualSpacing/>
    </w:pPr>
  </w:style>
  <w:style w:type="character" w:styleId="IntenseEmphasis">
    <w:name w:val="Intense Emphasis"/>
    <w:basedOn w:val="DefaultParagraphFont"/>
    <w:uiPriority w:val="21"/>
    <w:qFormat/>
    <w:rsid w:val="00FE1346"/>
    <w:rPr>
      <w:i/>
      <w:iCs/>
      <w:color w:val="0F4761" w:themeColor="accent1" w:themeShade="BF"/>
    </w:rPr>
  </w:style>
  <w:style w:type="paragraph" w:styleId="IntenseQuote">
    <w:name w:val="Intense Quote"/>
    <w:basedOn w:val="Normal"/>
    <w:next w:val="Normal"/>
    <w:link w:val="IntenseQuoteChar"/>
    <w:uiPriority w:val="30"/>
    <w:qFormat/>
    <w:rsid w:val="00FE1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346"/>
    <w:rPr>
      <w:i/>
      <w:iCs/>
      <w:color w:val="0F4761" w:themeColor="accent1" w:themeShade="BF"/>
    </w:rPr>
  </w:style>
  <w:style w:type="character" w:styleId="IntenseReference">
    <w:name w:val="Intense Reference"/>
    <w:basedOn w:val="DefaultParagraphFont"/>
    <w:uiPriority w:val="32"/>
    <w:qFormat/>
    <w:rsid w:val="00FE1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4353">
      <w:bodyDiv w:val="1"/>
      <w:marLeft w:val="0"/>
      <w:marRight w:val="0"/>
      <w:marTop w:val="0"/>
      <w:marBottom w:val="0"/>
      <w:divBdr>
        <w:top w:val="none" w:sz="0" w:space="0" w:color="auto"/>
        <w:left w:val="none" w:sz="0" w:space="0" w:color="auto"/>
        <w:bottom w:val="none" w:sz="0" w:space="0" w:color="auto"/>
        <w:right w:val="none" w:sz="0" w:space="0" w:color="auto"/>
      </w:divBdr>
      <w:divsChild>
        <w:div w:id="216742853">
          <w:marLeft w:val="0"/>
          <w:marRight w:val="0"/>
          <w:marTop w:val="0"/>
          <w:marBottom w:val="0"/>
          <w:divBdr>
            <w:top w:val="none" w:sz="0" w:space="0" w:color="auto"/>
            <w:left w:val="none" w:sz="0" w:space="0" w:color="auto"/>
            <w:bottom w:val="none" w:sz="0" w:space="0" w:color="auto"/>
            <w:right w:val="none" w:sz="0" w:space="0" w:color="auto"/>
          </w:divBdr>
          <w:divsChild>
            <w:div w:id="919483850">
              <w:marLeft w:val="0"/>
              <w:marRight w:val="0"/>
              <w:marTop w:val="0"/>
              <w:marBottom w:val="0"/>
              <w:divBdr>
                <w:top w:val="none" w:sz="0" w:space="0" w:color="auto"/>
                <w:left w:val="none" w:sz="0" w:space="0" w:color="auto"/>
                <w:bottom w:val="none" w:sz="0" w:space="0" w:color="auto"/>
                <w:right w:val="none" w:sz="0" w:space="0" w:color="auto"/>
              </w:divBdr>
              <w:divsChild>
                <w:div w:id="388038687">
                  <w:marLeft w:val="0"/>
                  <w:marRight w:val="0"/>
                  <w:marTop w:val="0"/>
                  <w:marBottom w:val="0"/>
                  <w:divBdr>
                    <w:top w:val="none" w:sz="0" w:space="0" w:color="auto"/>
                    <w:left w:val="none" w:sz="0" w:space="0" w:color="auto"/>
                    <w:bottom w:val="none" w:sz="0" w:space="0" w:color="auto"/>
                    <w:right w:val="none" w:sz="0" w:space="0" w:color="auto"/>
                  </w:divBdr>
                  <w:divsChild>
                    <w:div w:id="1742370451">
                      <w:marLeft w:val="0"/>
                      <w:marRight w:val="0"/>
                      <w:marTop w:val="0"/>
                      <w:marBottom w:val="0"/>
                      <w:divBdr>
                        <w:top w:val="none" w:sz="0" w:space="0" w:color="auto"/>
                        <w:left w:val="none" w:sz="0" w:space="0" w:color="auto"/>
                        <w:bottom w:val="none" w:sz="0" w:space="0" w:color="auto"/>
                        <w:right w:val="none" w:sz="0" w:space="0" w:color="auto"/>
                      </w:divBdr>
                      <w:divsChild>
                        <w:div w:id="2084140994">
                          <w:marLeft w:val="0"/>
                          <w:marRight w:val="0"/>
                          <w:marTop w:val="0"/>
                          <w:marBottom w:val="0"/>
                          <w:divBdr>
                            <w:top w:val="none" w:sz="0" w:space="0" w:color="auto"/>
                            <w:left w:val="none" w:sz="0" w:space="0" w:color="auto"/>
                            <w:bottom w:val="none" w:sz="0" w:space="0" w:color="auto"/>
                            <w:right w:val="none" w:sz="0" w:space="0" w:color="auto"/>
                          </w:divBdr>
                          <w:divsChild>
                            <w:div w:id="1985311261">
                              <w:marLeft w:val="0"/>
                              <w:marRight w:val="0"/>
                              <w:marTop w:val="0"/>
                              <w:marBottom w:val="0"/>
                              <w:divBdr>
                                <w:top w:val="none" w:sz="0" w:space="0" w:color="auto"/>
                                <w:left w:val="none" w:sz="0" w:space="0" w:color="auto"/>
                                <w:bottom w:val="none" w:sz="0" w:space="0" w:color="auto"/>
                                <w:right w:val="none" w:sz="0" w:space="0" w:color="auto"/>
                              </w:divBdr>
                              <w:divsChild>
                                <w:div w:id="691371700">
                                  <w:marLeft w:val="0"/>
                                  <w:marRight w:val="0"/>
                                  <w:marTop w:val="0"/>
                                  <w:marBottom w:val="0"/>
                                  <w:divBdr>
                                    <w:top w:val="none" w:sz="0" w:space="0" w:color="auto"/>
                                    <w:left w:val="none" w:sz="0" w:space="0" w:color="auto"/>
                                    <w:bottom w:val="none" w:sz="0" w:space="0" w:color="auto"/>
                                    <w:right w:val="none" w:sz="0" w:space="0" w:color="auto"/>
                                  </w:divBdr>
                                  <w:divsChild>
                                    <w:div w:id="431897872">
                                      <w:marLeft w:val="0"/>
                                      <w:marRight w:val="0"/>
                                      <w:marTop w:val="0"/>
                                      <w:marBottom w:val="0"/>
                                      <w:divBdr>
                                        <w:top w:val="none" w:sz="0" w:space="0" w:color="auto"/>
                                        <w:left w:val="none" w:sz="0" w:space="0" w:color="auto"/>
                                        <w:bottom w:val="none" w:sz="0" w:space="0" w:color="auto"/>
                                        <w:right w:val="none" w:sz="0" w:space="0" w:color="auto"/>
                                      </w:divBdr>
                                      <w:divsChild>
                                        <w:div w:id="58885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530911">
      <w:bodyDiv w:val="1"/>
      <w:marLeft w:val="0"/>
      <w:marRight w:val="0"/>
      <w:marTop w:val="0"/>
      <w:marBottom w:val="0"/>
      <w:divBdr>
        <w:top w:val="none" w:sz="0" w:space="0" w:color="auto"/>
        <w:left w:val="none" w:sz="0" w:space="0" w:color="auto"/>
        <w:bottom w:val="none" w:sz="0" w:space="0" w:color="auto"/>
        <w:right w:val="none" w:sz="0" w:space="0" w:color="auto"/>
      </w:divBdr>
    </w:div>
    <w:div w:id="398216282">
      <w:bodyDiv w:val="1"/>
      <w:marLeft w:val="0"/>
      <w:marRight w:val="0"/>
      <w:marTop w:val="0"/>
      <w:marBottom w:val="0"/>
      <w:divBdr>
        <w:top w:val="none" w:sz="0" w:space="0" w:color="auto"/>
        <w:left w:val="none" w:sz="0" w:space="0" w:color="auto"/>
        <w:bottom w:val="none" w:sz="0" w:space="0" w:color="auto"/>
        <w:right w:val="none" w:sz="0" w:space="0" w:color="auto"/>
      </w:divBdr>
    </w:div>
    <w:div w:id="607351322">
      <w:bodyDiv w:val="1"/>
      <w:marLeft w:val="0"/>
      <w:marRight w:val="0"/>
      <w:marTop w:val="0"/>
      <w:marBottom w:val="0"/>
      <w:divBdr>
        <w:top w:val="none" w:sz="0" w:space="0" w:color="auto"/>
        <w:left w:val="none" w:sz="0" w:space="0" w:color="auto"/>
        <w:bottom w:val="none" w:sz="0" w:space="0" w:color="auto"/>
        <w:right w:val="none" w:sz="0" w:space="0" w:color="auto"/>
      </w:divBdr>
    </w:div>
    <w:div w:id="680594414">
      <w:bodyDiv w:val="1"/>
      <w:marLeft w:val="0"/>
      <w:marRight w:val="0"/>
      <w:marTop w:val="0"/>
      <w:marBottom w:val="0"/>
      <w:divBdr>
        <w:top w:val="none" w:sz="0" w:space="0" w:color="auto"/>
        <w:left w:val="none" w:sz="0" w:space="0" w:color="auto"/>
        <w:bottom w:val="none" w:sz="0" w:space="0" w:color="auto"/>
        <w:right w:val="none" w:sz="0" w:space="0" w:color="auto"/>
      </w:divBdr>
    </w:div>
    <w:div w:id="715547055">
      <w:bodyDiv w:val="1"/>
      <w:marLeft w:val="0"/>
      <w:marRight w:val="0"/>
      <w:marTop w:val="0"/>
      <w:marBottom w:val="0"/>
      <w:divBdr>
        <w:top w:val="none" w:sz="0" w:space="0" w:color="auto"/>
        <w:left w:val="none" w:sz="0" w:space="0" w:color="auto"/>
        <w:bottom w:val="none" w:sz="0" w:space="0" w:color="auto"/>
        <w:right w:val="none" w:sz="0" w:space="0" w:color="auto"/>
      </w:divBdr>
    </w:div>
    <w:div w:id="1385904736">
      <w:bodyDiv w:val="1"/>
      <w:marLeft w:val="0"/>
      <w:marRight w:val="0"/>
      <w:marTop w:val="0"/>
      <w:marBottom w:val="0"/>
      <w:divBdr>
        <w:top w:val="none" w:sz="0" w:space="0" w:color="auto"/>
        <w:left w:val="none" w:sz="0" w:space="0" w:color="auto"/>
        <w:bottom w:val="none" w:sz="0" w:space="0" w:color="auto"/>
        <w:right w:val="none" w:sz="0" w:space="0" w:color="auto"/>
      </w:divBdr>
    </w:div>
    <w:div w:id="1945263700">
      <w:bodyDiv w:val="1"/>
      <w:marLeft w:val="0"/>
      <w:marRight w:val="0"/>
      <w:marTop w:val="0"/>
      <w:marBottom w:val="0"/>
      <w:divBdr>
        <w:top w:val="none" w:sz="0" w:space="0" w:color="auto"/>
        <w:left w:val="none" w:sz="0" w:space="0" w:color="auto"/>
        <w:bottom w:val="none" w:sz="0" w:space="0" w:color="auto"/>
        <w:right w:val="none" w:sz="0" w:space="0" w:color="auto"/>
      </w:divBdr>
      <w:divsChild>
        <w:div w:id="420873740">
          <w:marLeft w:val="0"/>
          <w:marRight w:val="0"/>
          <w:marTop w:val="0"/>
          <w:marBottom w:val="0"/>
          <w:divBdr>
            <w:top w:val="none" w:sz="0" w:space="0" w:color="auto"/>
            <w:left w:val="none" w:sz="0" w:space="0" w:color="auto"/>
            <w:bottom w:val="none" w:sz="0" w:space="0" w:color="auto"/>
            <w:right w:val="none" w:sz="0" w:space="0" w:color="auto"/>
          </w:divBdr>
          <w:divsChild>
            <w:div w:id="1817405428">
              <w:marLeft w:val="0"/>
              <w:marRight w:val="0"/>
              <w:marTop w:val="0"/>
              <w:marBottom w:val="0"/>
              <w:divBdr>
                <w:top w:val="none" w:sz="0" w:space="0" w:color="auto"/>
                <w:left w:val="none" w:sz="0" w:space="0" w:color="auto"/>
                <w:bottom w:val="none" w:sz="0" w:space="0" w:color="auto"/>
                <w:right w:val="none" w:sz="0" w:space="0" w:color="auto"/>
              </w:divBdr>
              <w:divsChild>
                <w:div w:id="700277713">
                  <w:marLeft w:val="0"/>
                  <w:marRight w:val="0"/>
                  <w:marTop w:val="0"/>
                  <w:marBottom w:val="0"/>
                  <w:divBdr>
                    <w:top w:val="none" w:sz="0" w:space="0" w:color="auto"/>
                    <w:left w:val="none" w:sz="0" w:space="0" w:color="auto"/>
                    <w:bottom w:val="none" w:sz="0" w:space="0" w:color="auto"/>
                    <w:right w:val="none" w:sz="0" w:space="0" w:color="auto"/>
                  </w:divBdr>
                  <w:divsChild>
                    <w:div w:id="1523588169">
                      <w:marLeft w:val="0"/>
                      <w:marRight w:val="0"/>
                      <w:marTop w:val="0"/>
                      <w:marBottom w:val="0"/>
                      <w:divBdr>
                        <w:top w:val="none" w:sz="0" w:space="0" w:color="auto"/>
                        <w:left w:val="none" w:sz="0" w:space="0" w:color="auto"/>
                        <w:bottom w:val="none" w:sz="0" w:space="0" w:color="auto"/>
                        <w:right w:val="none" w:sz="0" w:space="0" w:color="auto"/>
                      </w:divBdr>
                      <w:divsChild>
                        <w:div w:id="709646104">
                          <w:marLeft w:val="0"/>
                          <w:marRight w:val="0"/>
                          <w:marTop w:val="0"/>
                          <w:marBottom w:val="0"/>
                          <w:divBdr>
                            <w:top w:val="none" w:sz="0" w:space="0" w:color="auto"/>
                            <w:left w:val="none" w:sz="0" w:space="0" w:color="auto"/>
                            <w:bottom w:val="none" w:sz="0" w:space="0" w:color="auto"/>
                            <w:right w:val="none" w:sz="0" w:space="0" w:color="auto"/>
                          </w:divBdr>
                          <w:divsChild>
                            <w:div w:id="956255689">
                              <w:marLeft w:val="0"/>
                              <w:marRight w:val="0"/>
                              <w:marTop w:val="0"/>
                              <w:marBottom w:val="0"/>
                              <w:divBdr>
                                <w:top w:val="none" w:sz="0" w:space="0" w:color="auto"/>
                                <w:left w:val="none" w:sz="0" w:space="0" w:color="auto"/>
                                <w:bottom w:val="none" w:sz="0" w:space="0" w:color="auto"/>
                                <w:right w:val="none" w:sz="0" w:space="0" w:color="auto"/>
                              </w:divBdr>
                              <w:divsChild>
                                <w:div w:id="122429363">
                                  <w:marLeft w:val="0"/>
                                  <w:marRight w:val="0"/>
                                  <w:marTop w:val="0"/>
                                  <w:marBottom w:val="0"/>
                                  <w:divBdr>
                                    <w:top w:val="none" w:sz="0" w:space="0" w:color="auto"/>
                                    <w:left w:val="none" w:sz="0" w:space="0" w:color="auto"/>
                                    <w:bottom w:val="none" w:sz="0" w:space="0" w:color="auto"/>
                                    <w:right w:val="none" w:sz="0" w:space="0" w:color="auto"/>
                                  </w:divBdr>
                                  <w:divsChild>
                                    <w:div w:id="246157260">
                                      <w:marLeft w:val="0"/>
                                      <w:marRight w:val="0"/>
                                      <w:marTop w:val="0"/>
                                      <w:marBottom w:val="0"/>
                                      <w:divBdr>
                                        <w:top w:val="none" w:sz="0" w:space="0" w:color="auto"/>
                                        <w:left w:val="none" w:sz="0" w:space="0" w:color="auto"/>
                                        <w:bottom w:val="none" w:sz="0" w:space="0" w:color="auto"/>
                                        <w:right w:val="none" w:sz="0" w:space="0" w:color="auto"/>
                                      </w:divBdr>
                                      <w:divsChild>
                                        <w:div w:id="242568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Reza,Masfiq</dc:creator>
  <cp:keywords/>
  <dc:description/>
  <cp:lastModifiedBy>Reza,Masfiq</cp:lastModifiedBy>
  <cp:revision>2</cp:revision>
  <dcterms:created xsi:type="dcterms:W3CDTF">2025-06-17T21:18:00Z</dcterms:created>
  <dcterms:modified xsi:type="dcterms:W3CDTF">2025-06-17T21:31:00Z</dcterms:modified>
</cp:coreProperties>
</file>