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第二周作业：币安数据层模块、订单簿与 pandas</w:t>
      </w:r>
    </w:p>
    <w:p>
      <w:pPr>
        <w:spacing w:after="12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把课前作业的脚本重构成可复用的数据层模块，同时学习订单簿和 pandas 常用操作。只用公开接口，不需要 API Key；卡住的地方记下来，课上解决。</w:t>
      </w:r>
    </w:p>
    <w:p>
      <w:pPr>
        <w:keepNext/>
        <w:pBdr>
          <w:bottom w:val="single" w:color="BFCFDF" w:sz="4" w:space="4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一、数据层模块（主任务）</w:t>
      </w:r>
    </w:p>
    <w:p>
      <w:pPr>
        <w:spacing w:after="12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在 src/cls/data/ 下实现以下功能，研究代码只能通过这些函数取数：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统一请求函数：检查状态码；429 按 Retry-After 等待后重试；418 立即停止；按已用权重主动限速。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get_universe(as_of)：返回当天可交易的 USDT 永续合约，并保留上市日期。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get_klines(symbols, interval, start, end)：支持多币、自动分页、剔除未收盘 K 线，返回长表。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get_funding_rates(symbols, start, end)：返回资金费率长表。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本地存储与增量更新：Parquet 按数据类型、周期、币种存放；update() 只补缺失部分，重复执行结果不变。</w:t>
      </w:r>
    </w:p>
    <w:p>
      <w:pPr>
        <w:spacing w:after="12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要求：时间统一用 UTC，区间左闭右开；至少 3 个不联网的 pytest 测试；requirements 锁定版本，文件英文命名，按功能小步提交。</w:t>
      </w:r>
    </w:p>
    <w:p>
      <w:pPr>
        <w:keepNext/>
        <w:pBdr>
          <w:bottom w:val="single" w:color="BFCFDF" w:sz="4" w:space="4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二、订单簿</w:t>
      </w:r>
    </w:p>
    <w:p>
      <w:pPr>
        <w:spacing w:after="12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阅读 U 本位合约文档中的 GET /fapi/v1/depth，然后完成：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拉取 BTCUSDT 和一个小市值币的 20 档订单簿，整理成 side、price、qty 三列的 DataFrame；记下 limit 取 5、20、100、1000 时各自的权重。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计算买一卖一价差（绝对值和基点）、中间价，以及前 5 档买卖量失衡：（买量 − 卖量）÷（买量 + 卖量）。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模拟市价买入 10 万 USDT，逐档吃单，算出平均成交价和相对中间价的滑点；对比两个币，结论写进 notes.md。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思考：REST 只给当前快照，研究历史订单簿的数据从哪里来？提示：WebSocket 深度流和 data.binance.vision。</w:t>
      </w:r>
    </w:p>
    <w:p>
      <w:pPr>
        <w:keepNext/>
        <w:pBdr>
          <w:bottom w:val="single" w:color="BFCFDF" w:sz="4" w:space="4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三、pandas 练习</w:t>
      </w:r>
    </w:p>
    <w:p>
      <w:pPr>
        <w:spacing w:after="12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用自己数据层拉取 10 个币近 30 天的 1h K 线和资金费率，全部用向量化写法，不逐行循环：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长宽转换：用 pivot 得到收盘价宽表（行为时间、列为币种），再用 stack 转回长表，确认与原数据一致。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时序计算：每个币的 24 小时收益率（pct_change）和 7 日滚动波动率（rolling）。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截面计算：每个小时对所有币的 24 小时收益排名（rank(axis=1)），找出前 3 名和后 3 名。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重采样：把 1 小时 K 线合成 4 小时和日线，开盘、最高、最低、收盘、成交量分别用正确的聚合方式。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时间对齐：用 merge_asof 把资金费率并到 K 线上，确保每根 K 线只用到已经结算的费率。</w:t>
      </w:r>
    </w:p>
    <w:p>
      <w:pPr>
        <w:keepNext/>
        <w:pBdr>
          <w:bottom w:val="single" w:color="BFCFDF" w:sz="4" w:space="4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4E79"/>
          <w:sz w:val="27"/>
          <w:szCs w:val="27"/>
        </w:rPr>
        <w:t xml:space="preserve">四、提交</w:t>
      </w:r>
    </w:p>
    <w:p>
      <w:pPr>
        <w:spacing w:after="120" w:line="295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下节课前推送到 crypto-ls 仓库：src/cls/data/、tests/、notebooks/orderbook.ipynb、notebooks/pandas_practice.ipynb；notes.md 补充订单簿结论，并列出至少 3 个想在课上提问的问题。</w:t>
      </w:r>
    </w:p>
    <w:sectPr>
      <w:pgSz w:w="11906" w:h="16838" w:orient="portrait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  <w:rPr>
        <w:rFonts w:ascii="Microsoft YaHei" w:cs="Microsoft YaHei" w:eastAsia="Microsoft YaHei" w:hAnsi="Microsoft YaHei"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Microsoft YaHei" w:cs="Microsoft YaHei" w:eastAsia="Microsoft YaHei" w:hAnsi="Microsoft YaHei"/>
        <w:color w:val="2222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Microsoft YaHei" w:cs="Microsoft YaHei" w:eastAsia="Microsoft YaHei" w:hAnsi="Microsoft YaHei"/>
        <w:color w:val="2222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rFonts w:ascii="Microsoft YaHei" w:cs="Microsoft YaHei" w:eastAsia="Microsoft YaHei" w:hAnsi="Microsoft YaHei"/>
        <w:color w:val="2222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2026-10-11T04:58:06.784Z</dcterms:created>
  <dcterms:modified xsi:type="dcterms:W3CDTF">2026-10-11T04:58:06.784Z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