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D012B" w14:textId="32689693" w:rsidR="002A6493" w:rsidRPr="00D63D6A" w:rsidRDefault="00426060" w:rsidP="008A0F28">
      <w:pPr>
        <w:jc w:val="both"/>
        <w:rPr>
          <w:rFonts w:ascii="Arial" w:hAnsi="Arial" w:cs="Arial"/>
          <w:b/>
          <w:bCs/>
          <w:color w:val="7F7F7F" w:themeColor="text1" w:themeTint="80"/>
          <w:sz w:val="36"/>
          <w:szCs w:val="36"/>
          <w:u w:val="single"/>
        </w:rPr>
      </w:pPr>
      <w:r w:rsidRPr="00D63D6A">
        <w:rPr>
          <w:rFonts w:ascii="Arial" w:hAnsi="Arial" w:cs="Arial"/>
          <w:b/>
          <w:bCs/>
          <w:color w:val="7F7F7F" w:themeColor="text1" w:themeTint="80"/>
          <w:sz w:val="36"/>
          <w:szCs w:val="36"/>
          <w:u w:val="single"/>
        </w:rPr>
        <w:t xml:space="preserve">Investment Analysis Report: </w:t>
      </w:r>
      <w:proofErr w:type="gramStart"/>
      <w:r w:rsidRPr="00D63D6A">
        <w:rPr>
          <w:rFonts w:ascii="Arial" w:hAnsi="Arial" w:cs="Arial"/>
          <w:b/>
          <w:bCs/>
          <w:color w:val="7F7F7F" w:themeColor="text1" w:themeTint="80"/>
          <w:sz w:val="36"/>
          <w:szCs w:val="36"/>
          <w:u w:val="single"/>
        </w:rPr>
        <w:t>Identifying</w:t>
      </w:r>
      <w:proofErr w:type="gramEnd"/>
      <w:r w:rsidRPr="00D63D6A">
        <w:rPr>
          <w:rFonts w:ascii="Arial" w:hAnsi="Arial" w:cs="Arial"/>
          <w:b/>
          <w:bCs/>
          <w:color w:val="7F7F7F" w:themeColor="text1" w:themeTint="80"/>
          <w:sz w:val="36"/>
          <w:szCs w:val="36"/>
          <w:u w:val="single"/>
        </w:rPr>
        <w:t xml:space="preserve"> Undervalued Companies in Key Sectors</w:t>
      </w:r>
    </w:p>
    <w:p w14:paraId="03C19869" w14:textId="5FE6311A" w:rsidR="00426060" w:rsidRPr="008A0F28" w:rsidRDefault="00426060" w:rsidP="008A0F28">
      <w:pPr>
        <w:jc w:val="both"/>
        <w:rPr>
          <w:rFonts w:ascii="Arial" w:hAnsi="Arial" w:cs="Arial"/>
          <w:b/>
          <w:bCs/>
          <w:color w:val="000000"/>
          <w:sz w:val="28"/>
          <w:szCs w:val="28"/>
        </w:rPr>
      </w:pPr>
      <w:r w:rsidRPr="008A0F28">
        <w:rPr>
          <w:rFonts w:ascii="Arial" w:hAnsi="Arial" w:cs="Arial"/>
          <w:b/>
          <w:bCs/>
          <w:color w:val="000000"/>
          <w:sz w:val="28"/>
          <w:szCs w:val="28"/>
        </w:rPr>
        <w:t xml:space="preserve">1.0 </w:t>
      </w:r>
      <w:r w:rsidRPr="00D63D6A">
        <w:rPr>
          <w:rFonts w:ascii="Arial" w:hAnsi="Arial" w:cs="Arial"/>
          <w:b/>
          <w:bCs/>
          <w:color w:val="000000"/>
          <w:sz w:val="28"/>
          <w:szCs w:val="28"/>
          <w:u w:val="single"/>
        </w:rPr>
        <w:t>Introduction</w:t>
      </w:r>
    </w:p>
    <w:p w14:paraId="57AAAEB7" w14:textId="525D6040" w:rsidR="00426060" w:rsidRPr="000969DA" w:rsidRDefault="00426060" w:rsidP="008A0F28">
      <w:pPr>
        <w:jc w:val="both"/>
        <w:rPr>
          <w:rFonts w:ascii="Arial" w:hAnsi="Arial" w:cs="Arial"/>
          <w:color w:val="000000"/>
          <w:sz w:val="22"/>
          <w:szCs w:val="22"/>
        </w:rPr>
      </w:pPr>
      <w:r w:rsidRPr="000969DA">
        <w:rPr>
          <w:rFonts w:ascii="Arial" w:hAnsi="Arial" w:cs="Arial"/>
          <w:color w:val="000000"/>
          <w:sz w:val="22"/>
          <w:szCs w:val="22"/>
        </w:rPr>
        <w:t xml:space="preserve">The stock market presents a vast landscape of potential investment opportunities. </w:t>
      </w:r>
      <w:proofErr w:type="gramStart"/>
      <w:r w:rsidRPr="000969DA">
        <w:rPr>
          <w:rFonts w:ascii="Arial" w:hAnsi="Arial" w:cs="Arial"/>
          <w:color w:val="000000"/>
          <w:sz w:val="22"/>
          <w:szCs w:val="22"/>
        </w:rPr>
        <w:t>Identifying</w:t>
      </w:r>
      <w:proofErr w:type="gramEnd"/>
      <w:r w:rsidRPr="000969DA">
        <w:rPr>
          <w:rFonts w:ascii="Arial" w:hAnsi="Arial" w:cs="Arial"/>
          <w:color w:val="000000"/>
          <w:sz w:val="22"/>
          <w:szCs w:val="22"/>
        </w:rPr>
        <w:t xml:space="preserve"> companies with the potential for significant growth at a reasonable price can be challenging. This report analyzes four key sectors – Technology (Electronics and Components Industry), Financial (Banks - Regional), Healthcare (Healthcare Plan Industry), and Energy (Oil and Gas E&amp;P Industry) – to uncover companies that may be undervalued by the market.</w:t>
      </w:r>
      <w:r w:rsidR="00F3537F" w:rsidRPr="000969DA">
        <w:rPr>
          <w:rFonts w:ascii="Arial" w:hAnsi="Arial" w:cs="Arial"/>
          <w:color w:val="000000"/>
          <w:sz w:val="22"/>
          <w:szCs w:val="22"/>
        </w:rPr>
        <w:t xml:space="preserve"> </w:t>
      </w:r>
      <w:r w:rsidR="00F3537F" w:rsidRPr="000969DA">
        <w:rPr>
          <w:rFonts w:ascii="Arial" w:hAnsi="Arial" w:cs="Arial"/>
          <w:color w:val="000000"/>
          <w:sz w:val="22"/>
          <w:szCs w:val="22"/>
        </w:rPr>
        <w:t xml:space="preserve">Undervalued companies present an opportunity for investors to </w:t>
      </w:r>
      <w:proofErr w:type="gramStart"/>
      <w:r w:rsidR="00F3537F" w:rsidRPr="000969DA">
        <w:rPr>
          <w:rFonts w:ascii="Arial" w:hAnsi="Arial" w:cs="Arial"/>
          <w:color w:val="000000"/>
          <w:sz w:val="22"/>
          <w:szCs w:val="22"/>
        </w:rPr>
        <w:t>acquire</w:t>
      </w:r>
      <w:proofErr w:type="gramEnd"/>
      <w:r w:rsidR="00F3537F" w:rsidRPr="000969DA">
        <w:rPr>
          <w:rFonts w:ascii="Arial" w:hAnsi="Arial" w:cs="Arial"/>
          <w:color w:val="000000"/>
          <w:sz w:val="22"/>
          <w:szCs w:val="22"/>
        </w:rPr>
        <w:t xml:space="preserve"> shares at a price below their intrinsic value, potentially leading to significant capital gains in the future.</w:t>
      </w:r>
      <w:r w:rsidRPr="000969DA">
        <w:rPr>
          <w:rFonts w:ascii="Arial" w:hAnsi="Arial" w:cs="Arial"/>
          <w:color w:val="000000"/>
          <w:sz w:val="22"/>
          <w:szCs w:val="22"/>
        </w:rPr>
        <w:t xml:space="preserve"> </w:t>
      </w:r>
      <w:r w:rsidRPr="000969DA">
        <w:rPr>
          <w:rFonts w:ascii="Arial" w:hAnsi="Arial" w:cs="Arial"/>
          <w:color w:val="000000"/>
          <w:sz w:val="22"/>
          <w:szCs w:val="22"/>
        </w:rPr>
        <w:t>L</w:t>
      </w:r>
      <w:r w:rsidRPr="000969DA">
        <w:rPr>
          <w:rFonts w:ascii="Arial" w:hAnsi="Arial" w:cs="Arial"/>
          <w:color w:val="000000"/>
          <w:sz w:val="22"/>
          <w:szCs w:val="22"/>
        </w:rPr>
        <w:t xml:space="preserve">arge corporations with market caps ranging between $10 billion and $200 billion </w:t>
      </w:r>
      <w:r w:rsidRPr="000969DA">
        <w:rPr>
          <w:rFonts w:ascii="Arial" w:hAnsi="Arial" w:cs="Arial"/>
          <w:color w:val="000000"/>
          <w:sz w:val="22"/>
          <w:szCs w:val="22"/>
        </w:rPr>
        <w:t xml:space="preserve">were chosen </w:t>
      </w:r>
      <w:r w:rsidRPr="000969DA">
        <w:rPr>
          <w:rFonts w:ascii="Arial" w:hAnsi="Arial" w:cs="Arial"/>
          <w:color w:val="000000"/>
          <w:sz w:val="22"/>
          <w:szCs w:val="22"/>
        </w:rPr>
        <w:t xml:space="preserve">to ensure </w:t>
      </w:r>
      <w:r w:rsidRPr="000969DA">
        <w:rPr>
          <w:rFonts w:ascii="Arial" w:hAnsi="Arial" w:cs="Arial"/>
          <w:color w:val="000000"/>
          <w:sz w:val="22"/>
          <w:szCs w:val="22"/>
        </w:rPr>
        <w:t>the</w:t>
      </w:r>
      <w:r w:rsidRPr="000969DA">
        <w:rPr>
          <w:rFonts w:ascii="Arial" w:hAnsi="Arial" w:cs="Arial"/>
          <w:color w:val="000000"/>
          <w:sz w:val="22"/>
          <w:szCs w:val="22"/>
        </w:rPr>
        <w:t xml:space="preserve"> analysis targets significant players with substantial market presence. This range also provides a balance between growth potential and financial stability, making it ideal for assessing undervaluation.</w:t>
      </w:r>
      <w:r w:rsidRPr="000969DA">
        <w:rPr>
          <w:rFonts w:ascii="Arial" w:hAnsi="Arial" w:cs="Arial"/>
          <w:color w:val="000000"/>
          <w:sz w:val="22"/>
          <w:szCs w:val="22"/>
        </w:rPr>
        <w:t xml:space="preserve"> </w:t>
      </w:r>
      <w:r w:rsidRPr="000969DA">
        <w:rPr>
          <w:rFonts w:ascii="Arial" w:hAnsi="Arial" w:cs="Arial"/>
          <w:color w:val="000000"/>
          <w:sz w:val="22"/>
          <w:szCs w:val="22"/>
        </w:rPr>
        <w:t>The analysis employs financial ratios, historical data, industry trends, and projected growth rates to assess each company's potential.</w:t>
      </w:r>
    </w:p>
    <w:p w14:paraId="3AAFAFD6" w14:textId="77777777" w:rsidR="00426060" w:rsidRPr="008A0F28" w:rsidRDefault="00426060" w:rsidP="008A0F28">
      <w:pPr>
        <w:jc w:val="both"/>
        <w:rPr>
          <w:rFonts w:ascii="Arial" w:hAnsi="Arial" w:cs="Arial"/>
          <w:color w:val="000000"/>
        </w:rPr>
      </w:pPr>
    </w:p>
    <w:p w14:paraId="7ED8C788" w14:textId="7BF3B39F" w:rsidR="00426060" w:rsidRPr="008A0F28" w:rsidRDefault="00426060" w:rsidP="008A0F28">
      <w:pPr>
        <w:jc w:val="both"/>
        <w:rPr>
          <w:rFonts w:ascii="Arial" w:hAnsi="Arial" w:cs="Arial"/>
          <w:b/>
          <w:bCs/>
          <w:color w:val="000000"/>
          <w:sz w:val="28"/>
          <w:szCs w:val="28"/>
        </w:rPr>
      </w:pPr>
      <w:r w:rsidRPr="008A0F28">
        <w:rPr>
          <w:rFonts w:ascii="Arial" w:hAnsi="Arial" w:cs="Arial"/>
          <w:b/>
          <w:bCs/>
          <w:color w:val="000000"/>
          <w:sz w:val="28"/>
          <w:szCs w:val="28"/>
        </w:rPr>
        <w:t xml:space="preserve">2.0 </w:t>
      </w:r>
      <w:r w:rsidRPr="00D63D6A">
        <w:rPr>
          <w:rFonts w:ascii="Arial" w:hAnsi="Arial" w:cs="Arial"/>
          <w:b/>
          <w:bCs/>
          <w:color w:val="000000"/>
          <w:sz w:val="28"/>
          <w:szCs w:val="28"/>
          <w:u w:val="single"/>
        </w:rPr>
        <w:t>Methodology</w:t>
      </w:r>
    </w:p>
    <w:p w14:paraId="5CDC9421" w14:textId="777FC701" w:rsidR="003B7B43" w:rsidRPr="00D63D6A" w:rsidRDefault="003B7B43" w:rsidP="008A0F28">
      <w:pPr>
        <w:jc w:val="both"/>
        <w:rPr>
          <w:rFonts w:ascii="Arial" w:hAnsi="Arial" w:cs="Arial"/>
          <w:b/>
          <w:bCs/>
          <w:color w:val="000000"/>
          <w:sz w:val="22"/>
          <w:szCs w:val="22"/>
        </w:rPr>
      </w:pPr>
      <w:r w:rsidRPr="00D63D6A">
        <w:rPr>
          <w:rFonts w:ascii="Arial" w:hAnsi="Arial" w:cs="Arial"/>
          <w:b/>
          <w:bCs/>
          <w:color w:val="000000"/>
          <w:sz w:val="22"/>
          <w:szCs w:val="22"/>
        </w:rPr>
        <w:t xml:space="preserve">2.1 </w:t>
      </w:r>
      <w:r w:rsidRPr="00D63D6A">
        <w:rPr>
          <w:rFonts w:ascii="Arial" w:hAnsi="Arial" w:cs="Arial"/>
          <w:b/>
          <w:bCs/>
          <w:color w:val="000000"/>
          <w:sz w:val="22"/>
          <w:szCs w:val="22"/>
        </w:rPr>
        <w:t xml:space="preserve">Data Collection </w:t>
      </w:r>
    </w:p>
    <w:p w14:paraId="40CD0477" w14:textId="152BA808" w:rsidR="003B7B43" w:rsidRPr="008A0F28" w:rsidRDefault="003B7B43" w:rsidP="008A0F28">
      <w:pPr>
        <w:jc w:val="both"/>
        <w:rPr>
          <w:rFonts w:ascii="Arial" w:hAnsi="Arial" w:cs="Arial"/>
          <w:color w:val="000000"/>
        </w:rPr>
      </w:pPr>
      <w:r w:rsidRPr="000969DA">
        <w:rPr>
          <w:rFonts w:ascii="Arial" w:hAnsi="Arial" w:cs="Arial"/>
          <w:color w:val="000000"/>
          <w:sz w:val="22"/>
          <w:szCs w:val="22"/>
        </w:rPr>
        <w:t xml:space="preserve">Reliable financial sources like </w:t>
      </w:r>
      <w:hyperlink r:id="rId5" w:history="1">
        <w:proofErr w:type="spellStart"/>
        <w:r w:rsidRPr="000969DA">
          <w:rPr>
            <w:rStyle w:val="Hyperlink"/>
            <w:rFonts w:ascii="Arial" w:hAnsi="Arial" w:cs="Arial"/>
            <w:sz w:val="22"/>
            <w:szCs w:val="22"/>
          </w:rPr>
          <w:t>Finviz</w:t>
        </w:r>
        <w:proofErr w:type="spellEnd"/>
      </w:hyperlink>
      <w:r w:rsidRPr="000969DA">
        <w:rPr>
          <w:rFonts w:ascii="Arial" w:hAnsi="Arial" w:cs="Arial"/>
          <w:color w:val="000000"/>
          <w:sz w:val="22"/>
          <w:szCs w:val="22"/>
        </w:rPr>
        <w:t xml:space="preserve">, </w:t>
      </w:r>
      <w:hyperlink r:id="rId6" w:history="1">
        <w:r w:rsidRPr="000969DA">
          <w:rPr>
            <w:rStyle w:val="Hyperlink"/>
            <w:rFonts w:ascii="Arial" w:hAnsi="Arial" w:cs="Arial"/>
            <w:sz w:val="22"/>
            <w:szCs w:val="22"/>
          </w:rPr>
          <w:t>Macrotrends</w:t>
        </w:r>
      </w:hyperlink>
      <w:r w:rsidRPr="000969DA">
        <w:rPr>
          <w:rFonts w:ascii="Arial" w:hAnsi="Arial" w:cs="Arial"/>
          <w:color w:val="000000"/>
          <w:sz w:val="22"/>
          <w:szCs w:val="22"/>
        </w:rPr>
        <w:t xml:space="preserve">, </w:t>
      </w:r>
      <w:hyperlink r:id="rId7" w:history="1">
        <w:r w:rsidRPr="000969DA">
          <w:rPr>
            <w:rStyle w:val="Hyperlink"/>
            <w:rFonts w:ascii="Arial" w:hAnsi="Arial" w:cs="Arial"/>
            <w:sz w:val="22"/>
            <w:szCs w:val="22"/>
          </w:rPr>
          <w:t>Yahoo Finance</w:t>
        </w:r>
      </w:hyperlink>
      <w:r w:rsidRPr="000969DA">
        <w:rPr>
          <w:rFonts w:ascii="Arial" w:hAnsi="Arial" w:cs="Arial"/>
          <w:color w:val="000000"/>
          <w:sz w:val="22"/>
          <w:szCs w:val="22"/>
        </w:rPr>
        <w:t xml:space="preserve"> and </w:t>
      </w:r>
      <w:hyperlink r:id="rId8" w:history="1">
        <w:r w:rsidRPr="000969DA">
          <w:rPr>
            <w:rStyle w:val="Hyperlink"/>
            <w:rFonts w:ascii="Arial" w:hAnsi="Arial" w:cs="Arial"/>
            <w:sz w:val="22"/>
            <w:szCs w:val="22"/>
          </w:rPr>
          <w:t>Market Watch</w:t>
        </w:r>
      </w:hyperlink>
      <w:r w:rsidRPr="000969DA">
        <w:rPr>
          <w:rFonts w:ascii="Arial" w:hAnsi="Arial" w:cs="Arial"/>
          <w:color w:val="000000"/>
          <w:sz w:val="22"/>
          <w:szCs w:val="22"/>
        </w:rPr>
        <w:t xml:space="preserve"> </w:t>
      </w:r>
      <w:r w:rsidRPr="000969DA">
        <w:rPr>
          <w:rFonts w:ascii="Arial" w:hAnsi="Arial" w:cs="Arial"/>
          <w:color w:val="000000"/>
          <w:sz w:val="22"/>
          <w:szCs w:val="22"/>
        </w:rPr>
        <w:t>provided the data used in this analysis</w:t>
      </w:r>
      <w:r w:rsidRPr="008A0F28">
        <w:rPr>
          <w:rFonts w:ascii="Arial" w:hAnsi="Arial" w:cs="Arial"/>
          <w:color w:val="000000"/>
        </w:rPr>
        <w:t>.</w:t>
      </w:r>
    </w:p>
    <w:p w14:paraId="6E7A1B7C" w14:textId="0133C2D0" w:rsidR="003B7B43" w:rsidRPr="00D63D6A" w:rsidRDefault="003B7B43" w:rsidP="008A0F28">
      <w:pPr>
        <w:jc w:val="both"/>
        <w:rPr>
          <w:rFonts w:ascii="Arial" w:hAnsi="Arial" w:cs="Arial"/>
          <w:b/>
          <w:bCs/>
          <w:i/>
          <w:iCs/>
          <w:color w:val="000000"/>
          <w:sz w:val="22"/>
          <w:szCs w:val="22"/>
        </w:rPr>
      </w:pPr>
      <w:r w:rsidRPr="000969DA">
        <w:rPr>
          <w:rFonts w:ascii="Arial" w:hAnsi="Arial" w:cs="Arial"/>
          <w:b/>
          <w:bCs/>
          <w:color w:val="000000"/>
          <w:sz w:val="22"/>
          <w:szCs w:val="22"/>
        </w:rPr>
        <w:t>2.1.</w:t>
      </w:r>
      <w:r w:rsidR="0096322C">
        <w:rPr>
          <w:rFonts w:ascii="Arial" w:hAnsi="Arial" w:cs="Arial"/>
          <w:b/>
          <w:bCs/>
          <w:color w:val="000000"/>
          <w:sz w:val="22"/>
          <w:szCs w:val="22"/>
        </w:rPr>
        <w:t>1</w:t>
      </w:r>
      <w:r w:rsidRPr="000969DA">
        <w:rPr>
          <w:rFonts w:ascii="Arial" w:hAnsi="Arial" w:cs="Arial"/>
          <w:b/>
          <w:bCs/>
          <w:color w:val="000000"/>
          <w:sz w:val="22"/>
          <w:szCs w:val="22"/>
        </w:rPr>
        <w:t xml:space="preserve"> </w:t>
      </w:r>
      <w:r w:rsidRPr="000969DA">
        <w:rPr>
          <w:rFonts w:ascii="Arial" w:hAnsi="Arial" w:cs="Arial"/>
          <w:b/>
          <w:bCs/>
          <w:color w:val="000000"/>
          <w:sz w:val="22"/>
          <w:szCs w:val="22"/>
        </w:rPr>
        <w:t>Company Selection</w:t>
      </w:r>
    </w:p>
    <w:p w14:paraId="60A478C7" w14:textId="120A24D1" w:rsidR="003B7B43" w:rsidRDefault="00F3537F" w:rsidP="008A0F28">
      <w:pPr>
        <w:jc w:val="both"/>
        <w:rPr>
          <w:rFonts w:ascii="Arial" w:hAnsi="Arial" w:cs="Arial"/>
          <w:color w:val="000000"/>
          <w:sz w:val="22"/>
          <w:szCs w:val="22"/>
        </w:rPr>
      </w:pPr>
      <w:r w:rsidRPr="000969DA">
        <w:rPr>
          <w:rFonts w:ascii="Arial" w:hAnsi="Arial" w:cs="Arial"/>
          <w:color w:val="000000"/>
          <w:sz w:val="22"/>
          <w:szCs w:val="22"/>
        </w:rPr>
        <w:t xml:space="preserve">Each sector underwent in-depth analysis of a chosen company based on its financial performance, industry position, and potential for future growth. Valuation analysis using metrics like the Price-to-Earnings (P/E) ratio compared the chosen companies to industry averages. Historical data on factors like revenue, profitability, and research and development (R&amp;D) expenditure were examined for each company. Industry trends and expert forecasts were considered to project the future growth potential. This comprehensive analysis, including data organization in a comprehensive </w:t>
      </w:r>
      <w:hyperlink r:id="rId9" w:history="1">
        <w:r w:rsidRPr="000969DA">
          <w:rPr>
            <w:rStyle w:val="Hyperlink"/>
            <w:rFonts w:ascii="Arial" w:hAnsi="Arial" w:cs="Arial"/>
            <w:sz w:val="22"/>
            <w:szCs w:val="22"/>
          </w:rPr>
          <w:t>spreadsheet</w:t>
        </w:r>
      </w:hyperlink>
      <w:r w:rsidRPr="000969DA">
        <w:rPr>
          <w:rFonts w:ascii="Arial" w:hAnsi="Arial" w:cs="Arial"/>
          <w:color w:val="000000"/>
          <w:sz w:val="22"/>
          <w:szCs w:val="22"/>
        </w:rPr>
        <w:t xml:space="preserve"> </w:t>
      </w:r>
      <w:r w:rsidRPr="000969DA">
        <w:rPr>
          <w:rFonts w:ascii="Arial" w:hAnsi="Arial" w:cs="Arial"/>
          <w:color w:val="000000"/>
          <w:sz w:val="22"/>
          <w:szCs w:val="22"/>
        </w:rPr>
        <w:t xml:space="preserve">to facilitate analysis and comparison, aimed to identify companies with characteristics suggesting potential undervaluation. The </w:t>
      </w:r>
      <w:proofErr w:type="gramStart"/>
      <w:r w:rsidRPr="000969DA">
        <w:rPr>
          <w:rFonts w:ascii="Arial" w:hAnsi="Arial" w:cs="Arial"/>
          <w:color w:val="000000"/>
          <w:sz w:val="22"/>
          <w:szCs w:val="22"/>
        </w:rPr>
        <w:t>objective</w:t>
      </w:r>
      <w:proofErr w:type="gramEnd"/>
      <w:r w:rsidRPr="000969DA">
        <w:rPr>
          <w:rFonts w:ascii="Arial" w:hAnsi="Arial" w:cs="Arial"/>
          <w:color w:val="000000"/>
          <w:sz w:val="22"/>
          <w:szCs w:val="22"/>
        </w:rPr>
        <w:t xml:space="preserve"> was to identify potentially undervalued companies within each sector by examining key financial metrics and projecting future values.</w:t>
      </w:r>
    </w:p>
    <w:p w14:paraId="352475F3" w14:textId="77777777" w:rsidR="00405DF1" w:rsidRPr="000969DA" w:rsidRDefault="00405DF1" w:rsidP="008A0F28">
      <w:pPr>
        <w:jc w:val="both"/>
        <w:rPr>
          <w:rFonts w:ascii="Arial" w:hAnsi="Arial" w:cs="Arial"/>
          <w:color w:val="000000"/>
          <w:sz w:val="22"/>
          <w:szCs w:val="22"/>
        </w:rPr>
      </w:pPr>
    </w:p>
    <w:p w14:paraId="0E736C1F" w14:textId="39E3E77C" w:rsidR="002A6493" w:rsidRPr="000969DA" w:rsidRDefault="00F3537F" w:rsidP="008A0F28">
      <w:pPr>
        <w:jc w:val="both"/>
        <w:rPr>
          <w:rFonts w:ascii="Arial" w:hAnsi="Arial" w:cs="Arial"/>
          <w:b/>
          <w:bCs/>
          <w:color w:val="000000"/>
          <w:sz w:val="22"/>
          <w:szCs w:val="22"/>
        </w:rPr>
      </w:pPr>
      <w:r w:rsidRPr="000969DA">
        <w:rPr>
          <w:rFonts w:ascii="Arial" w:hAnsi="Arial" w:cs="Arial"/>
          <w:b/>
          <w:bCs/>
          <w:color w:val="000000"/>
          <w:sz w:val="22"/>
          <w:szCs w:val="22"/>
        </w:rPr>
        <w:lastRenderedPageBreak/>
        <w:t>2.2 Metrics Evaluation</w:t>
      </w:r>
    </w:p>
    <w:p w14:paraId="37A3B797" w14:textId="74D071FA" w:rsidR="00F3537F" w:rsidRPr="000969DA" w:rsidRDefault="00F3537F" w:rsidP="008A0F28">
      <w:pPr>
        <w:jc w:val="both"/>
        <w:rPr>
          <w:rFonts w:ascii="Arial" w:hAnsi="Arial" w:cs="Arial"/>
          <w:color w:val="000000"/>
          <w:sz w:val="22"/>
          <w:szCs w:val="22"/>
        </w:rPr>
      </w:pPr>
      <w:r w:rsidRPr="000969DA">
        <w:rPr>
          <w:rFonts w:ascii="Arial" w:hAnsi="Arial" w:cs="Arial"/>
          <w:color w:val="000000"/>
          <w:sz w:val="22"/>
          <w:szCs w:val="22"/>
        </w:rPr>
        <w:t xml:space="preserve">The metrics used in </w:t>
      </w:r>
      <w:r w:rsidR="00BA4CDE" w:rsidRPr="000969DA">
        <w:rPr>
          <w:rFonts w:ascii="Arial" w:hAnsi="Arial" w:cs="Arial"/>
          <w:color w:val="000000"/>
          <w:sz w:val="22"/>
          <w:szCs w:val="22"/>
        </w:rPr>
        <w:t xml:space="preserve">the </w:t>
      </w:r>
      <w:r w:rsidRPr="000969DA">
        <w:rPr>
          <w:rFonts w:ascii="Arial" w:hAnsi="Arial" w:cs="Arial"/>
          <w:color w:val="000000"/>
          <w:sz w:val="22"/>
          <w:szCs w:val="22"/>
        </w:rPr>
        <w:t>evaluation included:</w:t>
      </w:r>
    </w:p>
    <w:p w14:paraId="1EC6E2D1" w14:textId="61682B4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Price-to-Earnings (P/E) Ratio:</w:t>
      </w:r>
      <w:r w:rsidRPr="000969DA">
        <w:rPr>
          <w:rFonts w:ascii="Arial" w:hAnsi="Arial" w:cs="Arial"/>
          <w:color w:val="000000"/>
          <w:sz w:val="22"/>
          <w:szCs w:val="22"/>
        </w:rPr>
        <w:t xml:space="preserve"> This ratio measures a company's current share price relative to its per-share earnings. A lower P/E ratio compared to the industry average can </w:t>
      </w:r>
      <w:proofErr w:type="gramStart"/>
      <w:r w:rsidRPr="000969DA">
        <w:rPr>
          <w:rFonts w:ascii="Arial" w:hAnsi="Arial" w:cs="Arial"/>
          <w:color w:val="000000"/>
          <w:sz w:val="22"/>
          <w:szCs w:val="22"/>
        </w:rPr>
        <w:t>indicate</w:t>
      </w:r>
      <w:proofErr w:type="gramEnd"/>
      <w:r w:rsidRPr="000969DA">
        <w:rPr>
          <w:rFonts w:ascii="Arial" w:hAnsi="Arial" w:cs="Arial"/>
          <w:color w:val="000000"/>
          <w:sz w:val="22"/>
          <w:szCs w:val="22"/>
        </w:rPr>
        <w:t xml:space="preserve"> that a company is undervalued.</w:t>
      </w:r>
    </w:p>
    <w:p w14:paraId="4EF81FED" w14:textId="29DE0C4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Return on Equity (ROE):</w:t>
      </w:r>
      <w:r w:rsidRPr="000969DA">
        <w:rPr>
          <w:rFonts w:ascii="Arial" w:hAnsi="Arial" w:cs="Arial"/>
          <w:color w:val="000000"/>
          <w:sz w:val="22"/>
          <w:szCs w:val="22"/>
        </w:rPr>
        <w:t xml:space="preserve"> ROE </w:t>
      </w:r>
      <w:proofErr w:type="gramStart"/>
      <w:r w:rsidRPr="000969DA">
        <w:rPr>
          <w:rFonts w:ascii="Arial" w:hAnsi="Arial" w:cs="Arial"/>
          <w:color w:val="000000"/>
          <w:sz w:val="22"/>
          <w:szCs w:val="22"/>
        </w:rPr>
        <w:t>indicates</w:t>
      </w:r>
      <w:proofErr w:type="gramEnd"/>
      <w:r w:rsidRPr="000969DA">
        <w:rPr>
          <w:rFonts w:ascii="Arial" w:hAnsi="Arial" w:cs="Arial"/>
          <w:color w:val="000000"/>
          <w:sz w:val="22"/>
          <w:szCs w:val="22"/>
        </w:rPr>
        <w:t xml:space="preserve"> a company's ability to generate profits from its shareholders' equity. A higher ROE compared to the industry average signifies efficient management and profitability.</w:t>
      </w:r>
    </w:p>
    <w:p w14:paraId="1FEDA330" w14:textId="7777777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Gross Profit TTM (Trailing Twelve Months):</w:t>
      </w:r>
      <w:r w:rsidRPr="000969DA">
        <w:rPr>
          <w:rFonts w:ascii="Arial" w:hAnsi="Arial" w:cs="Arial"/>
          <w:color w:val="000000"/>
          <w:sz w:val="22"/>
          <w:szCs w:val="22"/>
        </w:rPr>
        <w:t xml:space="preserve"> This metric provides the total gross profit over the past 12 months, reflecting the company's ability to generate revenue.</w:t>
      </w:r>
    </w:p>
    <w:p w14:paraId="7A9A24FA" w14:textId="7777777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Gross Margin:</w:t>
      </w:r>
      <w:r w:rsidRPr="000969DA">
        <w:rPr>
          <w:rFonts w:ascii="Arial" w:hAnsi="Arial" w:cs="Arial"/>
          <w:color w:val="000000"/>
          <w:sz w:val="22"/>
          <w:szCs w:val="22"/>
        </w:rPr>
        <w:t xml:space="preserve"> This is the percentage of revenue that exceeds the cost of goods sold, </w:t>
      </w:r>
      <w:proofErr w:type="gramStart"/>
      <w:r w:rsidRPr="000969DA">
        <w:rPr>
          <w:rFonts w:ascii="Arial" w:hAnsi="Arial" w:cs="Arial"/>
          <w:color w:val="000000"/>
          <w:sz w:val="22"/>
          <w:szCs w:val="22"/>
        </w:rPr>
        <w:t>indicating</w:t>
      </w:r>
      <w:proofErr w:type="gramEnd"/>
      <w:r w:rsidRPr="000969DA">
        <w:rPr>
          <w:rFonts w:ascii="Arial" w:hAnsi="Arial" w:cs="Arial"/>
          <w:color w:val="000000"/>
          <w:sz w:val="22"/>
          <w:szCs w:val="22"/>
        </w:rPr>
        <w:t xml:space="preserve"> how efficiently a company is producing its goods.</w:t>
      </w:r>
    </w:p>
    <w:p w14:paraId="06898209" w14:textId="7777777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Gross Profit Growth (GPG):</w:t>
      </w:r>
      <w:r w:rsidRPr="000969DA">
        <w:rPr>
          <w:rFonts w:ascii="Arial" w:hAnsi="Arial" w:cs="Arial"/>
          <w:color w:val="000000"/>
          <w:sz w:val="22"/>
          <w:szCs w:val="22"/>
        </w:rPr>
        <w:t xml:space="preserve"> The growth rate of gross profit over specific periods. A higher GPG indicates robust operational performance.</w:t>
      </w:r>
    </w:p>
    <w:p w14:paraId="644E4672" w14:textId="77777777" w:rsidR="00F3537F" w:rsidRPr="000969DA" w:rsidRDefault="00F3537F" w:rsidP="008A0F28">
      <w:pPr>
        <w:pStyle w:val="ListParagraph"/>
        <w:numPr>
          <w:ilvl w:val="0"/>
          <w:numId w:val="5"/>
        </w:numPr>
        <w:jc w:val="both"/>
        <w:rPr>
          <w:rFonts w:ascii="Arial" w:hAnsi="Arial" w:cs="Arial"/>
          <w:color w:val="000000"/>
          <w:sz w:val="22"/>
          <w:szCs w:val="22"/>
        </w:rPr>
      </w:pPr>
      <w:r w:rsidRPr="000969DA">
        <w:rPr>
          <w:rFonts w:ascii="Arial" w:hAnsi="Arial" w:cs="Arial"/>
          <w:b/>
          <w:bCs/>
          <w:color w:val="000000"/>
          <w:sz w:val="22"/>
          <w:szCs w:val="22"/>
        </w:rPr>
        <w:t>Compound Annual Growth Rate (CAGR):</w:t>
      </w:r>
      <w:r w:rsidRPr="000969DA">
        <w:rPr>
          <w:rFonts w:ascii="Arial" w:hAnsi="Arial" w:cs="Arial"/>
          <w:color w:val="000000"/>
          <w:sz w:val="22"/>
          <w:szCs w:val="22"/>
        </w:rPr>
        <w:t xml:space="preserve"> This metric is used to calculate the projected profit and value over a four-year period. It measures the mean annual growth rate of an investment over a specified period longer than one year.</w:t>
      </w:r>
    </w:p>
    <w:p w14:paraId="25B415EA" w14:textId="0CDAB98D" w:rsidR="002A6493" w:rsidRPr="000969DA" w:rsidRDefault="00F3537F" w:rsidP="008A0F28">
      <w:pPr>
        <w:jc w:val="both"/>
        <w:rPr>
          <w:rFonts w:ascii="Arial" w:hAnsi="Arial" w:cs="Arial"/>
          <w:color w:val="000000"/>
          <w:sz w:val="22"/>
          <w:szCs w:val="22"/>
        </w:rPr>
      </w:pPr>
      <w:r w:rsidRPr="000969DA">
        <w:rPr>
          <w:rFonts w:ascii="Arial" w:hAnsi="Arial" w:cs="Arial"/>
          <w:color w:val="000000"/>
          <w:sz w:val="22"/>
          <w:szCs w:val="22"/>
        </w:rPr>
        <w:t xml:space="preserve">To get industry values for P/E, ROE, and Gross Margin, we used data from Full Ratio websites: </w:t>
      </w:r>
      <w:hyperlink r:id="rId10" w:history="1">
        <w:r w:rsidRPr="000969DA">
          <w:rPr>
            <w:rStyle w:val="Hyperlink"/>
            <w:rFonts w:ascii="Arial" w:hAnsi="Arial" w:cs="Arial"/>
            <w:sz w:val="22"/>
            <w:szCs w:val="22"/>
          </w:rPr>
          <w:t>ROE by Industry</w:t>
        </w:r>
      </w:hyperlink>
      <w:r w:rsidRPr="000969DA">
        <w:rPr>
          <w:rFonts w:ascii="Arial" w:hAnsi="Arial" w:cs="Arial"/>
          <w:color w:val="000000"/>
          <w:sz w:val="22"/>
          <w:szCs w:val="22"/>
        </w:rPr>
        <w:t xml:space="preserve">, </w:t>
      </w:r>
      <w:hyperlink r:id="rId11" w:history="1">
        <w:r w:rsidRPr="000969DA">
          <w:rPr>
            <w:rStyle w:val="Hyperlink"/>
            <w:rFonts w:ascii="Arial" w:hAnsi="Arial" w:cs="Arial"/>
            <w:sz w:val="22"/>
            <w:szCs w:val="22"/>
          </w:rPr>
          <w:t>P/E Ratio by Industry</w:t>
        </w:r>
      </w:hyperlink>
      <w:r w:rsidRPr="000969DA">
        <w:rPr>
          <w:rFonts w:ascii="Arial" w:hAnsi="Arial" w:cs="Arial"/>
          <w:color w:val="000000"/>
          <w:sz w:val="22"/>
          <w:szCs w:val="22"/>
        </w:rPr>
        <w:t xml:space="preserve">, and </w:t>
      </w:r>
      <w:hyperlink r:id="rId12" w:history="1">
        <w:r w:rsidRPr="000969DA">
          <w:rPr>
            <w:rStyle w:val="Hyperlink"/>
            <w:rFonts w:ascii="Arial" w:hAnsi="Arial" w:cs="Arial"/>
            <w:sz w:val="22"/>
            <w:szCs w:val="22"/>
          </w:rPr>
          <w:t>Profit Margin by Industry</w:t>
        </w:r>
      </w:hyperlink>
      <w:r w:rsidRPr="000969DA">
        <w:rPr>
          <w:rFonts w:ascii="Arial" w:hAnsi="Arial" w:cs="Arial"/>
          <w:color w:val="000000"/>
          <w:sz w:val="22"/>
          <w:szCs w:val="22"/>
        </w:rPr>
        <w:t>.</w:t>
      </w:r>
    </w:p>
    <w:p w14:paraId="4D03C5DF" w14:textId="77777777" w:rsidR="002A6493" w:rsidRPr="000969DA" w:rsidRDefault="002A6493" w:rsidP="008A0F28">
      <w:pPr>
        <w:jc w:val="both"/>
        <w:rPr>
          <w:rFonts w:ascii="Arial" w:hAnsi="Arial" w:cs="Arial"/>
          <w:color w:val="000000"/>
          <w:sz w:val="22"/>
          <w:szCs w:val="22"/>
        </w:rPr>
      </w:pPr>
    </w:p>
    <w:p w14:paraId="3D9B58CD" w14:textId="62B0F05C" w:rsidR="00AC5958" w:rsidRPr="000969DA" w:rsidRDefault="00AC5958" w:rsidP="008A0F28">
      <w:pPr>
        <w:jc w:val="both"/>
        <w:rPr>
          <w:rFonts w:ascii="Arial" w:hAnsi="Arial" w:cs="Arial"/>
          <w:b/>
          <w:bCs/>
          <w:color w:val="000000"/>
          <w:sz w:val="22"/>
          <w:szCs w:val="22"/>
        </w:rPr>
      </w:pPr>
      <w:r w:rsidRPr="000969DA">
        <w:rPr>
          <w:rFonts w:ascii="Arial" w:hAnsi="Arial" w:cs="Arial"/>
          <w:b/>
          <w:bCs/>
          <w:color w:val="000000"/>
          <w:sz w:val="22"/>
          <w:szCs w:val="22"/>
        </w:rPr>
        <w:t xml:space="preserve">2.3 </w:t>
      </w:r>
      <w:r w:rsidRPr="000969DA">
        <w:rPr>
          <w:rFonts w:ascii="Arial" w:hAnsi="Arial" w:cs="Arial"/>
          <w:b/>
          <w:bCs/>
          <w:color w:val="000000"/>
          <w:sz w:val="22"/>
          <w:szCs w:val="22"/>
        </w:rPr>
        <w:t>Calculations and Preprocessing</w:t>
      </w:r>
    </w:p>
    <w:p w14:paraId="32EC9856" w14:textId="68C417A1" w:rsidR="00AC5C71" w:rsidRPr="000969DA" w:rsidRDefault="00AC5958" w:rsidP="008A0F28">
      <w:pPr>
        <w:pStyle w:val="ListParagraph"/>
        <w:numPr>
          <w:ilvl w:val="0"/>
          <w:numId w:val="7"/>
        </w:numPr>
        <w:jc w:val="both"/>
        <w:rPr>
          <w:rFonts w:ascii="Arial" w:hAnsi="Arial" w:cs="Arial"/>
          <w:color w:val="000000"/>
          <w:sz w:val="22"/>
          <w:szCs w:val="22"/>
        </w:rPr>
      </w:pPr>
      <w:r w:rsidRPr="000969DA">
        <w:rPr>
          <w:rFonts w:ascii="Arial" w:hAnsi="Arial" w:cs="Arial"/>
          <w:color w:val="000000"/>
          <w:sz w:val="22"/>
          <w:szCs w:val="22"/>
        </w:rPr>
        <w:t xml:space="preserve">To </w:t>
      </w:r>
      <w:proofErr w:type="gramStart"/>
      <w:r w:rsidRPr="000969DA">
        <w:rPr>
          <w:rFonts w:ascii="Arial" w:hAnsi="Arial" w:cs="Arial"/>
          <w:color w:val="000000"/>
          <w:sz w:val="22"/>
          <w:szCs w:val="22"/>
        </w:rPr>
        <w:t>facilitate</w:t>
      </w:r>
      <w:proofErr w:type="gramEnd"/>
      <w:r w:rsidRPr="000969DA">
        <w:rPr>
          <w:rFonts w:ascii="Arial" w:hAnsi="Arial" w:cs="Arial"/>
          <w:color w:val="000000"/>
          <w:sz w:val="22"/>
          <w:szCs w:val="22"/>
        </w:rPr>
        <w:t xml:space="preserve"> comparison, industry averages were calculated for the selected metrics of the chosen companies.</w:t>
      </w:r>
      <w:r w:rsidRPr="000969DA">
        <w:rPr>
          <w:rFonts w:ascii="Arial" w:hAnsi="Arial" w:cs="Arial"/>
          <w:color w:val="000000"/>
          <w:sz w:val="22"/>
          <w:szCs w:val="22"/>
        </w:rPr>
        <w:t xml:space="preserve"> </w:t>
      </w:r>
      <w:r w:rsidRPr="000969DA">
        <w:rPr>
          <w:rFonts w:ascii="Arial" w:hAnsi="Arial" w:cs="Arial"/>
          <w:color w:val="000000"/>
          <w:sz w:val="22"/>
          <w:szCs w:val="22"/>
        </w:rPr>
        <w:t>The current GPG was determined to understand each company's recent performance trends and future growth potentia</w:t>
      </w:r>
      <w:r w:rsidRPr="000969DA">
        <w:rPr>
          <w:rFonts w:ascii="Arial" w:hAnsi="Arial" w:cs="Arial"/>
          <w:color w:val="000000"/>
          <w:sz w:val="22"/>
          <w:szCs w:val="22"/>
        </w:rPr>
        <w:t>l.</w:t>
      </w:r>
      <w:r w:rsidR="008A0F28" w:rsidRPr="000969DA">
        <w:rPr>
          <w:rFonts w:ascii="Arial" w:hAnsi="Arial" w:cs="Arial"/>
          <w:color w:val="000000"/>
          <w:sz w:val="22"/>
          <w:szCs w:val="22"/>
        </w:rPr>
        <w:t xml:space="preserve"> </w:t>
      </w:r>
      <w:r w:rsidR="00AC5C71" w:rsidRPr="000969DA">
        <w:rPr>
          <w:rFonts w:ascii="Arial" w:hAnsi="Arial" w:cs="Arial"/>
          <w:color w:val="000000"/>
          <w:sz w:val="22"/>
          <w:szCs w:val="22"/>
        </w:rPr>
        <w:t xml:space="preserve">Gross Profit </w:t>
      </w:r>
      <w:r w:rsidR="008A0F28" w:rsidRPr="000969DA">
        <w:rPr>
          <w:rFonts w:ascii="Arial" w:hAnsi="Arial" w:cs="Arial"/>
          <w:color w:val="000000"/>
          <w:sz w:val="22"/>
          <w:szCs w:val="22"/>
        </w:rPr>
        <w:t xml:space="preserve">Growth </w:t>
      </w:r>
      <w:r w:rsidR="00AC5C71" w:rsidRPr="000969DA">
        <w:rPr>
          <w:rFonts w:ascii="Arial" w:hAnsi="Arial" w:cs="Arial"/>
          <w:color w:val="000000"/>
          <w:sz w:val="22"/>
          <w:szCs w:val="22"/>
        </w:rPr>
        <w:t>TTM (Trailing Twelve Months) measures the growth of a company's gross profit over the past year.</w:t>
      </w:r>
      <w:r w:rsidR="008A0F28" w:rsidRPr="000969DA">
        <w:rPr>
          <w:rFonts w:ascii="Arial" w:hAnsi="Arial" w:cs="Arial"/>
          <w:sz w:val="22"/>
          <w:szCs w:val="22"/>
        </w:rPr>
        <w:t xml:space="preserve"> </w:t>
      </w:r>
      <w:r w:rsidR="008A0F28" w:rsidRPr="000969DA">
        <w:rPr>
          <w:rFonts w:ascii="Arial" w:hAnsi="Arial" w:cs="Arial"/>
          <w:color w:val="000000"/>
          <w:sz w:val="22"/>
          <w:szCs w:val="22"/>
        </w:rPr>
        <w:t>TTM (Trailing Twelve Months) looks at the most recent year of available data, not necessarily a calendar year.  We compare TTM to the complete previous year (like 2022) to see how recent performance stacks up against a full year</w:t>
      </w:r>
      <w:r w:rsidR="00AC5C71" w:rsidRPr="000969DA">
        <w:rPr>
          <w:rFonts w:ascii="Arial" w:hAnsi="Arial" w:cs="Arial"/>
          <w:color w:val="000000"/>
          <w:sz w:val="22"/>
          <w:szCs w:val="22"/>
        </w:rPr>
        <w:t>.</w:t>
      </w:r>
    </w:p>
    <w:p w14:paraId="399CFBFA" w14:textId="40FA7072" w:rsidR="00AC5C71" w:rsidRPr="00405DF1" w:rsidRDefault="00AC5C71" w:rsidP="00405DF1">
      <w:pPr>
        <w:jc w:val="center"/>
        <w:rPr>
          <w:rFonts w:ascii="Arial" w:hAnsi="Arial" w:cs="Arial"/>
          <w:b/>
          <w:bCs/>
          <w:color w:val="BF4E14" w:themeColor="accent2" w:themeShade="BF"/>
          <w:sz w:val="22"/>
          <w:szCs w:val="22"/>
        </w:rPr>
      </w:pPr>
      <w:r w:rsidRPr="00405DF1">
        <w:rPr>
          <w:rFonts w:ascii="Arial" w:hAnsi="Arial" w:cs="Arial"/>
          <w:b/>
          <w:bCs/>
          <w:color w:val="BF4E14" w:themeColor="accent2" w:themeShade="BF"/>
          <w:sz w:val="22"/>
          <w:szCs w:val="22"/>
        </w:rPr>
        <w:t xml:space="preserve">Formular for </w:t>
      </w:r>
      <w:r w:rsidRPr="00405DF1">
        <w:rPr>
          <w:rFonts w:ascii="Arial" w:hAnsi="Arial" w:cs="Arial"/>
          <w:b/>
          <w:bCs/>
          <w:color w:val="BF4E14" w:themeColor="accent2" w:themeShade="BF"/>
          <w:sz w:val="22"/>
          <w:szCs w:val="22"/>
        </w:rPr>
        <w:t>Gross Profit</w:t>
      </w:r>
      <w:r w:rsidRPr="00405DF1">
        <w:rPr>
          <w:rFonts w:ascii="Arial" w:hAnsi="Arial" w:cs="Arial"/>
          <w:b/>
          <w:bCs/>
          <w:color w:val="BF4E14" w:themeColor="accent2" w:themeShade="BF"/>
          <w:sz w:val="22"/>
          <w:szCs w:val="22"/>
        </w:rPr>
        <w:t xml:space="preserve"> Growth</w:t>
      </w:r>
      <w:r w:rsidRPr="00405DF1">
        <w:rPr>
          <w:rFonts w:ascii="Arial" w:hAnsi="Arial" w:cs="Arial"/>
          <w:b/>
          <w:bCs/>
          <w:color w:val="BF4E14" w:themeColor="accent2" w:themeShade="BF"/>
          <w:sz w:val="22"/>
          <w:szCs w:val="22"/>
        </w:rPr>
        <w:t xml:space="preserve"> TTM (%) = ((TTM Gross Profit - Gross Profit 2022) / Gross Profit 2022) x 100</w:t>
      </w:r>
    </w:p>
    <w:p w14:paraId="72C6F7C2" w14:textId="567B6C67" w:rsidR="00AC5958" w:rsidRPr="000969DA" w:rsidRDefault="00AC5C71" w:rsidP="008A0F28">
      <w:pPr>
        <w:ind w:left="720"/>
        <w:jc w:val="both"/>
        <w:rPr>
          <w:rFonts w:ascii="Arial" w:hAnsi="Arial" w:cs="Arial"/>
          <w:color w:val="000000"/>
          <w:sz w:val="22"/>
          <w:szCs w:val="22"/>
        </w:rPr>
      </w:pPr>
      <w:r w:rsidRPr="000969DA">
        <w:rPr>
          <w:rFonts w:ascii="Arial" w:hAnsi="Arial" w:cs="Arial"/>
          <w:color w:val="000000"/>
          <w:sz w:val="22"/>
          <w:szCs w:val="22"/>
        </w:rPr>
        <w:t>This metric helps us understand how a company's profitability has changed over the most recent year, providing a more relevant picture than using just the latest gross profit figure.</w:t>
      </w:r>
    </w:p>
    <w:p w14:paraId="653CC0F3" w14:textId="241451BB" w:rsidR="00AC5958" w:rsidRPr="000969DA" w:rsidRDefault="00AC5958" w:rsidP="008A0F28">
      <w:pPr>
        <w:pStyle w:val="ListParagraph"/>
        <w:numPr>
          <w:ilvl w:val="0"/>
          <w:numId w:val="7"/>
        </w:numPr>
        <w:jc w:val="both"/>
        <w:rPr>
          <w:rFonts w:ascii="Arial" w:hAnsi="Arial" w:cs="Arial"/>
          <w:color w:val="000000"/>
          <w:sz w:val="22"/>
          <w:szCs w:val="22"/>
        </w:rPr>
      </w:pPr>
      <w:r w:rsidRPr="000969DA">
        <w:rPr>
          <w:rFonts w:ascii="Arial" w:hAnsi="Arial" w:cs="Arial"/>
          <w:color w:val="000000"/>
          <w:sz w:val="22"/>
          <w:szCs w:val="22"/>
        </w:rPr>
        <w:lastRenderedPageBreak/>
        <w:t xml:space="preserve">Current Compound Annual Growth Rates (CAGR) were </w:t>
      </w:r>
      <w:proofErr w:type="gramStart"/>
      <w:r w:rsidRPr="000969DA">
        <w:rPr>
          <w:rFonts w:ascii="Arial" w:hAnsi="Arial" w:cs="Arial"/>
          <w:color w:val="000000"/>
          <w:sz w:val="22"/>
          <w:szCs w:val="22"/>
        </w:rPr>
        <w:t>determined</w:t>
      </w:r>
      <w:proofErr w:type="gramEnd"/>
      <w:r w:rsidRPr="000969DA">
        <w:rPr>
          <w:rFonts w:ascii="Arial" w:hAnsi="Arial" w:cs="Arial"/>
          <w:color w:val="000000"/>
          <w:sz w:val="22"/>
          <w:szCs w:val="22"/>
        </w:rPr>
        <w:t xml:space="preserve"> for each company to understand their recent performance trends and future growth potential. These calculations </w:t>
      </w:r>
      <w:proofErr w:type="gramStart"/>
      <w:r w:rsidRPr="000969DA">
        <w:rPr>
          <w:rFonts w:ascii="Arial" w:hAnsi="Arial" w:cs="Arial"/>
          <w:color w:val="000000"/>
          <w:sz w:val="22"/>
          <w:szCs w:val="22"/>
        </w:rPr>
        <w:t>established</w:t>
      </w:r>
      <w:proofErr w:type="gramEnd"/>
      <w:r w:rsidRPr="000969DA">
        <w:rPr>
          <w:rFonts w:ascii="Arial" w:hAnsi="Arial" w:cs="Arial"/>
          <w:color w:val="000000"/>
          <w:sz w:val="22"/>
          <w:szCs w:val="22"/>
        </w:rPr>
        <w:t xml:space="preserve"> a baseline for projecting future profits and values.</w:t>
      </w:r>
    </w:p>
    <w:p w14:paraId="761F4821" w14:textId="6AAD797A" w:rsidR="002A6493" w:rsidRPr="00405DF1" w:rsidRDefault="00AC5958" w:rsidP="00405DF1">
      <w:pPr>
        <w:jc w:val="center"/>
        <w:rPr>
          <w:rFonts w:ascii="Arial" w:hAnsi="Arial" w:cs="Arial"/>
          <w:b/>
          <w:bCs/>
          <w:color w:val="BF4E14" w:themeColor="accent2" w:themeShade="BF"/>
          <w:sz w:val="22"/>
          <w:szCs w:val="22"/>
        </w:rPr>
      </w:pPr>
      <w:r w:rsidRPr="00405DF1">
        <w:rPr>
          <w:rFonts w:ascii="Arial" w:hAnsi="Arial" w:cs="Arial"/>
          <w:b/>
          <w:bCs/>
          <w:color w:val="BF4E14" w:themeColor="accent2" w:themeShade="BF"/>
          <w:sz w:val="22"/>
          <w:szCs w:val="22"/>
        </w:rPr>
        <w:t xml:space="preserve">Formula for </w:t>
      </w:r>
      <w:r w:rsidRPr="00405DF1">
        <w:rPr>
          <w:rFonts w:ascii="Arial" w:hAnsi="Arial" w:cs="Arial"/>
          <w:b/>
          <w:bCs/>
          <w:color w:val="BF4E14" w:themeColor="accent2" w:themeShade="BF"/>
          <w:sz w:val="22"/>
          <w:szCs w:val="22"/>
        </w:rPr>
        <w:t xml:space="preserve">CAGR = (Ending Value / Beginning </w:t>
      </w:r>
      <w:proofErr w:type="gramStart"/>
      <w:r w:rsidRPr="00405DF1">
        <w:rPr>
          <w:rFonts w:ascii="Arial" w:hAnsi="Arial" w:cs="Arial"/>
          <w:b/>
          <w:bCs/>
          <w:color w:val="BF4E14" w:themeColor="accent2" w:themeShade="BF"/>
          <w:sz w:val="22"/>
          <w:szCs w:val="22"/>
        </w:rPr>
        <w:t>Value)^</w:t>
      </w:r>
      <w:proofErr w:type="gramEnd"/>
      <w:r w:rsidRPr="00405DF1">
        <w:rPr>
          <w:rFonts w:ascii="Arial" w:hAnsi="Arial" w:cs="Arial"/>
          <w:b/>
          <w:bCs/>
          <w:color w:val="BF4E14" w:themeColor="accent2" w:themeShade="BF"/>
          <w:sz w:val="22"/>
          <w:szCs w:val="22"/>
        </w:rPr>
        <w:t xml:space="preserve">(1/n) </w:t>
      </w:r>
      <w:r w:rsidR="00AC5C71" w:rsidRPr="00405DF1">
        <w:rPr>
          <w:rFonts w:ascii="Arial" w:hAnsi="Arial" w:cs="Arial"/>
          <w:b/>
          <w:bCs/>
          <w:color w:val="BF4E14" w:themeColor="accent2" w:themeShade="BF"/>
          <w:sz w:val="22"/>
          <w:szCs w:val="22"/>
        </w:rPr>
        <w:t>–</w:t>
      </w:r>
      <w:r w:rsidRPr="00405DF1">
        <w:rPr>
          <w:rFonts w:ascii="Arial" w:hAnsi="Arial" w:cs="Arial"/>
          <w:b/>
          <w:bCs/>
          <w:color w:val="BF4E14" w:themeColor="accent2" w:themeShade="BF"/>
          <w:sz w:val="22"/>
          <w:szCs w:val="22"/>
        </w:rPr>
        <w:t xml:space="preserve"> 1</w:t>
      </w:r>
    </w:p>
    <w:p w14:paraId="4218FA60" w14:textId="77777777" w:rsidR="00405DF1" w:rsidRDefault="00AC5C71" w:rsidP="00405DF1">
      <w:pPr>
        <w:pStyle w:val="ListParagraph"/>
        <w:numPr>
          <w:ilvl w:val="0"/>
          <w:numId w:val="11"/>
        </w:numPr>
        <w:spacing w:before="100" w:beforeAutospacing="1" w:after="100" w:afterAutospacing="1" w:line="240" w:lineRule="auto"/>
        <w:jc w:val="both"/>
        <w:rPr>
          <w:rFonts w:ascii="Arial" w:eastAsia="Times New Roman" w:hAnsi="Arial" w:cs="Arial"/>
          <w:kern w:val="0"/>
          <w:sz w:val="22"/>
          <w:szCs w:val="22"/>
          <w14:ligatures w14:val="none"/>
        </w:rPr>
      </w:pPr>
      <w:r w:rsidRPr="00405DF1">
        <w:rPr>
          <w:rFonts w:ascii="Arial" w:eastAsia="Times New Roman" w:hAnsi="Arial" w:cs="Arial"/>
          <w:i/>
          <w:iCs/>
          <w:kern w:val="0"/>
          <w:sz w:val="22"/>
          <w:szCs w:val="22"/>
          <w14:ligatures w14:val="none"/>
        </w:rPr>
        <w:t xml:space="preserve">where n </w:t>
      </w:r>
      <w:proofErr w:type="gramStart"/>
      <w:r w:rsidRPr="00405DF1">
        <w:rPr>
          <w:rFonts w:ascii="Arial" w:eastAsia="Times New Roman" w:hAnsi="Arial" w:cs="Arial"/>
          <w:i/>
          <w:iCs/>
          <w:kern w:val="0"/>
          <w:sz w:val="22"/>
          <w:szCs w:val="22"/>
          <w14:ligatures w14:val="none"/>
        </w:rPr>
        <w:t>represents</w:t>
      </w:r>
      <w:proofErr w:type="gramEnd"/>
      <w:r w:rsidRPr="00405DF1">
        <w:rPr>
          <w:rFonts w:ascii="Arial" w:eastAsia="Times New Roman" w:hAnsi="Arial" w:cs="Arial"/>
          <w:i/>
          <w:iCs/>
          <w:kern w:val="0"/>
          <w:sz w:val="22"/>
          <w:szCs w:val="22"/>
          <w14:ligatures w14:val="none"/>
        </w:rPr>
        <w:t xml:space="preserve"> the number of years</w:t>
      </w:r>
      <w:r w:rsidRPr="00405DF1">
        <w:rPr>
          <w:rFonts w:ascii="Arial" w:eastAsia="Times New Roman" w:hAnsi="Arial" w:cs="Arial"/>
          <w:kern w:val="0"/>
          <w:sz w:val="22"/>
          <w:szCs w:val="22"/>
          <w14:ligatures w14:val="none"/>
        </w:rPr>
        <w:t>.</w:t>
      </w:r>
    </w:p>
    <w:p w14:paraId="7C8DDD9B" w14:textId="77777777" w:rsidR="00405DF1" w:rsidRDefault="00AC5C71" w:rsidP="00405DF1">
      <w:pPr>
        <w:pStyle w:val="ListParagraph"/>
        <w:numPr>
          <w:ilvl w:val="0"/>
          <w:numId w:val="11"/>
        </w:numPr>
        <w:spacing w:before="100" w:beforeAutospacing="1" w:after="100" w:afterAutospacing="1" w:line="240" w:lineRule="auto"/>
        <w:jc w:val="both"/>
        <w:rPr>
          <w:rFonts w:ascii="Arial" w:eastAsia="Times New Roman" w:hAnsi="Arial" w:cs="Arial"/>
          <w:kern w:val="0"/>
          <w:sz w:val="22"/>
          <w:szCs w:val="22"/>
          <w14:ligatures w14:val="none"/>
        </w:rPr>
      </w:pPr>
      <w:r w:rsidRPr="00405DF1">
        <w:rPr>
          <w:rFonts w:ascii="Arial" w:eastAsia="Times New Roman" w:hAnsi="Arial" w:cs="Arial"/>
          <w:b/>
          <w:bCs/>
          <w:i/>
          <w:iCs/>
          <w:kern w:val="0"/>
          <w:sz w:val="22"/>
          <w:szCs w:val="22"/>
          <w14:ligatures w14:val="none"/>
        </w:rPr>
        <w:t>Beginning Value</w:t>
      </w:r>
      <w:r w:rsidRPr="00405DF1">
        <w:rPr>
          <w:rFonts w:ascii="Arial" w:eastAsia="Times New Roman" w:hAnsi="Arial" w:cs="Arial"/>
          <w:kern w:val="0"/>
          <w:sz w:val="22"/>
          <w:szCs w:val="22"/>
          <w14:ligatures w14:val="none"/>
        </w:rPr>
        <w:t>: Gross Profit from the earliest year analyzed (e.g., GP 2020).</w:t>
      </w:r>
    </w:p>
    <w:p w14:paraId="0A517D71" w14:textId="7D8543FB" w:rsidR="00AC5C71" w:rsidRPr="00405DF1" w:rsidRDefault="00AC5C71" w:rsidP="00405DF1">
      <w:pPr>
        <w:pStyle w:val="ListParagraph"/>
        <w:numPr>
          <w:ilvl w:val="0"/>
          <w:numId w:val="11"/>
        </w:numPr>
        <w:spacing w:before="100" w:beforeAutospacing="1" w:after="100" w:afterAutospacing="1" w:line="240" w:lineRule="auto"/>
        <w:jc w:val="both"/>
        <w:rPr>
          <w:rFonts w:ascii="Arial" w:eastAsia="Times New Roman" w:hAnsi="Arial" w:cs="Arial"/>
          <w:kern w:val="0"/>
          <w:sz w:val="22"/>
          <w:szCs w:val="22"/>
          <w14:ligatures w14:val="none"/>
        </w:rPr>
      </w:pPr>
      <w:r w:rsidRPr="00405DF1">
        <w:rPr>
          <w:rFonts w:ascii="Arial" w:eastAsia="Times New Roman" w:hAnsi="Arial" w:cs="Arial"/>
          <w:b/>
          <w:bCs/>
          <w:i/>
          <w:iCs/>
          <w:kern w:val="0"/>
          <w:sz w:val="22"/>
          <w:szCs w:val="22"/>
          <w14:ligatures w14:val="none"/>
        </w:rPr>
        <w:t>Ending Value</w:t>
      </w:r>
      <w:r w:rsidRPr="00405DF1">
        <w:rPr>
          <w:rFonts w:ascii="Arial" w:eastAsia="Times New Roman" w:hAnsi="Arial" w:cs="Arial"/>
          <w:kern w:val="0"/>
          <w:sz w:val="22"/>
          <w:szCs w:val="22"/>
          <w14:ligatures w14:val="none"/>
        </w:rPr>
        <w:t>: Gross Profit from the latest year analyzed (e.g., GP 2023).</w:t>
      </w:r>
    </w:p>
    <w:p w14:paraId="17B2E362" w14:textId="605AC44F" w:rsidR="008A0F28" w:rsidRPr="000969DA" w:rsidRDefault="008A0F28" w:rsidP="008A0F28">
      <w:pPr>
        <w:jc w:val="both"/>
        <w:rPr>
          <w:rFonts w:ascii="Arial" w:hAnsi="Arial" w:cs="Arial"/>
          <w:color w:val="000000"/>
          <w:sz w:val="22"/>
          <w:szCs w:val="22"/>
        </w:rPr>
      </w:pPr>
      <w:r w:rsidRPr="000969DA">
        <w:rPr>
          <w:rFonts w:ascii="Arial" w:hAnsi="Arial" w:cs="Arial"/>
          <w:b/>
          <w:bCs/>
          <w:color w:val="000000"/>
          <w:sz w:val="22"/>
          <w:szCs w:val="22"/>
        </w:rPr>
        <w:t>2.</w:t>
      </w:r>
      <w:r w:rsidR="0096322C">
        <w:rPr>
          <w:rFonts w:ascii="Arial" w:hAnsi="Arial" w:cs="Arial"/>
          <w:b/>
          <w:bCs/>
          <w:color w:val="000000"/>
          <w:sz w:val="22"/>
          <w:szCs w:val="22"/>
        </w:rPr>
        <w:t>4</w:t>
      </w:r>
      <w:r w:rsidRPr="000969DA">
        <w:rPr>
          <w:rFonts w:ascii="Arial" w:hAnsi="Arial" w:cs="Arial"/>
          <w:b/>
          <w:bCs/>
          <w:color w:val="000000"/>
          <w:sz w:val="22"/>
          <w:szCs w:val="22"/>
        </w:rPr>
        <w:t xml:space="preserve"> </w:t>
      </w:r>
      <w:r w:rsidRPr="000969DA">
        <w:rPr>
          <w:rFonts w:ascii="Arial" w:hAnsi="Arial" w:cs="Arial"/>
          <w:b/>
          <w:bCs/>
          <w:color w:val="000000"/>
          <w:sz w:val="22"/>
          <w:szCs w:val="22"/>
        </w:rPr>
        <w:t>Profit and Value Projectio</w:t>
      </w:r>
      <w:r w:rsidRPr="000969DA">
        <w:rPr>
          <w:rFonts w:ascii="Arial" w:hAnsi="Arial" w:cs="Arial"/>
          <w:b/>
          <w:bCs/>
          <w:color w:val="000000"/>
          <w:sz w:val="22"/>
          <w:szCs w:val="22"/>
        </w:rPr>
        <w:t>n</w:t>
      </w:r>
    </w:p>
    <w:p w14:paraId="25DE4259" w14:textId="3CF3C658" w:rsidR="002A6493" w:rsidRPr="000969DA" w:rsidRDefault="008A0F28" w:rsidP="008A0F28">
      <w:pPr>
        <w:jc w:val="both"/>
        <w:rPr>
          <w:rFonts w:ascii="Arial" w:hAnsi="Arial" w:cs="Arial"/>
          <w:color w:val="000000"/>
          <w:sz w:val="22"/>
          <w:szCs w:val="22"/>
        </w:rPr>
      </w:pPr>
      <w:r w:rsidRPr="000969DA">
        <w:rPr>
          <w:rFonts w:ascii="Arial" w:hAnsi="Arial" w:cs="Arial"/>
          <w:color w:val="000000"/>
          <w:sz w:val="22"/>
          <w:szCs w:val="22"/>
        </w:rPr>
        <w:t xml:space="preserve">A model was created to project each company's value over four years. This model considered current Gross Profit (GP), historical CAGR, and relevant sector trends. </w:t>
      </w:r>
    </w:p>
    <w:p w14:paraId="4EF2B38E" w14:textId="38D2D466" w:rsidR="008A0F28" w:rsidRPr="000969DA" w:rsidRDefault="008A0F28" w:rsidP="008A0F28">
      <w:pPr>
        <w:jc w:val="both"/>
        <w:rPr>
          <w:rFonts w:ascii="Arial" w:hAnsi="Arial" w:cs="Arial"/>
          <w:color w:val="000000"/>
          <w:sz w:val="22"/>
          <w:szCs w:val="22"/>
        </w:rPr>
      </w:pPr>
      <w:r w:rsidRPr="000969DA">
        <w:rPr>
          <w:rFonts w:ascii="Arial" w:hAnsi="Arial" w:cs="Arial"/>
          <w:color w:val="000000"/>
          <w:sz w:val="22"/>
          <w:szCs w:val="22"/>
        </w:rPr>
        <w:t xml:space="preserve">The projected Gross Profit was </w:t>
      </w:r>
      <w:r w:rsidRPr="000969DA">
        <w:rPr>
          <w:rFonts w:ascii="Arial" w:hAnsi="Arial" w:cs="Arial"/>
          <w:color w:val="000000"/>
          <w:sz w:val="22"/>
          <w:szCs w:val="22"/>
        </w:rPr>
        <w:t xml:space="preserve">calculated </w:t>
      </w:r>
      <w:r w:rsidRPr="000969DA">
        <w:rPr>
          <w:rFonts w:ascii="Arial" w:hAnsi="Arial" w:cs="Arial"/>
          <w:color w:val="000000"/>
          <w:sz w:val="22"/>
          <w:szCs w:val="22"/>
        </w:rPr>
        <w:t>then used to calculate the projected value in four years</w:t>
      </w:r>
    </w:p>
    <w:p w14:paraId="637A739E" w14:textId="25E20383" w:rsidR="002A6493" w:rsidRPr="00A229D4" w:rsidRDefault="008A0F28" w:rsidP="00405DF1">
      <w:pPr>
        <w:jc w:val="center"/>
        <w:rPr>
          <w:rFonts w:ascii="Arial" w:hAnsi="Arial" w:cs="Arial"/>
          <w:b/>
          <w:bCs/>
          <w:color w:val="BF4E14" w:themeColor="accent2" w:themeShade="BF"/>
          <w:sz w:val="22"/>
          <w:szCs w:val="22"/>
        </w:rPr>
      </w:pPr>
      <w:r w:rsidRPr="00A229D4">
        <w:rPr>
          <w:rFonts w:ascii="Arial" w:hAnsi="Arial" w:cs="Arial"/>
          <w:b/>
          <w:bCs/>
          <w:color w:val="BF4E14" w:themeColor="accent2" w:themeShade="BF"/>
          <w:sz w:val="22"/>
          <w:szCs w:val="22"/>
        </w:rPr>
        <w:t xml:space="preserve">Project GP (4 years) = </w:t>
      </w:r>
      <w:r w:rsidR="00A229D4">
        <w:rPr>
          <w:rFonts w:ascii="Arial" w:hAnsi="Arial" w:cs="Arial"/>
          <w:b/>
          <w:bCs/>
          <w:color w:val="BF4E14" w:themeColor="accent2" w:themeShade="BF"/>
          <w:sz w:val="22"/>
          <w:szCs w:val="22"/>
        </w:rPr>
        <w:t>(</w:t>
      </w:r>
      <w:r w:rsidRPr="00A229D4">
        <w:rPr>
          <w:rFonts w:ascii="Arial" w:hAnsi="Arial" w:cs="Arial"/>
          <w:b/>
          <w:bCs/>
          <w:color w:val="BF4E14" w:themeColor="accent2" w:themeShade="BF"/>
          <w:sz w:val="22"/>
          <w:szCs w:val="22"/>
        </w:rPr>
        <w:t xml:space="preserve">Current GP * (1 + </w:t>
      </w:r>
      <w:proofErr w:type="gramStart"/>
      <w:r w:rsidRPr="00A229D4">
        <w:rPr>
          <w:rFonts w:ascii="Arial" w:hAnsi="Arial" w:cs="Arial"/>
          <w:b/>
          <w:bCs/>
          <w:color w:val="BF4E14" w:themeColor="accent2" w:themeShade="BF"/>
          <w:sz w:val="22"/>
          <w:szCs w:val="22"/>
        </w:rPr>
        <w:t>CAGR)^</w:t>
      </w:r>
      <w:proofErr w:type="gramEnd"/>
      <w:r w:rsidRPr="00A229D4">
        <w:rPr>
          <w:rFonts w:ascii="Arial" w:hAnsi="Arial" w:cs="Arial"/>
          <w:b/>
          <w:bCs/>
          <w:color w:val="BF4E14" w:themeColor="accent2" w:themeShade="BF"/>
          <w:sz w:val="22"/>
          <w:szCs w:val="22"/>
        </w:rPr>
        <w:t>4</w:t>
      </w:r>
      <w:r w:rsidR="00A229D4">
        <w:rPr>
          <w:rFonts w:ascii="Arial" w:hAnsi="Arial" w:cs="Arial"/>
          <w:b/>
          <w:bCs/>
          <w:color w:val="BF4E14" w:themeColor="accent2" w:themeShade="BF"/>
          <w:sz w:val="22"/>
          <w:szCs w:val="22"/>
        </w:rPr>
        <w:t>)</w:t>
      </w:r>
    </w:p>
    <w:p w14:paraId="504D0E08" w14:textId="006EE1A3" w:rsidR="008A0F28" w:rsidRPr="000969DA" w:rsidRDefault="008A0F28" w:rsidP="008A0F28">
      <w:pPr>
        <w:jc w:val="both"/>
        <w:rPr>
          <w:rFonts w:ascii="Arial" w:hAnsi="Arial" w:cs="Arial"/>
          <w:color w:val="000000"/>
          <w:sz w:val="22"/>
          <w:szCs w:val="22"/>
        </w:rPr>
      </w:pPr>
      <w:r w:rsidRPr="000969DA">
        <w:rPr>
          <w:rFonts w:ascii="Arial" w:hAnsi="Arial" w:cs="Arial"/>
          <w:color w:val="000000"/>
          <w:sz w:val="22"/>
          <w:szCs w:val="22"/>
        </w:rPr>
        <w:t xml:space="preserve">Finally, the projected value was </w:t>
      </w:r>
      <w:proofErr w:type="gramStart"/>
      <w:r w:rsidRPr="000969DA">
        <w:rPr>
          <w:rFonts w:ascii="Arial" w:hAnsi="Arial" w:cs="Arial"/>
          <w:color w:val="000000"/>
          <w:sz w:val="22"/>
          <w:szCs w:val="22"/>
        </w:rPr>
        <w:t>determined</w:t>
      </w:r>
      <w:proofErr w:type="gramEnd"/>
      <w:r w:rsidRPr="000969DA">
        <w:rPr>
          <w:rFonts w:ascii="Arial" w:hAnsi="Arial" w:cs="Arial"/>
          <w:color w:val="000000"/>
          <w:sz w:val="22"/>
          <w:szCs w:val="22"/>
        </w:rPr>
        <w:t xml:space="preserve"> by multiplying the projected Gross Profit with the current P/E ratio</w:t>
      </w:r>
    </w:p>
    <w:p w14:paraId="7D07D157" w14:textId="37202FDC" w:rsidR="008A0F28" w:rsidRPr="00A229D4" w:rsidRDefault="008A0F28" w:rsidP="00405DF1">
      <w:pPr>
        <w:jc w:val="center"/>
        <w:rPr>
          <w:rFonts w:ascii="Arial" w:hAnsi="Arial" w:cs="Arial"/>
          <w:b/>
          <w:bCs/>
          <w:color w:val="BF4E14" w:themeColor="accent2" w:themeShade="BF"/>
          <w:sz w:val="22"/>
          <w:szCs w:val="22"/>
        </w:rPr>
      </w:pPr>
      <w:r w:rsidRPr="00A229D4">
        <w:rPr>
          <w:rFonts w:ascii="Arial" w:hAnsi="Arial" w:cs="Arial"/>
          <w:b/>
          <w:bCs/>
          <w:color w:val="BF4E14" w:themeColor="accent2" w:themeShade="BF"/>
          <w:sz w:val="22"/>
          <w:szCs w:val="22"/>
        </w:rPr>
        <w:t>Projected Value = Projected GP * P/E ratio</w:t>
      </w:r>
    </w:p>
    <w:p w14:paraId="337B9FCE" w14:textId="3A4A1D1F" w:rsidR="002A6493" w:rsidRDefault="008A0F28" w:rsidP="008A0F28">
      <w:pPr>
        <w:jc w:val="both"/>
        <w:rPr>
          <w:rFonts w:ascii="Arial" w:hAnsi="Arial" w:cs="Arial"/>
          <w:sz w:val="22"/>
          <w:szCs w:val="22"/>
        </w:rPr>
      </w:pPr>
      <w:r w:rsidRPr="000969DA">
        <w:rPr>
          <w:rFonts w:ascii="Arial" w:hAnsi="Arial" w:cs="Arial"/>
          <w:sz w:val="22"/>
          <w:szCs w:val="22"/>
        </w:rPr>
        <w:t xml:space="preserve">This method provided </w:t>
      </w:r>
      <w:proofErr w:type="gramStart"/>
      <w:r w:rsidRPr="000969DA">
        <w:rPr>
          <w:rFonts w:ascii="Arial" w:hAnsi="Arial" w:cs="Arial"/>
          <w:sz w:val="22"/>
          <w:szCs w:val="22"/>
        </w:rPr>
        <w:t>a future outlook</w:t>
      </w:r>
      <w:proofErr w:type="gramEnd"/>
      <w:r w:rsidRPr="000969DA">
        <w:rPr>
          <w:rFonts w:ascii="Arial" w:hAnsi="Arial" w:cs="Arial"/>
          <w:sz w:val="22"/>
          <w:szCs w:val="22"/>
        </w:rPr>
        <w:t xml:space="preserve"> for each company's valuation compared to its current market capitalization</w:t>
      </w:r>
      <w:r w:rsidRPr="000969DA">
        <w:rPr>
          <w:rFonts w:ascii="Arial" w:hAnsi="Arial" w:cs="Arial"/>
          <w:sz w:val="22"/>
          <w:szCs w:val="22"/>
        </w:rPr>
        <w:t>.</w:t>
      </w:r>
    </w:p>
    <w:p w14:paraId="6F05FBA7" w14:textId="77777777" w:rsidR="0096322C" w:rsidRPr="000969DA" w:rsidRDefault="0096322C" w:rsidP="008A0F28">
      <w:pPr>
        <w:jc w:val="both"/>
        <w:rPr>
          <w:rFonts w:ascii="Arial" w:hAnsi="Arial" w:cs="Arial"/>
          <w:color w:val="000000"/>
          <w:sz w:val="22"/>
          <w:szCs w:val="22"/>
        </w:rPr>
      </w:pPr>
    </w:p>
    <w:p w14:paraId="48CB6D85" w14:textId="3E6B5CAE" w:rsidR="002A6493" w:rsidRPr="000969DA" w:rsidRDefault="00AB50C8" w:rsidP="008A0F28">
      <w:pPr>
        <w:jc w:val="both"/>
        <w:rPr>
          <w:rFonts w:ascii="Arial" w:hAnsi="Arial" w:cs="Arial"/>
          <w:b/>
          <w:bCs/>
          <w:color w:val="000000"/>
          <w:sz w:val="28"/>
          <w:szCs w:val="28"/>
        </w:rPr>
      </w:pPr>
      <w:r w:rsidRPr="000969DA">
        <w:rPr>
          <w:rFonts w:ascii="Arial" w:hAnsi="Arial" w:cs="Arial"/>
          <w:b/>
          <w:bCs/>
          <w:color w:val="000000"/>
          <w:sz w:val="28"/>
          <w:szCs w:val="28"/>
        </w:rPr>
        <w:t xml:space="preserve">3.0 </w:t>
      </w:r>
      <w:r w:rsidRPr="00EC439F">
        <w:rPr>
          <w:rFonts w:ascii="Arial" w:hAnsi="Arial" w:cs="Arial"/>
          <w:b/>
          <w:bCs/>
          <w:color w:val="000000"/>
          <w:sz w:val="28"/>
          <w:szCs w:val="28"/>
          <w:u w:val="single"/>
        </w:rPr>
        <w:t>Findings</w:t>
      </w:r>
    </w:p>
    <w:p w14:paraId="2592DC2F" w14:textId="7741B40E" w:rsidR="00AB50C8" w:rsidRPr="0096322C" w:rsidRDefault="00AB50C8" w:rsidP="008A0F28">
      <w:pPr>
        <w:jc w:val="both"/>
        <w:rPr>
          <w:rFonts w:ascii="Arial" w:hAnsi="Arial" w:cs="Arial"/>
          <w:b/>
          <w:bCs/>
          <w:color w:val="000000"/>
        </w:rPr>
      </w:pPr>
      <w:r w:rsidRPr="0096322C">
        <w:rPr>
          <w:rFonts w:ascii="Arial" w:hAnsi="Arial" w:cs="Arial"/>
          <w:b/>
          <w:bCs/>
          <w:color w:val="000000"/>
        </w:rPr>
        <w:t>3.1 Technology Sector</w:t>
      </w:r>
      <w:r w:rsidR="00D136EC" w:rsidRPr="0096322C">
        <w:rPr>
          <w:rFonts w:ascii="Arial" w:hAnsi="Arial" w:cs="Arial"/>
          <w:b/>
          <w:bCs/>
          <w:color w:val="000000"/>
        </w:rPr>
        <w:t xml:space="preserve"> Analysis</w:t>
      </w:r>
    </w:p>
    <w:p w14:paraId="7DCBCDFA" w14:textId="60DDAD3F" w:rsidR="002A6493" w:rsidRDefault="00D136EC" w:rsidP="008A0F28">
      <w:pPr>
        <w:jc w:val="both"/>
        <w:rPr>
          <w:rFonts w:ascii="Arial" w:hAnsi="Arial" w:cs="Arial"/>
          <w:color w:val="000000"/>
          <w:sz w:val="22"/>
          <w:szCs w:val="22"/>
        </w:rPr>
      </w:pPr>
      <w:r w:rsidRPr="000969DA">
        <w:rPr>
          <w:rFonts w:ascii="Arial" w:hAnsi="Arial" w:cs="Arial"/>
          <w:color w:val="000000"/>
          <w:sz w:val="22"/>
          <w:szCs w:val="22"/>
        </w:rPr>
        <w:t>This section analyzes companies within the Electronics and Components industry, including Jabil (JBL), Flex (FLEX), Universal Display Corp (OLED), and Amphenol Corp (APH)</w:t>
      </w:r>
    </w:p>
    <w:p w14:paraId="7AE9F77D" w14:textId="77777777" w:rsidR="000969DA" w:rsidRPr="000969DA" w:rsidRDefault="000969DA" w:rsidP="000969DA">
      <w:pPr>
        <w:jc w:val="both"/>
        <w:rPr>
          <w:rFonts w:ascii="Arial" w:hAnsi="Arial" w:cs="Arial"/>
          <w:color w:val="000000"/>
          <w:sz w:val="22"/>
          <w:szCs w:val="22"/>
        </w:rPr>
      </w:pPr>
      <w:r w:rsidRPr="000969DA">
        <w:rPr>
          <w:rFonts w:ascii="Arial" w:hAnsi="Arial" w:cs="Arial"/>
          <w:color w:val="000000"/>
          <w:sz w:val="22"/>
          <w:szCs w:val="22"/>
        </w:rPr>
        <w:t xml:space="preserve">While both Jabil Inc (JBL) and Flex Ltd (FLEX) boast low P/E ratios, JBL, a potential undervalued Gem, </w:t>
      </w:r>
      <w:proofErr w:type="gramStart"/>
      <w:r w:rsidRPr="000969DA">
        <w:rPr>
          <w:rFonts w:ascii="Arial" w:hAnsi="Arial" w:cs="Arial"/>
          <w:color w:val="000000"/>
          <w:sz w:val="22"/>
          <w:szCs w:val="22"/>
        </w:rPr>
        <w:t>emerges</w:t>
      </w:r>
      <w:proofErr w:type="gramEnd"/>
      <w:r w:rsidRPr="000969DA">
        <w:rPr>
          <w:rFonts w:ascii="Arial" w:hAnsi="Arial" w:cs="Arial"/>
          <w:color w:val="000000"/>
          <w:sz w:val="22"/>
          <w:szCs w:val="22"/>
        </w:rPr>
        <w:t xml:space="preserve"> as the more potentially undervalued company within this sector. Despite a slightly higher P/E ratio, Jabil's significantly higher Return on Equity (ROE) and gross profit </w:t>
      </w:r>
      <w:proofErr w:type="gramStart"/>
      <w:r w:rsidRPr="000969DA">
        <w:rPr>
          <w:rFonts w:ascii="Arial" w:hAnsi="Arial" w:cs="Arial"/>
          <w:color w:val="000000"/>
          <w:sz w:val="22"/>
          <w:szCs w:val="22"/>
        </w:rPr>
        <w:t>indicate</w:t>
      </w:r>
      <w:proofErr w:type="gramEnd"/>
      <w:r w:rsidRPr="000969DA">
        <w:rPr>
          <w:rFonts w:ascii="Arial" w:hAnsi="Arial" w:cs="Arial"/>
          <w:color w:val="000000"/>
          <w:sz w:val="22"/>
          <w:szCs w:val="22"/>
        </w:rPr>
        <w:t xml:space="preserve"> superior operational efficiency and profitability. Additionally, its projected value further strengthens the case for its strong future potential.</w:t>
      </w:r>
    </w:p>
    <w:p w14:paraId="0D7B1D4C" w14:textId="77777777" w:rsidR="000969DA" w:rsidRPr="000969DA" w:rsidRDefault="000969DA" w:rsidP="008A0F28">
      <w:pPr>
        <w:jc w:val="both"/>
        <w:rPr>
          <w:rFonts w:ascii="Arial" w:hAnsi="Arial" w:cs="Arial"/>
          <w:color w:val="000000"/>
          <w:sz w:val="22"/>
          <w:szCs w:val="22"/>
        </w:rPr>
      </w:pPr>
    </w:p>
    <w:tbl>
      <w:tblPr>
        <w:tblpPr w:leftFromText="180" w:rightFromText="180" w:vertAnchor="text" w:horzAnchor="margin" w:tblpXSpec="center" w:tblpY="344"/>
        <w:tblW w:w="14826" w:type="dxa"/>
        <w:tblLook w:val="04A0" w:firstRow="1" w:lastRow="0" w:firstColumn="1" w:lastColumn="0" w:noHBand="0" w:noVBand="1"/>
      </w:tblPr>
      <w:tblGrid>
        <w:gridCol w:w="806"/>
        <w:gridCol w:w="1072"/>
        <w:gridCol w:w="1072"/>
        <w:gridCol w:w="1006"/>
        <w:gridCol w:w="895"/>
        <w:gridCol w:w="1006"/>
        <w:gridCol w:w="1106"/>
        <w:gridCol w:w="1106"/>
        <w:gridCol w:w="1106"/>
        <w:gridCol w:w="1106"/>
        <w:gridCol w:w="1072"/>
        <w:gridCol w:w="1072"/>
        <w:gridCol w:w="895"/>
        <w:gridCol w:w="1128"/>
        <w:gridCol w:w="1329"/>
      </w:tblGrid>
      <w:tr w:rsidR="00D136EC" w:rsidRPr="0074445B" w14:paraId="259A7C1A" w14:textId="77777777" w:rsidTr="00405DF1">
        <w:trPr>
          <w:trHeight w:val="286"/>
        </w:trPr>
        <w:tc>
          <w:tcPr>
            <w:tcW w:w="14826"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B61E4FC" w14:textId="50373765" w:rsidR="00D136EC" w:rsidRPr="0074445B" w:rsidRDefault="00FC5E0A" w:rsidP="00A16C68">
            <w:pPr>
              <w:spacing w:after="0" w:line="240" w:lineRule="auto"/>
              <w:jc w:val="both"/>
              <w:rPr>
                <w:rFonts w:ascii="Arial" w:eastAsia="Times New Roman" w:hAnsi="Arial" w:cs="Arial"/>
                <w:b/>
                <w:bCs/>
                <w:color w:val="1F1F1F"/>
                <w:kern w:val="0"/>
                <w:sz w:val="20"/>
                <w:szCs w:val="20"/>
                <w14:ligatures w14:val="none"/>
              </w:rPr>
            </w:pPr>
            <w:r>
              <w:rPr>
                <w:rFonts w:ascii="Arial" w:eastAsia="Times New Roman" w:hAnsi="Arial" w:cs="Arial"/>
                <w:b/>
                <w:bCs/>
                <w:color w:val="1F1F1F"/>
                <w:kern w:val="0"/>
                <w:sz w:val="20"/>
                <w:szCs w:val="20"/>
                <w14:ligatures w14:val="none"/>
              </w:rPr>
              <w:t xml:space="preserve">                                 </w:t>
            </w:r>
            <w:r w:rsidR="00D136EC" w:rsidRPr="0074445B">
              <w:rPr>
                <w:rFonts w:ascii="Arial" w:eastAsia="Times New Roman" w:hAnsi="Arial" w:cs="Arial"/>
                <w:b/>
                <w:bCs/>
                <w:color w:val="1F1F1F"/>
                <w:kern w:val="0"/>
                <w:sz w:val="20"/>
                <w:szCs w:val="20"/>
                <w14:ligatures w14:val="none"/>
              </w:rPr>
              <w:t>Data Collection, Comparative Analysis and Valuation for Technology Sector (Electronics and Components Industry)</w:t>
            </w:r>
          </w:p>
        </w:tc>
      </w:tr>
      <w:tr w:rsidR="00405DF1" w:rsidRPr="00FC5E0A" w14:paraId="5C645E0E" w14:textId="77777777" w:rsidTr="00405DF1">
        <w:trPr>
          <w:trHeight w:val="1180"/>
        </w:trPr>
        <w:tc>
          <w:tcPr>
            <w:tcW w:w="757" w:type="dxa"/>
            <w:tcBorders>
              <w:top w:val="nil"/>
              <w:left w:val="single" w:sz="8" w:space="0" w:color="auto"/>
              <w:bottom w:val="dotted" w:sz="4" w:space="0" w:color="000000"/>
              <w:right w:val="dotted" w:sz="4" w:space="0" w:color="000000"/>
            </w:tcBorders>
            <w:shd w:val="clear" w:color="auto" w:fill="auto"/>
            <w:vAlign w:val="bottom"/>
            <w:hideMark/>
          </w:tcPr>
          <w:p w14:paraId="3297C24B"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Ticker</w:t>
            </w:r>
          </w:p>
        </w:tc>
        <w:tc>
          <w:tcPr>
            <w:tcW w:w="1007" w:type="dxa"/>
            <w:tcBorders>
              <w:top w:val="nil"/>
              <w:left w:val="single" w:sz="8" w:space="0" w:color="CCCCCC"/>
              <w:bottom w:val="dotted" w:sz="4" w:space="0" w:color="000000"/>
              <w:right w:val="dotted" w:sz="4" w:space="0" w:color="000000"/>
            </w:tcBorders>
            <w:shd w:val="clear" w:color="auto" w:fill="auto"/>
            <w:vAlign w:val="bottom"/>
            <w:hideMark/>
          </w:tcPr>
          <w:p w14:paraId="030590B7"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Market Cap (Current) (million)</w:t>
            </w:r>
          </w:p>
        </w:tc>
        <w:tc>
          <w:tcPr>
            <w:tcW w:w="1007" w:type="dxa"/>
            <w:tcBorders>
              <w:top w:val="nil"/>
              <w:left w:val="single" w:sz="8" w:space="0" w:color="CCCCCC"/>
              <w:bottom w:val="dotted" w:sz="4" w:space="0" w:color="000000"/>
              <w:right w:val="dotted" w:sz="4" w:space="0" w:color="000000"/>
            </w:tcBorders>
            <w:shd w:val="clear" w:color="auto" w:fill="auto"/>
            <w:vAlign w:val="bottom"/>
            <w:hideMark/>
          </w:tcPr>
          <w:p w14:paraId="078D6B50"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Price Per Earnings Ratio (Current)</w:t>
            </w:r>
          </w:p>
        </w:tc>
        <w:tc>
          <w:tcPr>
            <w:tcW w:w="945" w:type="dxa"/>
            <w:tcBorders>
              <w:top w:val="nil"/>
              <w:left w:val="single" w:sz="8" w:space="0" w:color="CCCCCC"/>
              <w:bottom w:val="dotted" w:sz="4" w:space="0" w:color="000000"/>
              <w:right w:val="dotted" w:sz="4" w:space="0" w:color="000000"/>
            </w:tcBorders>
            <w:shd w:val="clear" w:color="auto" w:fill="auto"/>
            <w:vAlign w:val="bottom"/>
            <w:hideMark/>
          </w:tcPr>
          <w:p w14:paraId="575AA3B2"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Industry Average P/E Ratio</w:t>
            </w:r>
          </w:p>
        </w:tc>
        <w:tc>
          <w:tcPr>
            <w:tcW w:w="841" w:type="dxa"/>
            <w:tcBorders>
              <w:top w:val="nil"/>
              <w:left w:val="single" w:sz="8" w:space="0" w:color="CCCCCC"/>
              <w:bottom w:val="dotted" w:sz="4" w:space="0" w:color="000000"/>
              <w:right w:val="dotted" w:sz="4" w:space="0" w:color="000000"/>
            </w:tcBorders>
            <w:shd w:val="clear" w:color="auto" w:fill="auto"/>
            <w:vAlign w:val="bottom"/>
            <w:hideMark/>
          </w:tcPr>
          <w:p w14:paraId="4B46C702"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Return on Equity (ROE)</w:t>
            </w:r>
          </w:p>
        </w:tc>
        <w:tc>
          <w:tcPr>
            <w:tcW w:w="945" w:type="dxa"/>
            <w:tcBorders>
              <w:top w:val="nil"/>
              <w:left w:val="single" w:sz="8" w:space="0" w:color="CCCCCC"/>
              <w:bottom w:val="dotted" w:sz="4" w:space="0" w:color="000000"/>
              <w:right w:val="dotted" w:sz="4" w:space="0" w:color="000000"/>
            </w:tcBorders>
            <w:shd w:val="clear" w:color="auto" w:fill="auto"/>
            <w:vAlign w:val="bottom"/>
            <w:hideMark/>
          </w:tcPr>
          <w:p w14:paraId="754D8319"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Industry Average ROE</w:t>
            </w:r>
          </w:p>
        </w:tc>
        <w:tc>
          <w:tcPr>
            <w:tcW w:w="1039" w:type="dxa"/>
            <w:tcBorders>
              <w:top w:val="nil"/>
              <w:left w:val="single" w:sz="8" w:space="0" w:color="CCCCCC"/>
              <w:bottom w:val="dotted" w:sz="4" w:space="0" w:color="000000"/>
              <w:right w:val="dotted" w:sz="4" w:space="0" w:color="000000"/>
            </w:tcBorders>
            <w:shd w:val="clear" w:color="auto" w:fill="auto"/>
            <w:vAlign w:val="bottom"/>
            <w:hideMark/>
          </w:tcPr>
          <w:p w14:paraId="39AB3B16"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Gross Profit TTM (Current) (million)</w:t>
            </w:r>
          </w:p>
        </w:tc>
        <w:tc>
          <w:tcPr>
            <w:tcW w:w="1039" w:type="dxa"/>
            <w:tcBorders>
              <w:top w:val="nil"/>
              <w:left w:val="single" w:sz="8" w:space="0" w:color="CCCCCC"/>
              <w:bottom w:val="dotted" w:sz="4" w:space="0" w:color="000000"/>
              <w:right w:val="dotted" w:sz="4" w:space="0" w:color="000000"/>
            </w:tcBorders>
            <w:shd w:val="clear" w:color="auto" w:fill="auto"/>
            <w:vAlign w:val="bottom"/>
            <w:hideMark/>
          </w:tcPr>
          <w:p w14:paraId="79068F22"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Gross Profit 31-12-2023 (million)</w:t>
            </w:r>
          </w:p>
        </w:tc>
        <w:tc>
          <w:tcPr>
            <w:tcW w:w="1039" w:type="dxa"/>
            <w:tcBorders>
              <w:top w:val="nil"/>
              <w:left w:val="single" w:sz="8" w:space="0" w:color="CCCCCC"/>
              <w:bottom w:val="dotted" w:sz="4" w:space="0" w:color="000000"/>
              <w:right w:val="dotted" w:sz="4" w:space="0" w:color="000000"/>
            </w:tcBorders>
            <w:shd w:val="clear" w:color="000000" w:fill="FFFFFF"/>
            <w:vAlign w:val="bottom"/>
            <w:hideMark/>
          </w:tcPr>
          <w:p w14:paraId="0BAE0AE2"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Gross Profit 31-12-2022 (million)</w:t>
            </w:r>
          </w:p>
        </w:tc>
        <w:tc>
          <w:tcPr>
            <w:tcW w:w="1039" w:type="dxa"/>
            <w:tcBorders>
              <w:top w:val="nil"/>
              <w:left w:val="single" w:sz="8" w:space="0" w:color="CCCCCC"/>
              <w:bottom w:val="dotted" w:sz="4" w:space="0" w:color="000000"/>
              <w:right w:val="dotted" w:sz="4" w:space="0" w:color="000000"/>
            </w:tcBorders>
            <w:shd w:val="clear" w:color="000000" w:fill="FFFFFF"/>
            <w:vAlign w:val="bottom"/>
            <w:hideMark/>
          </w:tcPr>
          <w:p w14:paraId="2EE43993" w14:textId="77777777" w:rsidR="00D136EC" w:rsidRPr="0074445B" w:rsidRDefault="00D136EC" w:rsidP="00A16C68">
            <w:pPr>
              <w:spacing w:after="0" w:line="240" w:lineRule="auto"/>
              <w:jc w:val="both"/>
              <w:rPr>
                <w:rFonts w:ascii="Arial" w:eastAsia="Times New Roman" w:hAnsi="Arial" w:cs="Arial"/>
                <w:b/>
                <w:bCs/>
                <w:color w:val="1F1F1F"/>
                <w:kern w:val="0"/>
                <w:sz w:val="20"/>
                <w:szCs w:val="20"/>
                <w14:ligatures w14:val="none"/>
              </w:rPr>
            </w:pPr>
            <w:r w:rsidRPr="0074445B">
              <w:rPr>
                <w:rFonts w:ascii="Arial" w:eastAsia="Times New Roman" w:hAnsi="Arial" w:cs="Arial"/>
                <w:b/>
                <w:bCs/>
                <w:color w:val="1F1F1F"/>
                <w:kern w:val="0"/>
                <w:sz w:val="20"/>
                <w:szCs w:val="20"/>
                <w14:ligatures w14:val="none"/>
              </w:rPr>
              <w:t>Gross Profit 31-12-2020 (million)</w:t>
            </w:r>
          </w:p>
        </w:tc>
        <w:tc>
          <w:tcPr>
            <w:tcW w:w="1007" w:type="dxa"/>
            <w:tcBorders>
              <w:top w:val="nil"/>
              <w:left w:val="single" w:sz="8" w:space="0" w:color="CCCCCC"/>
              <w:bottom w:val="dotted" w:sz="4" w:space="0" w:color="000000"/>
              <w:right w:val="dotted" w:sz="4" w:space="0" w:color="000000"/>
            </w:tcBorders>
            <w:shd w:val="clear" w:color="auto" w:fill="auto"/>
            <w:vAlign w:val="bottom"/>
            <w:hideMark/>
          </w:tcPr>
          <w:p w14:paraId="04817C18"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Gross Margin (Current)</w:t>
            </w:r>
          </w:p>
        </w:tc>
        <w:tc>
          <w:tcPr>
            <w:tcW w:w="1007" w:type="dxa"/>
            <w:tcBorders>
              <w:top w:val="nil"/>
              <w:left w:val="single" w:sz="8" w:space="0" w:color="CCCCCC"/>
              <w:bottom w:val="dotted" w:sz="4" w:space="0" w:color="000000"/>
              <w:right w:val="dotted" w:sz="4" w:space="0" w:color="000000"/>
            </w:tcBorders>
            <w:shd w:val="clear" w:color="auto" w:fill="auto"/>
            <w:vAlign w:val="bottom"/>
            <w:hideMark/>
          </w:tcPr>
          <w:p w14:paraId="76826754"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Gross Profit Growth (Current) (%)</w:t>
            </w:r>
          </w:p>
        </w:tc>
        <w:tc>
          <w:tcPr>
            <w:tcW w:w="841" w:type="dxa"/>
            <w:tcBorders>
              <w:top w:val="nil"/>
              <w:left w:val="single" w:sz="8" w:space="0" w:color="CCCCCC"/>
              <w:bottom w:val="dotted" w:sz="4" w:space="0" w:color="000000"/>
              <w:right w:val="dotted" w:sz="4" w:space="0" w:color="000000"/>
            </w:tcBorders>
            <w:shd w:val="clear" w:color="auto" w:fill="auto"/>
            <w:vAlign w:val="bottom"/>
            <w:hideMark/>
          </w:tcPr>
          <w:p w14:paraId="03C2EDB7"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CAGR</w:t>
            </w:r>
          </w:p>
        </w:tc>
        <w:tc>
          <w:tcPr>
            <w:tcW w:w="1060" w:type="dxa"/>
            <w:tcBorders>
              <w:top w:val="nil"/>
              <w:left w:val="single" w:sz="8" w:space="0" w:color="CCCCCC"/>
              <w:bottom w:val="dotted" w:sz="4" w:space="0" w:color="000000"/>
              <w:right w:val="dotted" w:sz="4" w:space="0" w:color="000000"/>
            </w:tcBorders>
            <w:shd w:val="clear" w:color="auto" w:fill="auto"/>
            <w:vAlign w:val="bottom"/>
            <w:hideMark/>
          </w:tcPr>
          <w:p w14:paraId="6826440B"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Projected Gross Profit (4 Years) (million)</w:t>
            </w:r>
          </w:p>
        </w:tc>
        <w:tc>
          <w:tcPr>
            <w:tcW w:w="1248" w:type="dxa"/>
            <w:tcBorders>
              <w:top w:val="nil"/>
              <w:left w:val="single" w:sz="8" w:space="0" w:color="CCCCCC"/>
              <w:bottom w:val="dotted" w:sz="4" w:space="0" w:color="000000"/>
              <w:right w:val="single" w:sz="8" w:space="0" w:color="auto"/>
            </w:tcBorders>
            <w:shd w:val="clear" w:color="000000" w:fill="FFFFFF"/>
            <w:vAlign w:val="bottom"/>
            <w:hideMark/>
          </w:tcPr>
          <w:p w14:paraId="1F0D4D8A" w14:textId="0C0EBC38"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Projected Value</w:t>
            </w:r>
            <w:r w:rsidRPr="00FC5E0A">
              <w:rPr>
                <w:rFonts w:ascii="Arial" w:eastAsia="Times New Roman" w:hAnsi="Arial" w:cs="Arial"/>
                <w:b/>
                <w:bCs/>
                <w:color w:val="000000"/>
                <w:kern w:val="0"/>
                <w:sz w:val="20"/>
                <w:szCs w:val="20"/>
                <w14:ligatures w14:val="none"/>
              </w:rPr>
              <w:t xml:space="preserve"> </w:t>
            </w:r>
            <w:r w:rsidRPr="0074445B">
              <w:rPr>
                <w:rFonts w:ascii="Arial" w:eastAsia="Times New Roman" w:hAnsi="Arial" w:cs="Arial"/>
                <w:b/>
                <w:bCs/>
                <w:color w:val="000000"/>
                <w:kern w:val="0"/>
                <w:sz w:val="20"/>
                <w:szCs w:val="20"/>
                <w14:ligatures w14:val="none"/>
              </w:rPr>
              <w:t>(4 Years) (million)</w:t>
            </w:r>
          </w:p>
        </w:tc>
      </w:tr>
      <w:tr w:rsidR="00405DF1" w:rsidRPr="00FC5E0A" w14:paraId="6EB14D8B" w14:textId="77777777" w:rsidTr="00405DF1">
        <w:trPr>
          <w:trHeight w:val="268"/>
        </w:trPr>
        <w:tc>
          <w:tcPr>
            <w:tcW w:w="757"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11791E66" w14:textId="3750A1B6"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J</w:t>
            </w:r>
            <w:r w:rsidR="00FC5E0A">
              <w:rPr>
                <w:rFonts w:ascii="Arial" w:eastAsia="Times New Roman" w:hAnsi="Arial" w:cs="Arial"/>
                <w:b/>
                <w:bCs/>
                <w:color w:val="000000"/>
                <w:kern w:val="0"/>
                <w:sz w:val="20"/>
                <w:szCs w:val="20"/>
                <w14:ligatures w14:val="none"/>
              </w:rPr>
              <w:t>BL</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E8FE454"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$12,540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13749FA"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10.06</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11DBF2E"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27.21</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D3C2CDD"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56.07%</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891FC5E"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5.10%</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38B7312"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$2,780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7CA59FA"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$2,867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8EA7687"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$2,632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5D2076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$1,931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573366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9.15%</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FFB503B"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5.62%</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741CB7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14.08%</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2275A83"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$4,708.75 </w:t>
            </w:r>
          </w:p>
        </w:tc>
        <w:tc>
          <w:tcPr>
            <w:tcW w:w="1248"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7AC83BF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$47,369.99 </w:t>
            </w:r>
          </w:p>
        </w:tc>
      </w:tr>
      <w:tr w:rsidR="00405DF1" w:rsidRPr="00FC5E0A" w14:paraId="7502D368" w14:textId="77777777" w:rsidTr="00405DF1">
        <w:trPr>
          <w:trHeight w:val="268"/>
        </w:trPr>
        <w:tc>
          <w:tcPr>
            <w:tcW w:w="757"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22F8AD08"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Flex</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912D62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$11,580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2AEBCF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12.63</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493E99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27.21</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974C627"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18.85%</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FE2BBE1"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5.10%</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84E8E4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$2,331.00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8B587EC"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$1,976.00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72C36CF"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$1,978.00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63F8761"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$1,339.00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E39687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8.30%</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B6930A3"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17.85%</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D7BB8C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13.85%</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E6C82C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$3,916.37 </w:t>
            </w:r>
          </w:p>
        </w:tc>
        <w:tc>
          <w:tcPr>
            <w:tcW w:w="1248"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63E2206D"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$49,463.80 </w:t>
            </w:r>
          </w:p>
        </w:tc>
      </w:tr>
      <w:tr w:rsidR="00405DF1" w:rsidRPr="00FC5E0A" w14:paraId="02D58271" w14:textId="77777777" w:rsidTr="00405DF1">
        <w:trPr>
          <w:trHeight w:val="268"/>
        </w:trPr>
        <w:tc>
          <w:tcPr>
            <w:tcW w:w="757"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08752682"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OLED</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1530818"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$10,390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96A4368"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47.62</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CA8B99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27.21</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FE469F0"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15.73%</w:t>
            </w:r>
          </w:p>
        </w:tc>
        <w:tc>
          <w:tcPr>
            <w:tcW w:w="94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8C0E9BC"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5.10%</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BD3D16D"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$452.06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8160D4E"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$441.05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109207C"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$448.72 </w:t>
            </w:r>
          </w:p>
        </w:tc>
        <w:tc>
          <w:tcPr>
            <w:tcW w:w="103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63002E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$343.36 </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AEC00D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73.96%</w:t>
            </w:r>
          </w:p>
        </w:tc>
        <w:tc>
          <w:tcPr>
            <w:tcW w:w="100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AE8A5C0"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0.74%</w:t>
            </w:r>
          </w:p>
        </w:tc>
        <w:tc>
          <w:tcPr>
            <w:tcW w:w="841"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A2B7D5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8.70%</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17403C4"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$631.22 </w:t>
            </w:r>
          </w:p>
        </w:tc>
        <w:tc>
          <w:tcPr>
            <w:tcW w:w="1248"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1AC14089"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$30,058.66 </w:t>
            </w:r>
          </w:p>
        </w:tc>
      </w:tr>
      <w:tr w:rsidR="00405DF1" w:rsidRPr="00FC5E0A" w14:paraId="5CDB3719" w14:textId="77777777" w:rsidTr="00405DF1">
        <w:trPr>
          <w:trHeight w:val="268"/>
        </w:trPr>
        <w:tc>
          <w:tcPr>
            <w:tcW w:w="757" w:type="dxa"/>
            <w:tcBorders>
              <w:top w:val="single" w:sz="8" w:space="0" w:color="CCCCCC"/>
              <w:left w:val="single" w:sz="8" w:space="0" w:color="auto"/>
              <w:bottom w:val="single" w:sz="8" w:space="0" w:color="auto"/>
              <w:right w:val="dotted" w:sz="4" w:space="0" w:color="000000"/>
            </w:tcBorders>
            <w:shd w:val="clear" w:color="auto" w:fill="auto"/>
            <w:hideMark/>
          </w:tcPr>
          <w:p w14:paraId="53F9E524" w14:textId="77777777" w:rsidR="00D136EC" w:rsidRPr="0074445B" w:rsidRDefault="00D136EC" w:rsidP="00A16C68">
            <w:pPr>
              <w:spacing w:after="0" w:line="240" w:lineRule="auto"/>
              <w:jc w:val="both"/>
              <w:rPr>
                <w:rFonts w:ascii="Arial" w:eastAsia="Times New Roman" w:hAnsi="Arial" w:cs="Arial"/>
                <w:b/>
                <w:bCs/>
                <w:color w:val="000000"/>
                <w:kern w:val="0"/>
                <w:sz w:val="20"/>
                <w:szCs w:val="20"/>
                <w14:ligatures w14:val="none"/>
              </w:rPr>
            </w:pPr>
            <w:r w:rsidRPr="0074445B">
              <w:rPr>
                <w:rFonts w:ascii="Arial" w:eastAsia="Times New Roman" w:hAnsi="Arial" w:cs="Arial"/>
                <w:b/>
                <w:bCs/>
                <w:color w:val="000000"/>
                <w:kern w:val="0"/>
                <w:sz w:val="20"/>
                <w:szCs w:val="20"/>
                <w14:ligatures w14:val="none"/>
              </w:rPr>
              <w:t>APH</w:t>
            </w:r>
          </w:p>
        </w:tc>
        <w:tc>
          <w:tcPr>
            <w:tcW w:w="1007" w:type="dxa"/>
            <w:tcBorders>
              <w:top w:val="single" w:sz="8" w:space="0" w:color="CCCCCC"/>
              <w:left w:val="single" w:sz="8" w:space="0" w:color="CCCCCC"/>
              <w:bottom w:val="single" w:sz="8" w:space="0" w:color="auto"/>
              <w:right w:val="dotted" w:sz="4" w:space="0" w:color="000000"/>
            </w:tcBorders>
            <w:shd w:val="clear" w:color="auto" w:fill="auto"/>
            <w:hideMark/>
          </w:tcPr>
          <w:p w14:paraId="34D889D8"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$77,300 </w:t>
            </w:r>
          </w:p>
        </w:tc>
        <w:tc>
          <w:tcPr>
            <w:tcW w:w="1007" w:type="dxa"/>
            <w:tcBorders>
              <w:top w:val="single" w:sz="8" w:space="0" w:color="CCCCCC"/>
              <w:left w:val="single" w:sz="8" w:space="0" w:color="CCCCCC"/>
              <w:bottom w:val="single" w:sz="8" w:space="0" w:color="auto"/>
              <w:right w:val="dotted" w:sz="4" w:space="0" w:color="000000"/>
            </w:tcBorders>
            <w:shd w:val="clear" w:color="auto" w:fill="auto"/>
            <w:hideMark/>
          </w:tcPr>
          <w:p w14:paraId="722D064C"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39.34</w:t>
            </w:r>
          </w:p>
        </w:tc>
        <w:tc>
          <w:tcPr>
            <w:tcW w:w="945" w:type="dxa"/>
            <w:tcBorders>
              <w:top w:val="single" w:sz="8" w:space="0" w:color="CCCCCC"/>
              <w:left w:val="single" w:sz="8" w:space="0" w:color="CCCCCC"/>
              <w:bottom w:val="single" w:sz="8" w:space="0" w:color="auto"/>
              <w:right w:val="dotted" w:sz="4" w:space="0" w:color="000000"/>
            </w:tcBorders>
            <w:shd w:val="clear" w:color="auto" w:fill="auto"/>
            <w:hideMark/>
          </w:tcPr>
          <w:p w14:paraId="445781DA"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27.21</w:t>
            </w:r>
          </w:p>
        </w:tc>
        <w:tc>
          <w:tcPr>
            <w:tcW w:w="841" w:type="dxa"/>
            <w:tcBorders>
              <w:top w:val="single" w:sz="8" w:space="0" w:color="CCCCCC"/>
              <w:left w:val="single" w:sz="8" w:space="0" w:color="CCCCCC"/>
              <w:bottom w:val="single" w:sz="8" w:space="0" w:color="auto"/>
              <w:right w:val="dotted" w:sz="4" w:space="0" w:color="000000"/>
            </w:tcBorders>
            <w:shd w:val="clear" w:color="auto" w:fill="auto"/>
            <w:hideMark/>
          </w:tcPr>
          <w:p w14:paraId="6C1D65EE"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25.49%</w:t>
            </w:r>
          </w:p>
        </w:tc>
        <w:tc>
          <w:tcPr>
            <w:tcW w:w="945" w:type="dxa"/>
            <w:tcBorders>
              <w:top w:val="single" w:sz="8" w:space="0" w:color="CCCCCC"/>
              <w:left w:val="single" w:sz="8" w:space="0" w:color="CCCCCC"/>
              <w:bottom w:val="single" w:sz="8" w:space="0" w:color="auto"/>
              <w:right w:val="dotted" w:sz="4" w:space="0" w:color="000000"/>
            </w:tcBorders>
            <w:shd w:val="clear" w:color="auto" w:fill="auto"/>
            <w:hideMark/>
          </w:tcPr>
          <w:p w14:paraId="3EDC3E38"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5.10%</w:t>
            </w:r>
          </w:p>
        </w:tc>
        <w:tc>
          <w:tcPr>
            <w:tcW w:w="1039" w:type="dxa"/>
            <w:tcBorders>
              <w:top w:val="single" w:sz="8" w:space="0" w:color="CCCCCC"/>
              <w:left w:val="single" w:sz="8" w:space="0" w:color="CCCCCC"/>
              <w:bottom w:val="single" w:sz="8" w:space="0" w:color="auto"/>
              <w:right w:val="dotted" w:sz="4" w:space="0" w:color="000000"/>
            </w:tcBorders>
            <w:shd w:val="clear" w:color="auto" w:fill="auto"/>
            <w:hideMark/>
          </w:tcPr>
          <w:p w14:paraId="224BAD68"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$4,229.60 </w:t>
            </w:r>
          </w:p>
        </w:tc>
        <w:tc>
          <w:tcPr>
            <w:tcW w:w="1039" w:type="dxa"/>
            <w:tcBorders>
              <w:top w:val="single" w:sz="8" w:space="0" w:color="CCCCCC"/>
              <w:left w:val="single" w:sz="8" w:space="0" w:color="CCCCCC"/>
              <w:bottom w:val="single" w:sz="8" w:space="0" w:color="auto"/>
              <w:right w:val="dotted" w:sz="4" w:space="0" w:color="000000"/>
            </w:tcBorders>
            <w:shd w:val="clear" w:color="auto" w:fill="auto"/>
            <w:hideMark/>
          </w:tcPr>
          <w:p w14:paraId="4C483810"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$4,084 </w:t>
            </w:r>
          </w:p>
        </w:tc>
        <w:tc>
          <w:tcPr>
            <w:tcW w:w="1039" w:type="dxa"/>
            <w:tcBorders>
              <w:top w:val="single" w:sz="8" w:space="0" w:color="CCCCCC"/>
              <w:left w:val="single" w:sz="8" w:space="0" w:color="CCCCCC"/>
              <w:bottom w:val="single" w:sz="8" w:space="0" w:color="auto"/>
              <w:right w:val="dotted" w:sz="4" w:space="0" w:color="000000"/>
            </w:tcBorders>
            <w:shd w:val="clear" w:color="auto" w:fill="auto"/>
            <w:hideMark/>
          </w:tcPr>
          <w:p w14:paraId="099B8A0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$4,028.20 </w:t>
            </w:r>
          </w:p>
        </w:tc>
        <w:tc>
          <w:tcPr>
            <w:tcW w:w="1039" w:type="dxa"/>
            <w:tcBorders>
              <w:top w:val="single" w:sz="8" w:space="0" w:color="CCCCCC"/>
              <w:left w:val="single" w:sz="8" w:space="0" w:color="CCCCCC"/>
              <w:bottom w:val="single" w:sz="8" w:space="0" w:color="auto"/>
              <w:right w:val="dotted" w:sz="4" w:space="0" w:color="000000"/>
            </w:tcBorders>
            <w:shd w:val="clear" w:color="auto" w:fill="auto"/>
            <w:hideMark/>
          </w:tcPr>
          <w:p w14:paraId="2F0A8AE1"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$2,664 </w:t>
            </w:r>
          </w:p>
        </w:tc>
        <w:tc>
          <w:tcPr>
            <w:tcW w:w="1007" w:type="dxa"/>
            <w:tcBorders>
              <w:top w:val="single" w:sz="8" w:space="0" w:color="CCCCCC"/>
              <w:left w:val="single" w:sz="8" w:space="0" w:color="CCCCCC"/>
              <w:bottom w:val="single" w:sz="8" w:space="0" w:color="auto"/>
              <w:right w:val="dotted" w:sz="4" w:space="0" w:color="000000"/>
            </w:tcBorders>
            <w:shd w:val="clear" w:color="auto" w:fill="auto"/>
            <w:hideMark/>
          </w:tcPr>
          <w:p w14:paraId="427EA1E5"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32.95%</w:t>
            </w:r>
          </w:p>
        </w:tc>
        <w:tc>
          <w:tcPr>
            <w:tcW w:w="1007" w:type="dxa"/>
            <w:tcBorders>
              <w:top w:val="single" w:sz="8" w:space="0" w:color="CCCCCC"/>
              <w:left w:val="single" w:sz="8" w:space="0" w:color="CCCCCC"/>
              <w:bottom w:val="single" w:sz="8" w:space="0" w:color="auto"/>
              <w:right w:val="dotted" w:sz="4" w:space="0" w:color="000000"/>
            </w:tcBorders>
            <w:shd w:val="clear" w:color="auto" w:fill="auto"/>
            <w:hideMark/>
          </w:tcPr>
          <w:p w14:paraId="0F15A4F6"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5.00%</w:t>
            </w:r>
          </w:p>
        </w:tc>
        <w:tc>
          <w:tcPr>
            <w:tcW w:w="841" w:type="dxa"/>
            <w:tcBorders>
              <w:top w:val="single" w:sz="8" w:space="0" w:color="CCCCCC"/>
              <w:left w:val="single" w:sz="8" w:space="0" w:color="CCCCCC"/>
              <w:bottom w:val="single" w:sz="8" w:space="0" w:color="auto"/>
              <w:right w:val="dotted" w:sz="4" w:space="0" w:color="000000"/>
            </w:tcBorders>
            <w:shd w:val="clear" w:color="auto" w:fill="auto"/>
            <w:hideMark/>
          </w:tcPr>
          <w:p w14:paraId="4C6631E1"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15.30%</w:t>
            </w:r>
          </w:p>
        </w:tc>
        <w:tc>
          <w:tcPr>
            <w:tcW w:w="1060" w:type="dxa"/>
            <w:tcBorders>
              <w:top w:val="single" w:sz="8" w:space="0" w:color="CCCCCC"/>
              <w:left w:val="single" w:sz="8" w:space="0" w:color="CCCCCC"/>
              <w:bottom w:val="single" w:sz="8" w:space="0" w:color="auto"/>
              <w:right w:val="dotted" w:sz="4" w:space="0" w:color="000000"/>
            </w:tcBorders>
            <w:shd w:val="clear" w:color="auto" w:fill="auto"/>
            <w:hideMark/>
          </w:tcPr>
          <w:p w14:paraId="07946DA4"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$7,476.18 </w:t>
            </w:r>
          </w:p>
        </w:tc>
        <w:tc>
          <w:tcPr>
            <w:tcW w:w="1248" w:type="dxa"/>
            <w:tcBorders>
              <w:top w:val="single" w:sz="8" w:space="0" w:color="CCCCCC"/>
              <w:left w:val="single" w:sz="8" w:space="0" w:color="CCCCCC"/>
              <w:bottom w:val="single" w:sz="8" w:space="0" w:color="auto"/>
              <w:right w:val="single" w:sz="8" w:space="0" w:color="auto"/>
            </w:tcBorders>
            <w:shd w:val="clear" w:color="auto" w:fill="auto"/>
            <w:hideMark/>
          </w:tcPr>
          <w:p w14:paraId="643EEB71" w14:textId="77777777" w:rsidR="00D136EC" w:rsidRPr="0074445B" w:rsidRDefault="00D136EC" w:rsidP="00A16C68">
            <w:pPr>
              <w:spacing w:after="0" w:line="240" w:lineRule="auto"/>
              <w:jc w:val="both"/>
              <w:rPr>
                <w:rFonts w:ascii="Arial" w:eastAsia="Times New Roman" w:hAnsi="Arial" w:cs="Arial"/>
                <w:color w:val="000000"/>
                <w:kern w:val="0"/>
                <w:sz w:val="20"/>
                <w:szCs w:val="20"/>
                <w14:ligatures w14:val="none"/>
              </w:rPr>
            </w:pPr>
            <w:r w:rsidRPr="0074445B">
              <w:rPr>
                <w:rFonts w:ascii="Arial" w:eastAsia="Times New Roman" w:hAnsi="Arial" w:cs="Arial"/>
                <w:color w:val="000000"/>
                <w:kern w:val="0"/>
                <w:sz w:val="20"/>
                <w:szCs w:val="20"/>
                <w14:ligatures w14:val="none"/>
              </w:rPr>
              <w:t xml:space="preserve">$294,112.81 </w:t>
            </w:r>
          </w:p>
        </w:tc>
      </w:tr>
    </w:tbl>
    <w:p w14:paraId="02311F7E" w14:textId="43D0594D" w:rsidR="002A6493" w:rsidRPr="002F462A" w:rsidRDefault="002F462A" w:rsidP="008A0F28">
      <w:pPr>
        <w:jc w:val="both"/>
        <w:rPr>
          <w:rFonts w:ascii="Arial" w:hAnsi="Arial" w:cs="Arial"/>
          <w:b/>
          <w:bCs/>
          <w:color w:val="000000"/>
          <w:sz w:val="18"/>
          <w:szCs w:val="18"/>
          <w:u w:val="single"/>
        </w:rPr>
      </w:pPr>
      <w:r>
        <w:rPr>
          <w:rFonts w:ascii="Arial" w:hAnsi="Arial" w:cs="Arial"/>
          <w:b/>
          <w:bCs/>
          <w:color w:val="000000"/>
          <w:sz w:val="18"/>
          <w:szCs w:val="18"/>
          <w:u w:val="single"/>
        </w:rPr>
        <w:t>Table 1 showing the comparative and valuation analysis of the Technology Sector</w:t>
      </w:r>
    </w:p>
    <w:p w14:paraId="486EB652" w14:textId="77777777" w:rsidR="00FC5E0A" w:rsidRDefault="00FC5E0A" w:rsidP="00D136EC">
      <w:pPr>
        <w:jc w:val="both"/>
        <w:rPr>
          <w:rFonts w:ascii="Arial" w:hAnsi="Arial" w:cs="Arial"/>
          <w:color w:val="000000"/>
          <w:sz w:val="20"/>
          <w:szCs w:val="20"/>
        </w:rPr>
      </w:pPr>
    </w:p>
    <w:p w14:paraId="7246AC8D" w14:textId="362BC699" w:rsidR="00D136EC" w:rsidRPr="00A229D4" w:rsidRDefault="00D136EC" w:rsidP="00D136EC">
      <w:pPr>
        <w:jc w:val="both"/>
        <w:rPr>
          <w:rFonts w:ascii="Arial" w:hAnsi="Arial" w:cs="Arial"/>
          <w:b/>
          <w:bCs/>
          <w:color w:val="77206D" w:themeColor="accent5" w:themeShade="BF"/>
          <w:sz w:val="22"/>
          <w:szCs w:val="22"/>
        </w:rPr>
      </w:pPr>
      <w:r w:rsidRPr="00A229D4">
        <w:rPr>
          <w:rFonts w:ascii="Arial" w:hAnsi="Arial" w:cs="Arial"/>
          <w:b/>
          <w:bCs/>
          <w:color w:val="77206D" w:themeColor="accent5" w:themeShade="BF"/>
          <w:sz w:val="22"/>
          <w:szCs w:val="22"/>
        </w:rPr>
        <w:t xml:space="preserve">While both Jabil </w:t>
      </w:r>
      <w:r w:rsidR="00FC5E0A" w:rsidRPr="00A229D4">
        <w:rPr>
          <w:rFonts w:ascii="Arial" w:hAnsi="Arial" w:cs="Arial"/>
          <w:b/>
          <w:bCs/>
          <w:color w:val="77206D" w:themeColor="accent5" w:themeShade="BF"/>
          <w:sz w:val="22"/>
          <w:szCs w:val="22"/>
        </w:rPr>
        <w:t xml:space="preserve">Inc </w:t>
      </w:r>
      <w:r w:rsidRPr="00A229D4">
        <w:rPr>
          <w:rFonts w:ascii="Arial" w:hAnsi="Arial" w:cs="Arial"/>
          <w:b/>
          <w:bCs/>
          <w:color w:val="77206D" w:themeColor="accent5" w:themeShade="BF"/>
          <w:sz w:val="22"/>
          <w:szCs w:val="22"/>
        </w:rPr>
        <w:t>(JBL) and Flex</w:t>
      </w:r>
      <w:r w:rsidR="00FC5E0A" w:rsidRPr="00A229D4">
        <w:rPr>
          <w:rFonts w:ascii="Arial" w:hAnsi="Arial" w:cs="Arial"/>
          <w:b/>
          <w:bCs/>
          <w:color w:val="77206D" w:themeColor="accent5" w:themeShade="BF"/>
          <w:sz w:val="22"/>
          <w:szCs w:val="22"/>
        </w:rPr>
        <w:t xml:space="preserve"> Ltd</w:t>
      </w:r>
      <w:r w:rsidRPr="00A229D4">
        <w:rPr>
          <w:rFonts w:ascii="Arial" w:hAnsi="Arial" w:cs="Arial"/>
          <w:b/>
          <w:bCs/>
          <w:color w:val="77206D" w:themeColor="accent5" w:themeShade="BF"/>
          <w:sz w:val="22"/>
          <w:szCs w:val="22"/>
        </w:rPr>
        <w:t xml:space="preserve"> (FLEX) boast low P/E ratios, </w:t>
      </w:r>
      <w:r w:rsidR="00FC5E0A" w:rsidRPr="00A229D4">
        <w:rPr>
          <w:rFonts w:ascii="Arial" w:hAnsi="Arial" w:cs="Arial"/>
          <w:b/>
          <w:bCs/>
          <w:color w:val="77206D" w:themeColor="accent5" w:themeShade="BF"/>
          <w:sz w:val="22"/>
          <w:szCs w:val="22"/>
        </w:rPr>
        <w:t>JBL, a potential undervalued Gem,</w:t>
      </w:r>
      <w:r w:rsidRPr="00A229D4">
        <w:rPr>
          <w:rFonts w:ascii="Arial" w:hAnsi="Arial" w:cs="Arial"/>
          <w:b/>
          <w:bCs/>
          <w:color w:val="77206D" w:themeColor="accent5" w:themeShade="BF"/>
          <w:sz w:val="22"/>
          <w:szCs w:val="22"/>
        </w:rPr>
        <w:t xml:space="preserve"> </w:t>
      </w:r>
      <w:proofErr w:type="gramStart"/>
      <w:r w:rsidRPr="00A229D4">
        <w:rPr>
          <w:rFonts w:ascii="Arial" w:hAnsi="Arial" w:cs="Arial"/>
          <w:b/>
          <w:bCs/>
          <w:color w:val="77206D" w:themeColor="accent5" w:themeShade="BF"/>
          <w:sz w:val="22"/>
          <w:szCs w:val="22"/>
        </w:rPr>
        <w:t>emerges</w:t>
      </w:r>
      <w:proofErr w:type="gramEnd"/>
      <w:r w:rsidRPr="00A229D4">
        <w:rPr>
          <w:rFonts w:ascii="Arial" w:hAnsi="Arial" w:cs="Arial"/>
          <w:b/>
          <w:bCs/>
          <w:color w:val="77206D" w:themeColor="accent5" w:themeShade="BF"/>
          <w:sz w:val="22"/>
          <w:szCs w:val="22"/>
        </w:rPr>
        <w:t xml:space="preserve"> as the more potentially undervalued company within this sector. Despite a slightly higher P/E ratio, Jabil's significantly higher Return on Equity (ROE) and gross profit </w:t>
      </w:r>
      <w:proofErr w:type="gramStart"/>
      <w:r w:rsidRPr="00A229D4">
        <w:rPr>
          <w:rFonts w:ascii="Arial" w:hAnsi="Arial" w:cs="Arial"/>
          <w:b/>
          <w:bCs/>
          <w:color w:val="77206D" w:themeColor="accent5" w:themeShade="BF"/>
          <w:sz w:val="22"/>
          <w:szCs w:val="22"/>
        </w:rPr>
        <w:t>indicate</w:t>
      </w:r>
      <w:proofErr w:type="gramEnd"/>
      <w:r w:rsidRPr="00A229D4">
        <w:rPr>
          <w:rFonts w:ascii="Arial" w:hAnsi="Arial" w:cs="Arial"/>
          <w:b/>
          <w:bCs/>
          <w:color w:val="77206D" w:themeColor="accent5" w:themeShade="BF"/>
          <w:sz w:val="22"/>
          <w:szCs w:val="22"/>
        </w:rPr>
        <w:t xml:space="preserve"> superior operational efficiency and profitability. Additionally, its projected value further strengthens the case for its strong future potential.</w:t>
      </w:r>
    </w:p>
    <w:p w14:paraId="3D9B01B1" w14:textId="1E5CAAB4" w:rsidR="00D136EC" w:rsidRPr="000969DA" w:rsidRDefault="002F462A" w:rsidP="00D136EC">
      <w:pPr>
        <w:jc w:val="both"/>
        <w:rPr>
          <w:rFonts w:ascii="Arial" w:hAnsi="Arial" w:cs="Arial"/>
          <w:b/>
          <w:bCs/>
          <w:color w:val="000000"/>
          <w:sz w:val="22"/>
          <w:szCs w:val="22"/>
        </w:rPr>
      </w:pPr>
      <w:r w:rsidRPr="000969DA">
        <w:rPr>
          <w:rFonts w:ascii="Arial" w:hAnsi="Arial" w:cs="Arial"/>
          <w:b/>
          <w:bCs/>
          <w:color w:val="000000"/>
          <w:sz w:val="22"/>
          <w:szCs w:val="22"/>
        </w:rPr>
        <w:t>3.1.</w:t>
      </w:r>
      <w:r w:rsidR="0096322C">
        <w:rPr>
          <w:rFonts w:ascii="Arial" w:hAnsi="Arial" w:cs="Arial"/>
          <w:b/>
          <w:bCs/>
          <w:color w:val="000000"/>
          <w:sz w:val="22"/>
          <w:szCs w:val="22"/>
        </w:rPr>
        <w:t>1</w:t>
      </w:r>
      <w:r w:rsidRPr="000969DA">
        <w:rPr>
          <w:rFonts w:ascii="Arial" w:hAnsi="Arial" w:cs="Arial"/>
          <w:b/>
          <w:bCs/>
          <w:color w:val="000000"/>
          <w:sz w:val="22"/>
          <w:szCs w:val="22"/>
        </w:rPr>
        <w:t xml:space="preserve"> </w:t>
      </w:r>
      <w:r w:rsidR="00D136EC" w:rsidRPr="000969DA">
        <w:rPr>
          <w:rFonts w:ascii="Arial" w:hAnsi="Arial" w:cs="Arial"/>
          <w:b/>
          <w:bCs/>
          <w:color w:val="000000"/>
          <w:sz w:val="22"/>
          <w:szCs w:val="22"/>
        </w:rPr>
        <w:t>Technological Advancement: A Key Driver</w:t>
      </w:r>
    </w:p>
    <w:p w14:paraId="5FABED41" w14:textId="63AF68FD" w:rsidR="00D136EC" w:rsidRPr="000969DA" w:rsidRDefault="00D136EC" w:rsidP="00D136EC">
      <w:pPr>
        <w:jc w:val="both"/>
        <w:rPr>
          <w:rFonts w:ascii="Arial" w:hAnsi="Arial" w:cs="Arial"/>
          <w:color w:val="000000"/>
          <w:sz w:val="22"/>
          <w:szCs w:val="22"/>
        </w:rPr>
      </w:pPr>
      <w:r w:rsidRPr="000969DA">
        <w:rPr>
          <w:rFonts w:ascii="Arial" w:hAnsi="Arial" w:cs="Arial"/>
          <w:color w:val="000000"/>
          <w:sz w:val="22"/>
          <w:szCs w:val="22"/>
        </w:rPr>
        <w:t xml:space="preserve">This analysis incorporates an </w:t>
      </w:r>
      <w:proofErr w:type="gramStart"/>
      <w:r w:rsidRPr="000969DA">
        <w:rPr>
          <w:rFonts w:ascii="Arial" w:hAnsi="Arial" w:cs="Arial"/>
          <w:color w:val="000000"/>
          <w:sz w:val="22"/>
          <w:szCs w:val="22"/>
        </w:rPr>
        <w:t>additional</w:t>
      </w:r>
      <w:proofErr w:type="gramEnd"/>
      <w:r w:rsidRPr="000969DA">
        <w:rPr>
          <w:rFonts w:ascii="Arial" w:hAnsi="Arial" w:cs="Arial"/>
          <w:color w:val="000000"/>
          <w:sz w:val="22"/>
          <w:szCs w:val="22"/>
        </w:rPr>
        <w:t xml:space="preserve"> variable – Technological Advancement and R&amp;D Investments. This factor plays a crucial role in the Electronics and Components industry, where rapid advancements propel growth and profitability. Companies that adapt and innovate through continuous R&amp;D investment are likely to capture an increased market share.</w:t>
      </w:r>
    </w:p>
    <w:p w14:paraId="2F50BA2C" w14:textId="5B5B9809" w:rsidR="00D136EC" w:rsidRPr="000969DA" w:rsidRDefault="00D136EC" w:rsidP="00D136EC">
      <w:pPr>
        <w:jc w:val="both"/>
        <w:rPr>
          <w:rFonts w:ascii="Arial" w:hAnsi="Arial" w:cs="Arial"/>
          <w:b/>
          <w:bCs/>
          <w:color w:val="000000"/>
          <w:sz w:val="22"/>
          <w:szCs w:val="22"/>
        </w:rPr>
      </w:pPr>
      <w:r w:rsidRPr="000969DA">
        <w:rPr>
          <w:rFonts w:ascii="Arial" w:hAnsi="Arial" w:cs="Arial"/>
          <w:b/>
          <w:bCs/>
          <w:color w:val="000000"/>
          <w:sz w:val="22"/>
          <w:szCs w:val="22"/>
        </w:rPr>
        <w:t>J</w:t>
      </w:r>
      <w:r w:rsidR="00FC5E0A" w:rsidRPr="000969DA">
        <w:rPr>
          <w:rFonts w:ascii="Arial" w:hAnsi="Arial" w:cs="Arial"/>
          <w:b/>
          <w:bCs/>
          <w:color w:val="000000"/>
          <w:sz w:val="22"/>
          <w:szCs w:val="22"/>
        </w:rPr>
        <w:t>BL</w:t>
      </w:r>
      <w:r w:rsidRPr="000969DA">
        <w:rPr>
          <w:rFonts w:ascii="Arial" w:hAnsi="Arial" w:cs="Arial"/>
          <w:b/>
          <w:bCs/>
          <w:color w:val="000000"/>
          <w:sz w:val="22"/>
          <w:szCs w:val="22"/>
        </w:rPr>
        <w:t>'s Commitment to Innovation</w:t>
      </w:r>
    </w:p>
    <w:p w14:paraId="4702ECBF" w14:textId="2F1F5312" w:rsidR="00D136EC" w:rsidRPr="000969DA" w:rsidRDefault="00D136EC" w:rsidP="00D136EC">
      <w:pPr>
        <w:jc w:val="both"/>
        <w:rPr>
          <w:rFonts w:ascii="Arial" w:hAnsi="Arial" w:cs="Arial"/>
          <w:color w:val="000000"/>
          <w:sz w:val="22"/>
          <w:szCs w:val="22"/>
        </w:rPr>
      </w:pPr>
      <w:r w:rsidRPr="000969DA">
        <w:rPr>
          <w:rFonts w:ascii="Arial" w:hAnsi="Arial" w:cs="Arial"/>
          <w:color w:val="000000"/>
          <w:sz w:val="22"/>
          <w:szCs w:val="22"/>
        </w:rPr>
        <w:t xml:space="preserve">Jabil's </w:t>
      </w:r>
      <w:hyperlink r:id="rId13" w:history="1">
        <w:r w:rsidRPr="000969DA">
          <w:rPr>
            <w:rStyle w:val="Hyperlink"/>
            <w:rFonts w:ascii="Arial" w:hAnsi="Arial" w:cs="Arial"/>
            <w:sz w:val="22"/>
            <w:szCs w:val="22"/>
          </w:rPr>
          <w:t>historical data</w:t>
        </w:r>
      </w:hyperlink>
      <w:r w:rsidRPr="000969DA">
        <w:rPr>
          <w:rFonts w:ascii="Arial" w:hAnsi="Arial" w:cs="Arial"/>
          <w:color w:val="000000"/>
          <w:sz w:val="22"/>
          <w:szCs w:val="22"/>
        </w:rPr>
        <w:t xml:space="preserve"> on R&amp;D expenditures reveals a  strong dedication to innovation. Here</w:t>
      </w:r>
      <w:r w:rsidR="00FC5E0A" w:rsidRPr="000969DA">
        <w:rPr>
          <w:rFonts w:ascii="Arial" w:hAnsi="Arial" w:cs="Arial"/>
          <w:color w:val="000000"/>
          <w:sz w:val="22"/>
          <w:szCs w:val="22"/>
        </w:rPr>
        <w:t xml:space="preserve"> i</w:t>
      </w:r>
      <w:r w:rsidRPr="000969DA">
        <w:rPr>
          <w:rFonts w:ascii="Arial" w:hAnsi="Arial" w:cs="Arial"/>
          <w:color w:val="000000"/>
          <w:sz w:val="22"/>
          <w:szCs w:val="22"/>
        </w:rPr>
        <w:t>s a breakdown of the supporting evidence:</w:t>
      </w:r>
    </w:p>
    <w:p w14:paraId="56412F28" w14:textId="77777777" w:rsidR="00D136EC" w:rsidRPr="000969DA" w:rsidRDefault="00D136EC" w:rsidP="00D136EC">
      <w:pPr>
        <w:jc w:val="both"/>
        <w:rPr>
          <w:rFonts w:ascii="Arial" w:hAnsi="Arial" w:cs="Arial"/>
          <w:color w:val="000000"/>
          <w:sz w:val="22"/>
          <w:szCs w:val="22"/>
        </w:rPr>
      </w:pPr>
    </w:p>
    <w:p w14:paraId="1DBAEE38" w14:textId="29BBC7CF"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Recent Growth in R&amp;D Expenses:</w:t>
      </w:r>
      <w:r w:rsidRPr="000969DA">
        <w:rPr>
          <w:rFonts w:ascii="Arial" w:hAnsi="Arial" w:cs="Arial"/>
          <w:color w:val="000000"/>
          <w:sz w:val="22"/>
          <w:szCs w:val="22"/>
        </w:rPr>
        <w:t xml:space="preserve"> </w:t>
      </w:r>
      <w:r w:rsidR="00FC5E0A" w:rsidRPr="000969DA">
        <w:rPr>
          <w:rFonts w:ascii="Arial" w:hAnsi="Arial" w:cs="Arial"/>
          <w:color w:val="000000"/>
          <w:sz w:val="22"/>
          <w:szCs w:val="22"/>
        </w:rPr>
        <w:t>JBL's</w:t>
      </w:r>
      <w:r w:rsidRPr="000969DA">
        <w:rPr>
          <w:rFonts w:ascii="Arial" w:hAnsi="Arial" w:cs="Arial"/>
          <w:color w:val="000000"/>
          <w:sz w:val="22"/>
          <w:szCs w:val="22"/>
        </w:rPr>
        <w:t xml:space="preserve"> R&amp;D expenses displayed a significant increase year-over-year (YoY), showcasing a commitment to staying ahead of the curve.</w:t>
      </w:r>
    </w:p>
    <w:p w14:paraId="2751A845" w14:textId="4726F2ED" w:rsidR="00D136EC" w:rsidRPr="000969DA" w:rsidRDefault="00D136EC" w:rsidP="00FC5E0A">
      <w:pPr>
        <w:pStyle w:val="ListParagraph"/>
        <w:numPr>
          <w:ilvl w:val="0"/>
          <w:numId w:val="9"/>
        </w:numPr>
        <w:jc w:val="both"/>
        <w:rPr>
          <w:rFonts w:ascii="Arial" w:hAnsi="Arial" w:cs="Arial"/>
          <w:color w:val="000000"/>
          <w:sz w:val="22"/>
          <w:szCs w:val="22"/>
        </w:rPr>
      </w:pPr>
      <w:r w:rsidRPr="000969DA">
        <w:rPr>
          <w:rFonts w:ascii="Arial" w:hAnsi="Arial" w:cs="Arial"/>
          <w:color w:val="000000"/>
          <w:sz w:val="22"/>
          <w:szCs w:val="22"/>
        </w:rPr>
        <w:t>Q1 2024: 12.5% YoY increase.</w:t>
      </w:r>
    </w:p>
    <w:p w14:paraId="02B13550" w14:textId="77777777" w:rsidR="00D136EC" w:rsidRPr="000969DA" w:rsidRDefault="00D136EC" w:rsidP="00FC5E0A">
      <w:pPr>
        <w:pStyle w:val="ListParagraph"/>
        <w:numPr>
          <w:ilvl w:val="0"/>
          <w:numId w:val="9"/>
        </w:numPr>
        <w:jc w:val="both"/>
        <w:rPr>
          <w:rFonts w:ascii="Arial" w:hAnsi="Arial" w:cs="Arial"/>
          <w:color w:val="000000"/>
          <w:sz w:val="22"/>
          <w:szCs w:val="22"/>
        </w:rPr>
      </w:pPr>
      <w:r w:rsidRPr="000969DA">
        <w:rPr>
          <w:rFonts w:ascii="Arial" w:hAnsi="Arial" w:cs="Arial"/>
          <w:color w:val="000000"/>
          <w:sz w:val="22"/>
          <w:szCs w:val="22"/>
        </w:rPr>
        <w:lastRenderedPageBreak/>
        <w:t>12 months ending May 2024: 15.15% YoY increase.</w:t>
      </w:r>
    </w:p>
    <w:p w14:paraId="6356F429" w14:textId="6AA18179"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Steady Annual Increases:</w:t>
      </w:r>
      <w:r w:rsidRPr="000969DA">
        <w:rPr>
          <w:rFonts w:ascii="Arial" w:hAnsi="Arial" w:cs="Arial"/>
          <w:color w:val="000000"/>
          <w:sz w:val="22"/>
          <w:szCs w:val="22"/>
        </w:rPr>
        <w:t xml:space="preserve"> J</w:t>
      </w:r>
      <w:r w:rsidR="00FC5E0A" w:rsidRPr="000969DA">
        <w:rPr>
          <w:rFonts w:ascii="Arial" w:hAnsi="Arial" w:cs="Arial"/>
          <w:color w:val="000000"/>
          <w:sz w:val="22"/>
          <w:szCs w:val="22"/>
        </w:rPr>
        <w:t>BL</w:t>
      </w:r>
      <w:r w:rsidRPr="000969DA">
        <w:rPr>
          <w:rFonts w:ascii="Arial" w:hAnsi="Arial" w:cs="Arial"/>
          <w:color w:val="000000"/>
          <w:sz w:val="22"/>
          <w:szCs w:val="22"/>
        </w:rPr>
        <w:t xml:space="preserve"> consistently invests in R&amp;D, with annual expenses </w:t>
      </w:r>
      <w:r w:rsidR="00FC5E0A" w:rsidRPr="000969DA">
        <w:rPr>
          <w:rFonts w:ascii="Arial" w:hAnsi="Arial" w:cs="Arial"/>
          <w:color w:val="000000"/>
          <w:sz w:val="22"/>
          <w:szCs w:val="22"/>
        </w:rPr>
        <w:t>showing</w:t>
      </w:r>
      <w:r w:rsidRPr="000969DA">
        <w:rPr>
          <w:rFonts w:ascii="Arial" w:hAnsi="Arial" w:cs="Arial"/>
          <w:color w:val="000000"/>
          <w:sz w:val="22"/>
          <w:szCs w:val="22"/>
        </w:rPr>
        <w:t xml:space="preserve"> a positive trend:</w:t>
      </w:r>
    </w:p>
    <w:p w14:paraId="19E1A849" w14:textId="77777777" w:rsidR="00D136EC" w:rsidRPr="000969DA" w:rsidRDefault="00D136EC" w:rsidP="00FC5E0A">
      <w:pPr>
        <w:pStyle w:val="ListParagraph"/>
        <w:numPr>
          <w:ilvl w:val="0"/>
          <w:numId w:val="10"/>
        </w:numPr>
        <w:jc w:val="both"/>
        <w:rPr>
          <w:rFonts w:ascii="Arial" w:hAnsi="Arial" w:cs="Arial"/>
          <w:color w:val="000000"/>
          <w:sz w:val="22"/>
          <w:szCs w:val="22"/>
        </w:rPr>
      </w:pPr>
      <w:r w:rsidRPr="000969DA">
        <w:rPr>
          <w:rFonts w:ascii="Arial" w:hAnsi="Arial" w:cs="Arial"/>
          <w:color w:val="000000"/>
          <w:sz w:val="22"/>
          <w:szCs w:val="22"/>
        </w:rPr>
        <w:t>2023: 3.03% increase from 2022.</w:t>
      </w:r>
    </w:p>
    <w:p w14:paraId="0101A568" w14:textId="77777777" w:rsidR="00D136EC" w:rsidRPr="000969DA" w:rsidRDefault="00D136EC" w:rsidP="00FC5E0A">
      <w:pPr>
        <w:pStyle w:val="ListParagraph"/>
        <w:numPr>
          <w:ilvl w:val="0"/>
          <w:numId w:val="10"/>
        </w:numPr>
        <w:jc w:val="both"/>
        <w:rPr>
          <w:rFonts w:ascii="Arial" w:hAnsi="Arial" w:cs="Arial"/>
          <w:color w:val="000000"/>
          <w:sz w:val="22"/>
          <w:szCs w:val="22"/>
        </w:rPr>
      </w:pPr>
      <w:r w:rsidRPr="000969DA">
        <w:rPr>
          <w:rFonts w:ascii="Arial" w:hAnsi="Arial" w:cs="Arial"/>
          <w:color w:val="000000"/>
          <w:sz w:val="22"/>
          <w:szCs w:val="22"/>
        </w:rPr>
        <w:t>2022: Slight decline from 2021, followed by a significant rebound in 2024.</w:t>
      </w:r>
    </w:p>
    <w:p w14:paraId="373332B1" w14:textId="0EBB4E02"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Long-term Innovation Focus:</w:t>
      </w:r>
      <w:r w:rsidRPr="000969DA">
        <w:rPr>
          <w:rFonts w:ascii="Arial" w:hAnsi="Arial" w:cs="Arial"/>
          <w:color w:val="000000"/>
          <w:sz w:val="22"/>
          <w:szCs w:val="22"/>
        </w:rPr>
        <w:t xml:space="preserve"> Despite fluctuations, J</w:t>
      </w:r>
      <w:r w:rsidR="00FC5E0A" w:rsidRPr="000969DA">
        <w:rPr>
          <w:rFonts w:ascii="Arial" w:hAnsi="Arial" w:cs="Arial"/>
          <w:color w:val="000000"/>
          <w:sz w:val="22"/>
          <w:szCs w:val="22"/>
        </w:rPr>
        <w:t>BL</w:t>
      </w:r>
      <w:r w:rsidRPr="000969DA">
        <w:rPr>
          <w:rFonts w:ascii="Arial" w:hAnsi="Arial" w:cs="Arial"/>
          <w:color w:val="000000"/>
          <w:sz w:val="22"/>
          <w:szCs w:val="22"/>
        </w:rPr>
        <w:t>'s consistent investment in R&amp;D highlights a long-term vision for staying at the forefront of technological advancements.</w:t>
      </w:r>
    </w:p>
    <w:p w14:paraId="3E864934" w14:textId="741518CA" w:rsidR="00D136EC" w:rsidRPr="000969DA" w:rsidRDefault="002F462A" w:rsidP="00D136EC">
      <w:pPr>
        <w:jc w:val="both"/>
        <w:rPr>
          <w:rFonts w:ascii="Arial" w:hAnsi="Arial" w:cs="Arial"/>
          <w:b/>
          <w:bCs/>
          <w:color w:val="000000"/>
          <w:sz w:val="22"/>
          <w:szCs w:val="22"/>
        </w:rPr>
      </w:pPr>
      <w:r w:rsidRPr="000969DA">
        <w:rPr>
          <w:rFonts w:ascii="Arial" w:hAnsi="Arial" w:cs="Arial"/>
          <w:b/>
          <w:bCs/>
          <w:color w:val="000000"/>
          <w:sz w:val="22"/>
          <w:szCs w:val="22"/>
        </w:rPr>
        <w:t>3.1.</w:t>
      </w:r>
      <w:r w:rsidR="0096322C">
        <w:rPr>
          <w:rFonts w:ascii="Arial" w:hAnsi="Arial" w:cs="Arial"/>
          <w:b/>
          <w:bCs/>
          <w:color w:val="000000"/>
          <w:sz w:val="22"/>
          <w:szCs w:val="22"/>
        </w:rPr>
        <w:t>2</w:t>
      </w:r>
      <w:r w:rsidRPr="000969DA">
        <w:rPr>
          <w:rFonts w:ascii="Arial" w:hAnsi="Arial" w:cs="Arial"/>
          <w:b/>
          <w:bCs/>
          <w:color w:val="000000"/>
          <w:sz w:val="22"/>
          <w:szCs w:val="22"/>
        </w:rPr>
        <w:t xml:space="preserve"> </w:t>
      </w:r>
      <w:r w:rsidR="00D136EC" w:rsidRPr="000969DA">
        <w:rPr>
          <w:rFonts w:ascii="Arial" w:hAnsi="Arial" w:cs="Arial"/>
          <w:b/>
          <w:bCs/>
          <w:color w:val="000000"/>
          <w:sz w:val="22"/>
          <w:szCs w:val="22"/>
        </w:rPr>
        <w:t>Justifying a Growth Boost</w:t>
      </w:r>
    </w:p>
    <w:p w14:paraId="3177BD96" w14:textId="00F3AB3E" w:rsidR="00D136EC" w:rsidRPr="000969DA" w:rsidRDefault="00D136EC" w:rsidP="00D136EC">
      <w:pPr>
        <w:jc w:val="both"/>
        <w:rPr>
          <w:rFonts w:ascii="Arial" w:hAnsi="Arial" w:cs="Arial"/>
          <w:color w:val="000000"/>
          <w:sz w:val="22"/>
          <w:szCs w:val="22"/>
        </w:rPr>
      </w:pPr>
      <w:r w:rsidRPr="000969DA">
        <w:rPr>
          <w:rFonts w:ascii="Arial" w:hAnsi="Arial" w:cs="Arial"/>
          <w:color w:val="000000"/>
          <w:sz w:val="22"/>
          <w:szCs w:val="22"/>
        </w:rPr>
        <w:t xml:space="preserve">Considering the consistent rise in R&amp;D expenditure, particularly the recent substantial YoY growth rates, applying a moderate 5% increase to Jabil's CAGR is justified. This adjustment reflects the company's ongoing efforts to enhance its technological capabilities and </w:t>
      </w:r>
      <w:proofErr w:type="gramStart"/>
      <w:r w:rsidRPr="000969DA">
        <w:rPr>
          <w:rFonts w:ascii="Arial" w:hAnsi="Arial" w:cs="Arial"/>
          <w:color w:val="000000"/>
          <w:sz w:val="22"/>
          <w:szCs w:val="22"/>
        </w:rPr>
        <w:t>maintain</w:t>
      </w:r>
      <w:proofErr w:type="gramEnd"/>
      <w:r w:rsidRPr="000969DA">
        <w:rPr>
          <w:rFonts w:ascii="Arial" w:hAnsi="Arial" w:cs="Arial"/>
          <w:color w:val="000000"/>
          <w:sz w:val="22"/>
          <w:szCs w:val="22"/>
        </w:rPr>
        <w:t xml:space="preserve"> its competitive edge in this dynamic market.</w:t>
      </w:r>
    </w:p>
    <w:p w14:paraId="59B0E594" w14:textId="486C1767" w:rsidR="00D136EC" w:rsidRPr="000969DA" w:rsidRDefault="002F462A" w:rsidP="00D136EC">
      <w:pPr>
        <w:jc w:val="both"/>
        <w:rPr>
          <w:rFonts w:ascii="Arial" w:hAnsi="Arial" w:cs="Arial"/>
          <w:b/>
          <w:bCs/>
          <w:color w:val="000000"/>
          <w:sz w:val="22"/>
          <w:szCs w:val="22"/>
        </w:rPr>
      </w:pPr>
      <w:r w:rsidRPr="000969DA">
        <w:rPr>
          <w:rFonts w:ascii="Arial" w:hAnsi="Arial" w:cs="Arial"/>
          <w:b/>
          <w:bCs/>
          <w:color w:val="000000"/>
          <w:sz w:val="22"/>
          <w:szCs w:val="22"/>
        </w:rPr>
        <w:t>3.1.</w:t>
      </w:r>
      <w:r w:rsidR="0096322C">
        <w:rPr>
          <w:rFonts w:ascii="Arial" w:hAnsi="Arial" w:cs="Arial"/>
          <w:b/>
          <w:bCs/>
          <w:color w:val="000000"/>
          <w:sz w:val="22"/>
          <w:szCs w:val="22"/>
        </w:rPr>
        <w:t>3</w:t>
      </w:r>
      <w:r w:rsidRPr="000969DA">
        <w:rPr>
          <w:rFonts w:ascii="Arial" w:hAnsi="Arial" w:cs="Arial"/>
          <w:b/>
          <w:bCs/>
          <w:color w:val="000000"/>
          <w:sz w:val="22"/>
          <w:szCs w:val="22"/>
        </w:rPr>
        <w:t xml:space="preserve"> </w:t>
      </w:r>
      <w:r w:rsidR="00D136EC" w:rsidRPr="000969DA">
        <w:rPr>
          <w:rFonts w:ascii="Arial" w:hAnsi="Arial" w:cs="Arial"/>
          <w:b/>
          <w:bCs/>
          <w:color w:val="000000"/>
          <w:sz w:val="22"/>
          <w:szCs w:val="22"/>
        </w:rPr>
        <w:t>Updated Valuation</w:t>
      </w:r>
    </w:p>
    <w:p w14:paraId="7264408B" w14:textId="77777777" w:rsidR="00D136EC" w:rsidRPr="000969DA" w:rsidRDefault="00D136EC" w:rsidP="00D136EC">
      <w:pPr>
        <w:jc w:val="both"/>
        <w:rPr>
          <w:rFonts w:ascii="Arial" w:hAnsi="Arial" w:cs="Arial"/>
          <w:color w:val="000000"/>
          <w:sz w:val="22"/>
          <w:szCs w:val="22"/>
        </w:rPr>
      </w:pPr>
    </w:p>
    <w:p w14:paraId="0B0D1647" w14:textId="77777777"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Updated CAGR</w:t>
      </w:r>
      <w:r w:rsidRPr="000969DA">
        <w:rPr>
          <w:rFonts w:ascii="Arial" w:hAnsi="Arial" w:cs="Arial"/>
          <w:color w:val="000000"/>
          <w:sz w:val="22"/>
          <w:szCs w:val="22"/>
        </w:rPr>
        <w:t>: 14.08% + 5% = 19.08%</w:t>
      </w:r>
    </w:p>
    <w:p w14:paraId="101C45FD" w14:textId="77777777"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Updated Projected Gross Profit (4 Years):</w:t>
      </w:r>
      <w:r w:rsidRPr="000969DA">
        <w:rPr>
          <w:rFonts w:ascii="Arial" w:hAnsi="Arial" w:cs="Arial"/>
          <w:color w:val="000000"/>
          <w:sz w:val="22"/>
          <w:szCs w:val="22"/>
        </w:rPr>
        <w:t xml:space="preserve"> $5,589 million</w:t>
      </w:r>
    </w:p>
    <w:p w14:paraId="2C67E496" w14:textId="4C814502" w:rsidR="00D136EC" w:rsidRPr="000969DA" w:rsidRDefault="00D136EC" w:rsidP="00D136EC">
      <w:pPr>
        <w:jc w:val="both"/>
        <w:rPr>
          <w:rFonts w:ascii="Arial" w:hAnsi="Arial" w:cs="Arial"/>
          <w:color w:val="000000"/>
          <w:sz w:val="22"/>
          <w:szCs w:val="22"/>
        </w:rPr>
      </w:pPr>
      <w:r w:rsidRPr="000969DA">
        <w:rPr>
          <w:rFonts w:ascii="Arial" w:hAnsi="Arial" w:cs="Arial"/>
          <w:b/>
          <w:bCs/>
          <w:color w:val="000000"/>
          <w:sz w:val="22"/>
          <w:szCs w:val="22"/>
        </w:rPr>
        <w:t>Updated Projected Value (4 Years):</w:t>
      </w:r>
      <w:r w:rsidRPr="000969DA">
        <w:rPr>
          <w:rFonts w:ascii="Arial" w:hAnsi="Arial" w:cs="Arial"/>
          <w:color w:val="000000"/>
          <w:sz w:val="22"/>
          <w:szCs w:val="22"/>
        </w:rPr>
        <w:t xml:space="preserve"> $56,233 million</w:t>
      </w:r>
    </w:p>
    <w:p w14:paraId="335C88E4" w14:textId="4C37333D" w:rsidR="000969DA" w:rsidRDefault="00D136EC" w:rsidP="00D136EC">
      <w:pPr>
        <w:jc w:val="both"/>
        <w:rPr>
          <w:rFonts w:ascii="Arial" w:hAnsi="Arial" w:cs="Arial"/>
          <w:color w:val="000000"/>
          <w:sz w:val="22"/>
          <w:szCs w:val="22"/>
        </w:rPr>
      </w:pPr>
      <w:r w:rsidRPr="000969DA">
        <w:rPr>
          <w:rFonts w:ascii="Arial" w:hAnsi="Arial" w:cs="Arial"/>
          <w:color w:val="000000"/>
          <w:sz w:val="22"/>
          <w:szCs w:val="22"/>
        </w:rPr>
        <w:t xml:space="preserve">By incorporating the </w:t>
      </w:r>
      <w:proofErr w:type="gramStart"/>
      <w:r w:rsidRPr="000969DA">
        <w:rPr>
          <w:rFonts w:ascii="Arial" w:hAnsi="Arial" w:cs="Arial"/>
          <w:color w:val="000000"/>
          <w:sz w:val="22"/>
          <w:szCs w:val="22"/>
        </w:rPr>
        <w:t>additional</w:t>
      </w:r>
      <w:proofErr w:type="gramEnd"/>
      <w:r w:rsidRPr="000969DA">
        <w:rPr>
          <w:rFonts w:ascii="Arial" w:hAnsi="Arial" w:cs="Arial"/>
          <w:color w:val="000000"/>
          <w:sz w:val="22"/>
          <w:szCs w:val="22"/>
        </w:rPr>
        <w:t xml:space="preserve"> variable of Technological Advancement and R&amp;D Investments, </w:t>
      </w:r>
      <w:r w:rsidR="000969DA" w:rsidRPr="000969DA">
        <w:rPr>
          <w:rFonts w:ascii="Arial" w:hAnsi="Arial" w:cs="Arial"/>
          <w:color w:val="000000"/>
          <w:sz w:val="22"/>
          <w:szCs w:val="22"/>
        </w:rPr>
        <w:t>JBL's</w:t>
      </w:r>
      <w:r w:rsidRPr="000969DA">
        <w:rPr>
          <w:rFonts w:ascii="Arial" w:hAnsi="Arial" w:cs="Arial"/>
          <w:color w:val="000000"/>
          <w:sz w:val="22"/>
          <w:szCs w:val="22"/>
        </w:rPr>
        <w:t xml:space="preserve"> case for being an undervalued company is further strengthened. The moderate CAGR boost reflects a realistic growth trajectory, solidifying </w:t>
      </w:r>
      <w:r w:rsidR="000969DA" w:rsidRPr="000969DA">
        <w:rPr>
          <w:rFonts w:ascii="Arial" w:hAnsi="Arial" w:cs="Arial"/>
          <w:color w:val="000000"/>
          <w:sz w:val="22"/>
          <w:szCs w:val="22"/>
        </w:rPr>
        <w:t>JBL'</w:t>
      </w:r>
      <w:r w:rsidRPr="000969DA">
        <w:rPr>
          <w:rFonts w:ascii="Arial" w:hAnsi="Arial" w:cs="Arial"/>
          <w:color w:val="000000"/>
          <w:sz w:val="22"/>
          <w:szCs w:val="22"/>
        </w:rPr>
        <w:t>s position as a potentially undervalued gem within the Technology sector.</w:t>
      </w:r>
    </w:p>
    <w:p w14:paraId="5AD8E161" w14:textId="77777777" w:rsidR="000969DA" w:rsidRDefault="000969DA" w:rsidP="00D136EC">
      <w:pPr>
        <w:jc w:val="both"/>
        <w:rPr>
          <w:rFonts w:ascii="Arial" w:hAnsi="Arial" w:cs="Arial"/>
          <w:color w:val="000000"/>
          <w:sz w:val="22"/>
          <w:szCs w:val="22"/>
        </w:rPr>
      </w:pPr>
    </w:p>
    <w:p w14:paraId="1191316B" w14:textId="776DA322" w:rsidR="000969DA" w:rsidRPr="0096322C" w:rsidRDefault="000969DA" w:rsidP="00D136EC">
      <w:pPr>
        <w:jc w:val="both"/>
        <w:rPr>
          <w:rFonts w:ascii="Arial" w:hAnsi="Arial" w:cs="Arial"/>
          <w:b/>
          <w:bCs/>
        </w:rPr>
      </w:pPr>
      <w:r w:rsidRPr="0096322C">
        <w:rPr>
          <w:rFonts w:ascii="Arial" w:hAnsi="Arial" w:cs="Arial"/>
          <w:b/>
          <w:bCs/>
        </w:rPr>
        <w:t>3.</w:t>
      </w:r>
      <w:r w:rsidR="00A229D4" w:rsidRPr="0096322C">
        <w:rPr>
          <w:rFonts w:ascii="Arial" w:hAnsi="Arial" w:cs="Arial"/>
          <w:b/>
          <w:bCs/>
        </w:rPr>
        <w:t>2</w:t>
      </w:r>
      <w:r w:rsidRPr="0096322C">
        <w:rPr>
          <w:rFonts w:ascii="Arial" w:hAnsi="Arial" w:cs="Arial"/>
          <w:b/>
          <w:bCs/>
        </w:rPr>
        <w:t xml:space="preserve"> Financial Sector</w:t>
      </w:r>
      <w:r w:rsidR="00A229D4" w:rsidRPr="0096322C">
        <w:rPr>
          <w:rFonts w:ascii="Arial" w:hAnsi="Arial" w:cs="Arial"/>
          <w:b/>
          <w:bCs/>
        </w:rPr>
        <w:t xml:space="preserve"> Analysis</w:t>
      </w:r>
    </w:p>
    <w:p w14:paraId="2A6F7E65" w14:textId="6D31917E" w:rsidR="00ED7AF2" w:rsidRDefault="00ED7AF2" w:rsidP="00ED7AF2">
      <w:pPr>
        <w:jc w:val="both"/>
        <w:rPr>
          <w:rFonts w:ascii="Arial" w:hAnsi="Arial" w:cs="Arial"/>
          <w:color w:val="000000"/>
          <w:sz w:val="22"/>
          <w:szCs w:val="22"/>
        </w:rPr>
      </w:pPr>
      <w:r w:rsidRPr="00ED7AF2">
        <w:rPr>
          <w:rFonts w:ascii="Arial" w:hAnsi="Arial" w:cs="Arial"/>
          <w:color w:val="000000"/>
          <w:sz w:val="22"/>
          <w:szCs w:val="22"/>
        </w:rPr>
        <w:t>This section focuses on publicly traded companies within the Banks - Regional sub-industry of the Financial Sector. The analysis includes</w:t>
      </w:r>
      <w:r>
        <w:rPr>
          <w:rFonts w:ascii="Arial" w:hAnsi="Arial" w:cs="Arial"/>
          <w:color w:val="000000"/>
          <w:sz w:val="22"/>
          <w:szCs w:val="22"/>
        </w:rPr>
        <w:t xml:space="preserve"> </w:t>
      </w:r>
      <w:r w:rsidRPr="00ED7AF2">
        <w:rPr>
          <w:rFonts w:ascii="Arial" w:hAnsi="Arial" w:cs="Arial"/>
          <w:color w:val="000000"/>
          <w:sz w:val="22"/>
          <w:szCs w:val="22"/>
        </w:rPr>
        <w:t>East West Bancorp (EWBC)</w:t>
      </w:r>
      <w:r>
        <w:rPr>
          <w:rFonts w:ascii="Arial" w:hAnsi="Arial" w:cs="Arial"/>
          <w:color w:val="000000"/>
          <w:sz w:val="22"/>
          <w:szCs w:val="22"/>
        </w:rPr>
        <w:t xml:space="preserve">, </w:t>
      </w:r>
      <w:r w:rsidRPr="00ED7AF2">
        <w:rPr>
          <w:rFonts w:ascii="Arial" w:hAnsi="Arial" w:cs="Arial"/>
          <w:color w:val="000000"/>
          <w:sz w:val="22"/>
          <w:szCs w:val="22"/>
        </w:rPr>
        <w:t>U.S. Bancorp (USB)</w:t>
      </w:r>
      <w:r>
        <w:rPr>
          <w:rFonts w:ascii="Arial" w:hAnsi="Arial" w:cs="Arial"/>
          <w:color w:val="000000"/>
          <w:sz w:val="22"/>
          <w:szCs w:val="22"/>
        </w:rPr>
        <w:t xml:space="preserve">, </w:t>
      </w:r>
      <w:r w:rsidRPr="00ED7AF2">
        <w:rPr>
          <w:rFonts w:ascii="Arial" w:hAnsi="Arial" w:cs="Arial"/>
          <w:color w:val="000000"/>
          <w:sz w:val="22"/>
          <w:szCs w:val="22"/>
        </w:rPr>
        <w:t>M&amp;T Bank Corp (MTB)</w:t>
      </w:r>
      <w:r>
        <w:rPr>
          <w:rFonts w:ascii="Arial" w:hAnsi="Arial" w:cs="Arial"/>
          <w:color w:val="000000"/>
          <w:sz w:val="22"/>
          <w:szCs w:val="22"/>
        </w:rPr>
        <w:t xml:space="preserve"> and </w:t>
      </w:r>
      <w:r w:rsidRPr="00ED7AF2">
        <w:rPr>
          <w:rFonts w:ascii="Arial" w:hAnsi="Arial" w:cs="Arial"/>
          <w:color w:val="000000"/>
          <w:sz w:val="22"/>
          <w:szCs w:val="22"/>
        </w:rPr>
        <w:t>Fifth Third Bancorp (FITB)</w:t>
      </w:r>
    </w:p>
    <w:p w14:paraId="317B9D4B" w14:textId="77777777" w:rsidR="00ED7AF2" w:rsidRDefault="00ED7AF2" w:rsidP="00ED7AF2">
      <w:pPr>
        <w:jc w:val="both"/>
        <w:rPr>
          <w:rFonts w:ascii="Arial" w:hAnsi="Arial" w:cs="Arial"/>
          <w:color w:val="000000"/>
          <w:sz w:val="22"/>
          <w:szCs w:val="22"/>
        </w:rPr>
      </w:pPr>
    </w:p>
    <w:p w14:paraId="451AEA35" w14:textId="77777777" w:rsidR="00ED7AF2" w:rsidRDefault="00ED7AF2" w:rsidP="00ED7AF2">
      <w:pPr>
        <w:jc w:val="both"/>
        <w:rPr>
          <w:rFonts w:ascii="Arial" w:hAnsi="Arial" w:cs="Arial"/>
          <w:color w:val="000000"/>
          <w:sz w:val="22"/>
          <w:szCs w:val="22"/>
        </w:rPr>
      </w:pPr>
    </w:p>
    <w:p w14:paraId="40FF883C" w14:textId="77777777" w:rsidR="00ED7AF2" w:rsidRDefault="00ED7AF2" w:rsidP="00ED7AF2">
      <w:pPr>
        <w:jc w:val="both"/>
        <w:rPr>
          <w:rFonts w:ascii="Arial" w:hAnsi="Arial" w:cs="Arial"/>
          <w:color w:val="000000"/>
          <w:sz w:val="22"/>
          <w:szCs w:val="22"/>
        </w:rPr>
      </w:pPr>
    </w:p>
    <w:tbl>
      <w:tblPr>
        <w:tblpPr w:leftFromText="180" w:rightFromText="180" w:vertAnchor="text" w:horzAnchor="margin" w:tblpXSpec="center" w:tblpY="312"/>
        <w:tblW w:w="15888" w:type="dxa"/>
        <w:tblLook w:val="04A0" w:firstRow="1" w:lastRow="0" w:firstColumn="1" w:lastColumn="0" w:noHBand="0" w:noVBand="1"/>
      </w:tblPr>
      <w:tblGrid>
        <w:gridCol w:w="828"/>
        <w:gridCol w:w="1072"/>
        <w:gridCol w:w="1072"/>
        <w:gridCol w:w="1006"/>
        <w:gridCol w:w="895"/>
        <w:gridCol w:w="1006"/>
        <w:gridCol w:w="1106"/>
        <w:gridCol w:w="1106"/>
        <w:gridCol w:w="1106"/>
        <w:gridCol w:w="1106"/>
        <w:gridCol w:w="1072"/>
        <w:gridCol w:w="1072"/>
        <w:gridCol w:w="895"/>
        <w:gridCol w:w="1217"/>
        <w:gridCol w:w="1329"/>
      </w:tblGrid>
      <w:tr w:rsidR="00ED7AF2" w:rsidRPr="00A2122E" w14:paraId="0E93F19E" w14:textId="77777777" w:rsidTr="00ED7AF2">
        <w:trPr>
          <w:trHeight w:val="321"/>
        </w:trPr>
        <w:tc>
          <w:tcPr>
            <w:tcW w:w="15888" w:type="dxa"/>
            <w:gridSpan w:val="1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3ABBD90"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ED7AF2">
              <w:rPr>
                <w:rFonts w:ascii="Arial" w:eastAsia="Times New Roman" w:hAnsi="Arial" w:cs="Arial"/>
                <w:b/>
                <w:bCs/>
                <w:color w:val="000000"/>
                <w:kern w:val="0"/>
                <w:sz w:val="20"/>
                <w:szCs w:val="20"/>
                <w14:ligatures w14:val="none"/>
              </w:rPr>
              <w:t xml:space="preserve">                                        </w:t>
            </w:r>
            <w:r w:rsidRPr="00A2122E">
              <w:rPr>
                <w:rFonts w:ascii="Arial" w:eastAsia="Times New Roman" w:hAnsi="Arial" w:cs="Arial"/>
                <w:b/>
                <w:bCs/>
                <w:color w:val="000000"/>
                <w:kern w:val="0"/>
                <w:sz w:val="20"/>
                <w:szCs w:val="20"/>
                <w14:ligatures w14:val="none"/>
              </w:rPr>
              <w:t>Data Collection, Comparative Analysis and Valuation for</w:t>
            </w:r>
            <w:r w:rsidRPr="00ED7AF2">
              <w:rPr>
                <w:rFonts w:ascii="Arial" w:eastAsia="Times New Roman" w:hAnsi="Arial" w:cs="Arial"/>
                <w:b/>
                <w:bCs/>
                <w:color w:val="000000"/>
                <w:kern w:val="0"/>
                <w:sz w:val="20"/>
                <w:szCs w:val="20"/>
                <w14:ligatures w14:val="none"/>
              </w:rPr>
              <w:t xml:space="preserve"> </w:t>
            </w:r>
            <w:r w:rsidRPr="00A2122E">
              <w:rPr>
                <w:rFonts w:ascii="Arial" w:eastAsia="Times New Roman" w:hAnsi="Arial" w:cs="Arial"/>
                <w:b/>
                <w:bCs/>
                <w:color w:val="000000"/>
                <w:kern w:val="0"/>
                <w:sz w:val="20"/>
                <w:szCs w:val="20"/>
                <w14:ligatures w14:val="none"/>
              </w:rPr>
              <w:t>Financial Sector (Banks - Regional Industry)</w:t>
            </w:r>
          </w:p>
        </w:tc>
      </w:tr>
      <w:tr w:rsidR="00ED7AF2" w:rsidRPr="008A0F28" w14:paraId="543F6C91" w14:textId="77777777" w:rsidTr="00ED7AF2">
        <w:trPr>
          <w:trHeight w:val="1288"/>
        </w:trPr>
        <w:tc>
          <w:tcPr>
            <w:tcW w:w="828" w:type="dxa"/>
            <w:tcBorders>
              <w:top w:val="nil"/>
              <w:left w:val="single" w:sz="8" w:space="0" w:color="auto"/>
              <w:bottom w:val="dotted" w:sz="4" w:space="0" w:color="000000"/>
              <w:right w:val="dotted" w:sz="4" w:space="0" w:color="000000"/>
            </w:tcBorders>
            <w:shd w:val="clear" w:color="auto" w:fill="auto"/>
            <w:vAlign w:val="bottom"/>
            <w:hideMark/>
          </w:tcPr>
          <w:p w14:paraId="5CA8E5A1"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Ticker</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567E4A46"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Market Cap (Current) (million)</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45F431C7"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Price Per Earnings Ratio (Current)</w:t>
            </w:r>
          </w:p>
        </w:tc>
        <w:tc>
          <w:tcPr>
            <w:tcW w:w="1006" w:type="dxa"/>
            <w:tcBorders>
              <w:top w:val="nil"/>
              <w:left w:val="single" w:sz="8" w:space="0" w:color="CCCCCC"/>
              <w:bottom w:val="dotted" w:sz="4" w:space="0" w:color="000000"/>
              <w:right w:val="dotted" w:sz="4" w:space="0" w:color="000000"/>
            </w:tcBorders>
            <w:shd w:val="clear" w:color="auto" w:fill="auto"/>
            <w:vAlign w:val="bottom"/>
            <w:hideMark/>
          </w:tcPr>
          <w:p w14:paraId="44266AAC"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Industry Average P/E Ratio</w:t>
            </w:r>
          </w:p>
        </w:tc>
        <w:tc>
          <w:tcPr>
            <w:tcW w:w="895" w:type="dxa"/>
            <w:tcBorders>
              <w:top w:val="nil"/>
              <w:left w:val="single" w:sz="8" w:space="0" w:color="CCCCCC"/>
              <w:bottom w:val="dotted" w:sz="4" w:space="0" w:color="000000"/>
              <w:right w:val="dotted" w:sz="4" w:space="0" w:color="000000"/>
            </w:tcBorders>
            <w:shd w:val="clear" w:color="auto" w:fill="auto"/>
            <w:vAlign w:val="bottom"/>
            <w:hideMark/>
          </w:tcPr>
          <w:p w14:paraId="10D717FD"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Return on Equity (ROE)</w:t>
            </w:r>
          </w:p>
        </w:tc>
        <w:tc>
          <w:tcPr>
            <w:tcW w:w="1006" w:type="dxa"/>
            <w:tcBorders>
              <w:top w:val="nil"/>
              <w:left w:val="single" w:sz="8" w:space="0" w:color="CCCCCC"/>
              <w:bottom w:val="dotted" w:sz="4" w:space="0" w:color="000000"/>
              <w:right w:val="dotted" w:sz="4" w:space="0" w:color="000000"/>
            </w:tcBorders>
            <w:shd w:val="clear" w:color="auto" w:fill="auto"/>
            <w:vAlign w:val="bottom"/>
            <w:hideMark/>
          </w:tcPr>
          <w:p w14:paraId="26BFEDAC"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Industry Average ROE</w:t>
            </w:r>
          </w:p>
        </w:tc>
        <w:tc>
          <w:tcPr>
            <w:tcW w:w="1106" w:type="dxa"/>
            <w:tcBorders>
              <w:top w:val="nil"/>
              <w:left w:val="single" w:sz="8" w:space="0" w:color="CCCCCC"/>
              <w:bottom w:val="dotted" w:sz="4" w:space="0" w:color="000000"/>
              <w:right w:val="dotted" w:sz="4" w:space="0" w:color="000000"/>
            </w:tcBorders>
            <w:shd w:val="clear" w:color="auto" w:fill="auto"/>
            <w:vAlign w:val="bottom"/>
            <w:hideMark/>
          </w:tcPr>
          <w:p w14:paraId="2C0DB222"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Gross Profit TTM (Current) (million)</w:t>
            </w:r>
          </w:p>
        </w:tc>
        <w:tc>
          <w:tcPr>
            <w:tcW w:w="1106" w:type="dxa"/>
            <w:tcBorders>
              <w:top w:val="nil"/>
              <w:left w:val="single" w:sz="8" w:space="0" w:color="CCCCCC"/>
              <w:bottom w:val="dotted" w:sz="4" w:space="0" w:color="000000"/>
              <w:right w:val="dotted" w:sz="4" w:space="0" w:color="000000"/>
            </w:tcBorders>
            <w:shd w:val="clear" w:color="auto" w:fill="auto"/>
            <w:vAlign w:val="bottom"/>
            <w:hideMark/>
          </w:tcPr>
          <w:p w14:paraId="2477833E"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Gross Profit 31-12-2023 (million)</w:t>
            </w:r>
          </w:p>
        </w:tc>
        <w:tc>
          <w:tcPr>
            <w:tcW w:w="1106" w:type="dxa"/>
            <w:tcBorders>
              <w:top w:val="nil"/>
              <w:left w:val="single" w:sz="8" w:space="0" w:color="CCCCCC"/>
              <w:bottom w:val="dotted" w:sz="4" w:space="0" w:color="000000"/>
              <w:right w:val="dotted" w:sz="4" w:space="0" w:color="000000"/>
            </w:tcBorders>
            <w:shd w:val="clear" w:color="000000" w:fill="FFFFFF"/>
            <w:vAlign w:val="bottom"/>
            <w:hideMark/>
          </w:tcPr>
          <w:p w14:paraId="17F2A08A"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Gross Profit 31-12-2022 (million)</w:t>
            </w:r>
          </w:p>
        </w:tc>
        <w:tc>
          <w:tcPr>
            <w:tcW w:w="1106" w:type="dxa"/>
            <w:tcBorders>
              <w:top w:val="nil"/>
              <w:left w:val="single" w:sz="8" w:space="0" w:color="CCCCCC"/>
              <w:bottom w:val="dotted" w:sz="4" w:space="0" w:color="000000"/>
              <w:right w:val="dotted" w:sz="4" w:space="0" w:color="000000"/>
            </w:tcBorders>
            <w:shd w:val="clear" w:color="000000" w:fill="FFFFFF"/>
            <w:vAlign w:val="bottom"/>
            <w:hideMark/>
          </w:tcPr>
          <w:p w14:paraId="52059EC1" w14:textId="77777777" w:rsidR="00ED7AF2" w:rsidRPr="00A2122E" w:rsidRDefault="00ED7AF2" w:rsidP="00ED7AF2">
            <w:pPr>
              <w:spacing w:after="0" w:line="240" w:lineRule="auto"/>
              <w:jc w:val="both"/>
              <w:rPr>
                <w:rFonts w:ascii="Arial" w:eastAsia="Times New Roman" w:hAnsi="Arial" w:cs="Arial"/>
                <w:b/>
                <w:bCs/>
                <w:color w:val="1F1F1F"/>
                <w:kern w:val="0"/>
                <w:sz w:val="20"/>
                <w:szCs w:val="20"/>
                <w14:ligatures w14:val="none"/>
              </w:rPr>
            </w:pPr>
            <w:r w:rsidRPr="00A2122E">
              <w:rPr>
                <w:rFonts w:ascii="Arial" w:eastAsia="Times New Roman" w:hAnsi="Arial" w:cs="Arial"/>
                <w:b/>
                <w:bCs/>
                <w:color w:val="1F1F1F"/>
                <w:kern w:val="0"/>
                <w:sz w:val="20"/>
                <w:szCs w:val="20"/>
                <w14:ligatures w14:val="none"/>
              </w:rPr>
              <w:t>Gross Profit 31-12-2020 (million)</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3CA83D09"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Gross Margin (Current)</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1D3A63D4"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Gross Profit Growth (Current) (%)</w:t>
            </w:r>
          </w:p>
        </w:tc>
        <w:tc>
          <w:tcPr>
            <w:tcW w:w="895" w:type="dxa"/>
            <w:tcBorders>
              <w:top w:val="nil"/>
              <w:left w:val="single" w:sz="8" w:space="0" w:color="CCCCCC"/>
              <w:bottom w:val="dotted" w:sz="4" w:space="0" w:color="000000"/>
              <w:right w:val="dotted" w:sz="4" w:space="0" w:color="000000"/>
            </w:tcBorders>
            <w:shd w:val="clear" w:color="auto" w:fill="auto"/>
            <w:vAlign w:val="bottom"/>
            <w:hideMark/>
          </w:tcPr>
          <w:p w14:paraId="64148285"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CAGR</w:t>
            </w:r>
          </w:p>
        </w:tc>
        <w:tc>
          <w:tcPr>
            <w:tcW w:w="1217" w:type="dxa"/>
            <w:tcBorders>
              <w:top w:val="nil"/>
              <w:left w:val="single" w:sz="8" w:space="0" w:color="CCCCCC"/>
              <w:bottom w:val="dotted" w:sz="4" w:space="0" w:color="000000"/>
              <w:right w:val="dotted" w:sz="4" w:space="0" w:color="000000"/>
            </w:tcBorders>
            <w:shd w:val="clear" w:color="auto" w:fill="auto"/>
            <w:vAlign w:val="bottom"/>
            <w:hideMark/>
          </w:tcPr>
          <w:p w14:paraId="01E0259A"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Projected Gross Profit (4 Years) (million)</w:t>
            </w:r>
          </w:p>
        </w:tc>
        <w:tc>
          <w:tcPr>
            <w:tcW w:w="1329" w:type="dxa"/>
            <w:tcBorders>
              <w:top w:val="nil"/>
              <w:left w:val="single" w:sz="8" w:space="0" w:color="CCCCCC"/>
              <w:bottom w:val="dotted" w:sz="4" w:space="0" w:color="000000"/>
              <w:right w:val="single" w:sz="8" w:space="0" w:color="auto"/>
            </w:tcBorders>
            <w:shd w:val="clear" w:color="000000" w:fill="FFFFFF"/>
            <w:vAlign w:val="bottom"/>
            <w:hideMark/>
          </w:tcPr>
          <w:p w14:paraId="0F0F2D09"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Projected Value (4 Years) (million)</w:t>
            </w:r>
          </w:p>
        </w:tc>
      </w:tr>
      <w:tr w:rsidR="00ED7AF2" w:rsidRPr="008A0F28" w14:paraId="45B17D09" w14:textId="77777777" w:rsidTr="00ED7AF2">
        <w:trPr>
          <w:trHeight w:val="292"/>
        </w:trPr>
        <w:tc>
          <w:tcPr>
            <w:tcW w:w="828"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2034CD4C"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EWBC</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4B48F3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$11,120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DE5EF37"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10.06</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916F57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14.93</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0D37999"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16.86%</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BECB23C"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9.00%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7E5E7F"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$2,590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4FBF88B"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$2,607.52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17AAE23"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$2,344.55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A772CAF"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$1,612.74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8FA29B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61.77%</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01F19F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10.47%</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432D878"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17.37%</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DA723A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$4,914.93 </w:t>
            </w:r>
          </w:p>
        </w:tc>
        <w:tc>
          <w:tcPr>
            <w:tcW w:w="1329"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000E752A"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$49,444.21 </w:t>
            </w:r>
          </w:p>
        </w:tc>
      </w:tr>
      <w:tr w:rsidR="00ED7AF2" w:rsidRPr="008A0F28" w14:paraId="1C138457" w14:textId="77777777" w:rsidTr="00ED7AF2">
        <w:trPr>
          <w:trHeight w:val="292"/>
        </w:trPr>
        <w:tc>
          <w:tcPr>
            <w:tcW w:w="828"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4516A5A0"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USB</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0DCCD0F"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$69,850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1B37B7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14.2</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D9339FF"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14.93</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424E253"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9.63%</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60B703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9.00%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FDC640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$27,250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4F5C13A"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$28,013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302846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$24,184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29DE49D"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$23,226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E5857A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64.64%</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E270B1E"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12.68%</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AE23DE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6.45%</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46D0BF4"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$34,984.86 </w:t>
            </w:r>
          </w:p>
        </w:tc>
        <w:tc>
          <w:tcPr>
            <w:tcW w:w="1329"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067044FE"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$496,784.97 </w:t>
            </w:r>
          </w:p>
        </w:tc>
      </w:tr>
      <w:tr w:rsidR="00ED7AF2" w:rsidRPr="008A0F28" w14:paraId="03DD1FDC" w14:textId="77777777" w:rsidTr="00ED7AF2">
        <w:trPr>
          <w:trHeight w:val="292"/>
        </w:trPr>
        <w:tc>
          <w:tcPr>
            <w:tcW w:w="828"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33C8BCB2"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MTB</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6FBD042"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$27,580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5713469"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12.26</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F4A871"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14.93</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EEEBA1C"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8.69%</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766B3D1"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9.00%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A0D252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$9,200.00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5563269"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$9,643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6D8D4AA"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$8,179.00 </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7635487"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$5,954.76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8AE7F8E"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69.59%</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960537C"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12.48%</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F6FA14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17.43%</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88AE37A"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$17,495.18 </w:t>
            </w:r>
          </w:p>
        </w:tc>
        <w:tc>
          <w:tcPr>
            <w:tcW w:w="1329"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6345B27C"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$214,490.88 </w:t>
            </w:r>
          </w:p>
        </w:tc>
      </w:tr>
      <w:tr w:rsidR="00ED7AF2" w:rsidRPr="008A0F28" w14:paraId="7EE04DFD" w14:textId="77777777" w:rsidTr="00ED7AF2">
        <w:trPr>
          <w:trHeight w:val="292"/>
        </w:trPr>
        <w:tc>
          <w:tcPr>
            <w:tcW w:w="828" w:type="dxa"/>
            <w:tcBorders>
              <w:top w:val="single" w:sz="8" w:space="0" w:color="CCCCCC"/>
              <w:left w:val="single" w:sz="8" w:space="0" w:color="auto"/>
              <w:bottom w:val="single" w:sz="8" w:space="0" w:color="auto"/>
              <w:right w:val="dotted" w:sz="4" w:space="0" w:color="000000"/>
            </w:tcBorders>
            <w:shd w:val="clear" w:color="auto" w:fill="auto"/>
            <w:hideMark/>
          </w:tcPr>
          <w:p w14:paraId="551BE21C" w14:textId="77777777" w:rsidR="00ED7AF2" w:rsidRPr="00A2122E" w:rsidRDefault="00ED7AF2" w:rsidP="00ED7AF2">
            <w:pPr>
              <w:spacing w:after="0" w:line="240" w:lineRule="auto"/>
              <w:jc w:val="both"/>
              <w:rPr>
                <w:rFonts w:ascii="Arial" w:eastAsia="Times New Roman" w:hAnsi="Arial" w:cs="Arial"/>
                <w:b/>
                <w:bCs/>
                <w:color w:val="000000"/>
                <w:kern w:val="0"/>
                <w:sz w:val="20"/>
                <w:szCs w:val="20"/>
                <w14:ligatures w14:val="none"/>
              </w:rPr>
            </w:pPr>
            <w:r w:rsidRPr="00A2122E">
              <w:rPr>
                <w:rFonts w:ascii="Arial" w:eastAsia="Times New Roman" w:hAnsi="Arial" w:cs="Arial"/>
                <w:b/>
                <w:bCs/>
                <w:color w:val="000000"/>
                <w:kern w:val="0"/>
                <w:sz w:val="20"/>
                <w:szCs w:val="20"/>
                <w14:ligatures w14:val="none"/>
              </w:rPr>
              <w:t>FITB</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29BE25F0"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$28,040 </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7EC232E3"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13.07</w:t>
            </w:r>
          </w:p>
        </w:tc>
        <w:tc>
          <w:tcPr>
            <w:tcW w:w="1006" w:type="dxa"/>
            <w:tcBorders>
              <w:top w:val="single" w:sz="8" w:space="0" w:color="CCCCCC"/>
              <w:left w:val="single" w:sz="8" w:space="0" w:color="CCCCCC"/>
              <w:bottom w:val="single" w:sz="8" w:space="0" w:color="auto"/>
              <w:right w:val="dotted" w:sz="4" w:space="0" w:color="000000"/>
            </w:tcBorders>
            <w:shd w:val="clear" w:color="auto" w:fill="auto"/>
            <w:hideMark/>
          </w:tcPr>
          <w:p w14:paraId="7B27325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14.93</w:t>
            </w:r>
          </w:p>
        </w:tc>
        <w:tc>
          <w:tcPr>
            <w:tcW w:w="895" w:type="dxa"/>
            <w:tcBorders>
              <w:top w:val="single" w:sz="8" w:space="0" w:color="CCCCCC"/>
              <w:left w:val="single" w:sz="8" w:space="0" w:color="CCCCCC"/>
              <w:bottom w:val="single" w:sz="8" w:space="0" w:color="auto"/>
              <w:right w:val="dotted" w:sz="4" w:space="0" w:color="000000"/>
            </w:tcBorders>
            <w:shd w:val="clear" w:color="auto" w:fill="auto"/>
            <w:hideMark/>
          </w:tcPr>
          <w:p w14:paraId="29C30175"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6.17%</w:t>
            </w:r>
          </w:p>
        </w:tc>
        <w:tc>
          <w:tcPr>
            <w:tcW w:w="1006" w:type="dxa"/>
            <w:tcBorders>
              <w:top w:val="single" w:sz="8" w:space="0" w:color="CCCCCC"/>
              <w:left w:val="single" w:sz="8" w:space="0" w:color="CCCCCC"/>
              <w:bottom w:val="single" w:sz="8" w:space="0" w:color="auto"/>
              <w:right w:val="dotted" w:sz="4" w:space="0" w:color="000000"/>
            </w:tcBorders>
            <w:shd w:val="clear" w:color="auto" w:fill="auto"/>
            <w:hideMark/>
          </w:tcPr>
          <w:p w14:paraId="391BB4DB"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9.00%</w:t>
            </w:r>
          </w:p>
        </w:tc>
        <w:tc>
          <w:tcPr>
            <w:tcW w:w="1106" w:type="dxa"/>
            <w:tcBorders>
              <w:top w:val="single" w:sz="8" w:space="0" w:color="CCCCCC"/>
              <w:left w:val="single" w:sz="8" w:space="0" w:color="CCCCCC"/>
              <w:bottom w:val="single" w:sz="8" w:space="0" w:color="auto"/>
              <w:right w:val="dotted" w:sz="4" w:space="0" w:color="000000"/>
            </w:tcBorders>
            <w:shd w:val="clear" w:color="auto" w:fill="auto"/>
            <w:hideMark/>
          </w:tcPr>
          <w:p w14:paraId="76F5F6BE"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$8,590.00 </w:t>
            </w:r>
          </w:p>
        </w:tc>
        <w:tc>
          <w:tcPr>
            <w:tcW w:w="1106" w:type="dxa"/>
            <w:tcBorders>
              <w:top w:val="single" w:sz="8" w:space="0" w:color="CCCCCC"/>
              <w:left w:val="single" w:sz="8" w:space="0" w:color="CCCCCC"/>
              <w:bottom w:val="single" w:sz="8" w:space="0" w:color="auto"/>
              <w:right w:val="dotted" w:sz="4" w:space="0" w:color="000000"/>
            </w:tcBorders>
            <w:shd w:val="clear" w:color="auto" w:fill="auto"/>
            <w:hideMark/>
          </w:tcPr>
          <w:p w14:paraId="5507D84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$8,708 </w:t>
            </w:r>
          </w:p>
        </w:tc>
        <w:tc>
          <w:tcPr>
            <w:tcW w:w="1106" w:type="dxa"/>
            <w:tcBorders>
              <w:top w:val="single" w:sz="8" w:space="0" w:color="CCCCCC"/>
              <w:left w:val="single" w:sz="8" w:space="0" w:color="CCCCCC"/>
              <w:bottom w:val="single" w:sz="8" w:space="0" w:color="auto"/>
              <w:right w:val="dotted" w:sz="4" w:space="0" w:color="000000"/>
            </w:tcBorders>
            <w:shd w:val="clear" w:color="auto" w:fill="auto"/>
            <w:hideMark/>
          </w:tcPr>
          <w:p w14:paraId="2900DC02"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$8,375 </w:t>
            </w:r>
          </w:p>
        </w:tc>
        <w:tc>
          <w:tcPr>
            <w:tcW w:w="1106" w:type="dxa"/>
            <w:tcBorders>
              <w:top w:val="single" w:sz="8" w:space="0" w:color="CCCCCC"/>
              <w:left w:val="single" w:sz="8" w:space="0" w:color="CCCCCC"/>
              <w:bottom w:val="single" w:sz="8" w:space="0" w:color="auto"/>
              <w:right w:val="dotted" w:sz="4" w:space="0" w:color="000000"/>
            </w:tcBorders>
            <w:shd w:val="clear" w:color="auto" w:fill="auto"/>
            <w:hideMark/>
          </w:tcPr>
          <w:p w14:paraId="210505C1"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$7,612 </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58BA8C76"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65.82%</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07AB726C"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2.57%</w:t>
            </w:r>
          </w:p>
        </w:tc>
        <w:tc>
          <w:tcPr>
            <w:tcW w:w="895" w:type="dxa"/>
            <w:tcBorders>
              <w:top w:val="single" w:sz="8" w:space="0" w:color="CCCCCC"/>
              <w:left w:val="single" w:sz="8" w:space="0" w:color="CCCCCC"/>
              <w:bottom w:val="single" w:sz="8" w:space="0" w:color="auto"/>
              <w:right w:val="dotted" w:sz="4" w:space="0" w:color="000000"/>
            </w:tcBorders>
            <w:shd w:val="clear" w:color="auto" w:fill="auto"/>
            <w:hideMark/>
          </w:tcPr>
          <w:p w14:paraId="57514DC2"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4.59%</w:t>
            </w:r>
          </w:p>
        </w:tc>
        <w:tc>
          <w:tcPr>
            <w:tcW w:w="1217" w:type="dxa"/>
            <w:tcBorders>
              <w:top w:val="single" w:sz="8" w:space="0" w:color="CCCCCC"/>
              <w:left w:val="single" w:sz="8" w:space="0" w:color="CCCCCC"/>
              <w:bottom w:val="single" w:sz="8" w:space="0" w:color="auto"/>
              <w:right w:val="dotted" w:sz="4" w:space="0" w:color="000000"/>
            </w:tcBorders>
            <w:shd w:val="clear" w:color="auto" w:fill="auto"/>
            <w:hideMark/>
          </w:tcPr>
          <w:p w14:paraId="6520F1FA"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$10,277.47 </w:t>
            </w:r>
          </w:p>
        </w:tc>
        <w:tc>
          <w:tcPr>
            <w:tcW w:w="1329" w:type="dxa"/>
            <w:tcBorders>
              <w:top w:val="single" w:sz="8" w:space="0" w:color="CCCCCC"/>
              <w:left w:val="single" w:sz="8" w:space="0" w:color="CCCCCC"/>
              <w:bottom w:val="single" w:sz="8" w:space="0" w:color="auto"/>
              <w:right w:val="single" w:sz="8" w:space="0" w:color="auto"/>
            </w:tcBorders>
            <w:shd w:val="clear" w:color="auto" w:fill="auto"/>
            <w:hideMark/>
          </w:tcPr>
          <w:p w14:paraId="3BEFF03E" w14:textId="77777777" w:rsidR="00ED7AF2" w:rsidRPr="00A2122E" w:rsidRDefault="00ED7AF2" w:rsidP="00ED7AF2">
            <w:pPr>
              <w:spacing w:after="0" w:line="240" w:lineRule="auto"/>
              <w:jc w:val="both"/>
              <w:rPr>
                <w:rFonts w:ascii="Arial" w:eastAsia="Times New Roman" w:hAnsi="Arial" w:cs="Arial"/>
                <w:color w:val="000000"/>
                <w:kern w:val="0"/>
                <w:sz w:val="20"/>
                <w:szCs w:val="20"/>
                <w14:ligatures w14:val="none"/>
              </w:rPr>
            </w:pPr>
            <w:r w:rsidRPr="00A2122E">
              <w:rPr>
                <w:rFonts w:ascii="Arial" w:eastAsia="Times New Roman" w:hAnsi="Arial" w:cs="Arial"/>
                <w:color w:val="000000"/>
                <w:kern w:val="0"/>
                <w:sz w:val="20"/>
                <w:szCs w:val="20"/>
                <w14:ligatures w14:val="none"/>
              </w:rPr>
              <w:t xml:space="preserve">$134,326.47 </w:t>
            </w:r>
          </w:p>
        </w:tc>
      </w:tr>
    </w:tbl>
    <w:p w14:paraId="5B824ABF" w14:textId="57638224" w:rsidR="00ED7AF2" w:rsidRPr="002F462A" w:rsidRDefault="00ED7AF2" w:rsidP="00ED7AF2">
      <w:pPr>
        <w:jc w:val="both"/>
        <w:rPr>
          <w:rFonts w:ascii="Arial" w:hAnsi="Arial" w:cs="Arial"/>
          <w:b/>
          <w:bCs/>
          <w:color w:val="000000"/>
          <w:sz w:val="18"/>
          <w:szCs w:val="18"/>
          <w:u w:val="single"/>
        </w:rPr>
      </w:pPr>
      <w:r>
        <w:rPr>
          <w:rFonts w:ascii="Arial" w:hAnsi="Arial" w:cs="Arial"/>
          <w:b/>
          <w:bCs/>
          <w:color w:val="000000"/>
          <w:sz w:val="18"/>
          <w:szCs w:val="18"/>
          <w:u w:val="single"/>
        </w:rPr>
        <w:t xml:space="preserve">Table </w:t>
      </w:r>
      <w:r w:rsidR="00405DF1">
        <w:rPr>
          <w:rFonts w:ascii="Arial" w:hAnsi="Arial" w:cs="Arial"/>
          <w:b/>
          <w:bCs/>
          <w:color w:val="000000"/>
          <w:sz w:val="18"/>
          <w:szCs w:val="18"/>
          <w:u w:val="single"/>
        </w:rPr>
        <w:t>2</w:t>
      </w:r>
      <w:r>
        <w:rPr>
          <w:rFonts w:ascii="Arial" w:hAnsi="Arial" w:cs="Arial"/>
          <w:b/>
          <w:bCs/>
          <w:color w:val="000000"/>
          <w:sz w:val="18"/>
          <w:szCs w:val="18"/>
          <w:u w:val="single"/>
        </w:rPr>
        <w:t xml:space="preserve"> showing the comparative and valuation analysis of the </w:t>
      </w:r>
      <w:r w:rsidR="00405DF1">
        <w:rPr>
          <w:rFonts w:ascii="Arial" w:hAnsi="Arial" w:cs="Arial"/>
          <w:b/>
          <w:bCs/>
          <w:color w:val="000000"/>
          <w:sz w:val="18"/>
          <w:szCs w:val="18"/>
          <w:u w:val="single"/>
        </w:rPr>
        <w:t xml:space="preserve">Financial </w:t>
      </w:r>
      <w:r>
        <w:rPr>
          <w:rFonts w:ascii="Arial" w:hAnsi="Arial" w:cs="Arial"/>
          <w:b/>
          <w:bCs/>
          <w:color w:val="000000"/>
          <w:sz w:val="18"/>
          <w:szCs w:val="18"/>
          <w:u w:val="single"/>
        </w:rPr>
        <w:t>Sector</w:t>
      </w:r>
    </w:p>
    <w:p w14:paraId="20CA71AB" w14:textId="77777777" w:rsidR="00ED7AF2" w:rsidRPr="00ED7AF2" w:rsidRDefault="00ED7AF2" w:rsidP="00ED7AF2">
      <w:pPr>
        <w:jc w:val="both"/>
        <w:rPr>
          <w:rFonts w:ascii="Arial" w:hAnsi="Arial" w:cs="Arial"/>
          <w:color w:val="000000"/>
          <w:sz w:val="22"/>
          <w:szCs w:val="22"/>
        </w:rPr>
      </w:pPr>
    </w:p>
    <w:p w14:paraId="1FD50247" w14:textId="64CE5335" w:rsidR="002A6493" w:rsidRPr="00A229D4" w:rsidRDefault="00ED7AF2" w:rsidP="008A0F28">
      <w:pPr>
        <w:jc w:val="both"/>
        <w:rPr>
          <w:rFonts w:ascii="Arial" w:hAnsi="Arial" w:cs="Arial"/>
          <w:b/>
          <w:bCs/>
          <w:color w:val="77206D" w:themeColor="accent5" w:themeShade="BF"/>
          <w:sz w:val="22"/>
          <w:szCs w:val="22"/>
        </w:rPr>
      </w:pPr>
      <w:r w:rsidRPr="00A229D4">
        <w:rPr>
          <w:rFonts w:ascii="Arial" w:hAnsi="Arial" w:cs="Arial"/>
          <w:b/>
          <w:bCs/>
          <w:color w:val="77206D" w:themeColor="accent5" w:themeShade="BF"/>
          <w:sz w:val="22"/>
          <w:szCs w:val="22"/>
        </w:rPr>
        <w:t>EWBC stands out as a potentially undervalued company within this sector based on its low P/E ratio, high ROE, and significant projected value compared to its current market cap</w:t>
      </w:r>
      <w:r w:rsidRPr="00A229D4">
        <w:rPr>
          <w:rFonts w:ascii="Arial" w:hAnsi="Arial" w:cs="Arial"/>
          <w:b/>
          <w:bCs/>
          <w:color w:val="77206D" w:themeColor="accent5" w:themeShade="BF"/>
          <w:sz w:val="22"/>
          <w:szCs w:val="22"/>
        </w:rPr>
        <w:t>.</w:t>
      </w:r>
    </w:p>
    <w:p w14:paraId="6ED18302" w14:textId="364A991C" w:rsidR="00ED7AF2" w:rsidRPr="00A229D4" w:rsidRDefault="00ED7AF2" w:rsidP="00ED7AF2">
      <w:pPr>
        <w:jc w:val="both"/>
        <w:rPr>
          <w:rFonts w:ascii="Arial" w:hAnsi="Arial" w:cs="Arial"/>
          <w:b/>
          <w:bCs/>
          <w:color w:val="000000"/>
          <w:sz w:val="22"/>
          <w:szCs w:val="22"/>
        </w:rPr>
      </w:pPr>
      <w:r w:rsidRPr="00A229D4">
        <w:rPr>
          <w:rFonts w:ascii="Arial" w:hAnsi="Arial" w:cs="Arial"/>
          <w:b/>
          <w:bCs/>
          <w:color w:val="000000"/>
          <w:sz w:val="22"/>
          <w:szCs w:val="22"/>
        </w:rPr>
        <w:t>East West Bancorp (EWBC): A Promising Opportunity</w:t>
      </w:r>
    </w:p>
    <w:p w14:paraId="50E0C8B2" w14:textId="1F962DBA" w:rsidR="00ED7AF2" w:rsidRPr="00ED7AF2" w:rsidRDefault="00ED7AF2" w:rsidP="00ED7AF2">
      <w:pPr>
        <w:jc w:val="both"/>
        <w:rPr>
          <w:rFonts w:ascii="Arial" w:hAnsi="Arial" w:cs="Arial"/>
          <w:color w:val="000000"/>
          <w:sz w:val="22"/>
          <w:szCs w:val="22"/>
        </w:rPr>
      </w:pPr>
      <w:r w:rsidRPr="00ED7AF2">
        <w:rPr>
          <w:rFonts w:ascii="Arial" w:hAnsi="Arial" w:cs="Arial"/>
          <w:color w:val="000000"/>
          <w:sz w:val="22"/>
          <w:szCs w:val="22"/>
        </w:rPr>
        <w:t xml:space="preserve">Despite a recent stock price </w:t>
      </w:r>
      <w:hyperlink r:id="rId14" w:history="1">
        <w:r w:rsidRPr="00A229D4">
          <w:rPr>
            <w:rStyle w:val="Hyperlink"/>
            <w:rFonts w:ascii="Arial" w:hAnsi="Arial" w:cs="Arial"/>
            <w:sz w:val="22"/>
            <w:szCs w:val="22"/>
          </w:rPr>
          <w:t>increase</w:t>
        </w:r>
      </w:hyperlink>
      <w:r w:rsidRPr="00ED7AF2">
        <w:rPr>
          <w:rFonts w:ascii="Arial" w:hAnsi="Arial" w:cs="Arial"/>
          <w:color w:val="000000"/>
          <w:sz w:val="22"/>
          <w:szCs w:val="22"/>
        </w:rPr>
        <w:t>, EWBC exhibits promising growth prospects driven by several factors:</w:t>
      </w:r>
    </w:p>
    <w:p w14:paraId="5A8023B6" w14:textId="13BAB767" w:rsidR="00ED7AF2" w:rsidRPr="00A229D4" w:rsidRDefault="00ED7AF2" w:rsidP="00A229D4">
      <w:pPr>
        <w:pStyle w:val="ListParagraph"/>
        <w:numPr>
          <w:ilvl w:val="0"/>
          <w:numId w:val="7"/>
        </w:numPr>
        <w:jc w:val="both"/>
        <w:rPr>
          <w:rFonts w:ascii="Arial" w:hAnsi="Arial" w:cs="Arial"/>
          <w:color w:val="000000"/>
          <w:sz w:val="22"/>
          <w:szCs w:val="22"/>
        </w:rPr>
      </w:pPr>
      <w:r w:rsidRPr="00A229D4">
        <w:rPr>
          <w:rFonts w:ascii="Arial" w:hAnsi="Arial" w:cs="Arial"/>
          <w:color w:val="000000"/>
          <w:sz w:val="22"/>
          <w:szCs w:val="22"/>
        </w:rPr>
        <w:t xml:space="preserve">Loan Portfolio Growth: Recent growth of 1% in the loan portfolio, with </w:t>
      </w:r>
      <w:proofErr w:type="gramStart"/>
      <w:r w:rsidRPr="00A229D4">
        <w:rPr>
          <w:rFonts w:ascii="Arial" w:hAnsi="Arial" w:cs="Arial"/>
          <w:color w:val="000000"/>
          <w:sz w:val="22"/>
          <w:szCs w:val="22"/>
        </w:rPr>
        <w:t>anticipated</w:t>
      </w:r>
      <w:proofErr w:type="gramEnd"/>
      <w:r w:rsidRPr="00A229D4">
        <w:rPr>
          <w:rFonts w:ascii="Arial" w:hAnsi="Arial" w:cs="Arial"/>
          <w:color w:val="000000"/>
          <w:sz w:val="22"/>
          <w:szCs w:val="22"/>
        </w:rPr>
        <w:t xml:space="preserve"> acceleration in residential mortgages and commercial &amp; industrial (C&amp;I) loans.</w:t>
      </w:r>
    </w:p>
    <w:p w14:paraId="00E6EF2A" w14:textId="2E9DF1DD" w:rsidR="00ED7AF2" w:rsidRPr="00A229D4" w:rsidRDefault="00ED7AF2" w:rsidP="00A229D4">
      <w:pPr>
        <w:pStyle w:val="ListParagraph"/>
        <w:numPr>
          <w:ilvl w:val="0"/>
          <w:numId w:val="7"/>
        </w:numPr>
        <w:jc w:val="both"/>
        <w:rPr>
          <w:rFonts w:ascii="Arial" w:hAnsi="Arial" w:cs="Arial"/>
          <w:color w:val="000000"/>
          <w:sz w:val="22"/>
          <w:szCs w:val="22"/>
        </w:rPr>
      </w:pPr>
      <w:r w:rsidRPr="00A229D4">
        <w:rPr>
          <w:rFonts w:ascii="Arial" w:hAnsi="Arial" w:cs="Arial"/>
          <w:color w:val="000000"/>
          <w:sz w:val="22"/>
          <w:szCs w:val="22"/>
        </w:rPr>
        <w:t xml:space="preserve">Interest Rate Tailwinds: Only 22% of EWBC's loans have fixed rates, positioning the bank to </w:t>
      </w:r>
      <w:proofErr w:type="gramStart"/>
      <w:r w:rsidRPr="00A229D4">
        <w:rPr>
          <w:rFonts w:ascii="Arial" w:hAnsi="Arial" w:cs="Arial"/>
          <w:color w:val="000000"/>
          <w:sz w:val="22"/>
          <w:szCs w:val="22"/>
        </w:rPr>
        <w:t>benefit</w:t>
      </w:r>
      <w:proofErr w:type="gramEnd"/>
      <w:r w:rsidRPr="00A229D4">
        <w:rPr>
          <w:rFonts w:ascii="Arial" w:hAnsi="Arial" w:cs="Arial"/>
          <w:color w:val="000000"/>
          <w:sz w:val="22"/>
          <w:szCs w:val="22"/>
        </w:rPr>
        <w:t xml:space="preserve"> from rising interest rates. Management expects net interest margin improvement starting from Q3 2024.</w:t>
      </w:r>
    </w:p>
    <w:p w14:paraId="3671BCE8" w14:textId="60A1D848" w:rsidR="00ED7AF2" w:rsidRPr="00A229D4" w:rsidRDefault="00ED7AF2" w:rsidP="00A229D4">
      <w:pPr>
        <w:pStyle w:val="ListParagraph"/>
        <w:numPr>
          <w:ilvl w:val="0"/>
          <w:numId w:val="7"/>
        </w:numPr>
        <w:jc w:val="both"/>
        <w:rPr>
          <w:rFonts w:ascii="Arial" w:hAnsi="Arial" w:cs="Arial"/>
          <w:color w:val="000000"/>
          <w:sz w:val="22"/>
          <w:szCs w:val="22"/>
        </w:rPr>
      </w:pPr>
      <w:r w:rsidRPr="00A229D4">
        <w:rPr>
          <w:rFonts w:ascii="Arial" w:hAnsi="Arial" w:cs="Arial"/>
          <w:color w:val="000000"/>
          <w:sz w:val="22"/>
          <w:szCs w:val="22"/>
        </w:rPr>
        <w:t>Deposit Strength and Profitability Outlook: Faster deposit growth than loans, driven by high-yield time deposits, positions EWBC for a rebound in net interest income despite rising funding costs.</w:t>
      </w:r>
    </w:p>
    <w:p w14:paraId="7064D91A" w14:textId="4468CEEC" w:rsidR="00ED7AF2" w:rsidRDefault="00ED7AF2" w:rsidP="00ED7AF2">
      <w:pPr>
        <w:jc w:val="both"/>
        <w:rPr>
          <w:rFonts w:ascii="Arial" w:hAnsi="Arial" w:cs="Arial"/>
          <w:color w:val="000000"/>
          <w:sz w:val="22"/>
          <w:szCs w:val="22"/>
        </w:rPr>
      </w:pPr>
      <w:r w:rsidRPr="00ED7AF2">
        <w:rPr>
          <w:rFonts w:ascii="Arial" w:hAnsi="Arial" w:cs="Arial"/>
          <w:color w:val="000000"/>
          <w:sz w:val="22"/>
          <w:szCs w:val="22"/>
        </w:rPr>
        <w:t xml:space="preserve">These factors, combined with EWBC's strong financial health, justify a slight upward revision to the CAGR, reflecting the </w:t>
      </w:r>
      <w:proofErr w:type="gramStart"/>
      <w:r w:rsidRPr="00ED7AF2">
        <w:rPr>
          <w:rFonts w:ascii="Arial" w:hAnsi="Arial" w:cs="Arial"/>
          <w:color w:val="000000"/>
          <w:sz w:val="22"/>
          <w:szCs w:val="22"/>
        </w:rPr>
        <w:t>anticipated</w:t>
      </w:r>
      <w:proofErr w:type="gramEnd"/>
      <w:r w:rsidRPr="00ED7AF2">
        <w:rPr>
          <w:rFonts w:ascii="Arial" w:hAnsi="Arial" w:cs="Arial"/>
          <w:color w:val="000000"/>
          <w:sz w:val="22"/>
          <w:szCs w:val="22"/>
        </w:rPr>
        <w:t xml:space="preserve"> benefits from loan growth and improved net interest margins.</w:t>
      </w:r>
    </w:p>
    <w:p w14:paraId="5D11B1DE" w14:textId="77777777" w:rsidR="00A229D4" w:rsidRDefault="00A229D4" w:rsidP="00A229D4">
      <w:pPr>
        <w:jc w:val="both"/>
        <w:rPr>
          <w:rFonts w:ascii="Arial" w:hAnsi="Arial" w:cs="Arial"/>
          <w:b/>
          <w:bCs/>
          <w:color w:val="000000"/>
          <w:sz w:val="22"/>
          <w:szCs w:val="22"/>
        </w:rPr>
      </w:pPr>
    </w:p>
    <w:p w14:paraId="092C9AD0" w14:textId="77777777" w:rsidR="00A229D4" w:rsidRDefault="00A229D4" w:rsidP="00A229D4">
      <w:pPr>
        <w:jc w:val="both"/>
        <w:rPr>
          <w:rFonts w:ascii="Arial" w:hAnsi="Arial" w:cs="Arial"/>
          <w:b/>
          <w:bCs/>
          <w:color w:val="000000"/>
          <w:sz w:val="22"/>
          <w:szCs w:val="22"/>
        </w:rPr>
      </w:pPr>
    </w:p>
    <w:p w14:paraId="4317BAFB" w14:textId="72497C92" w:rsidR="00A229D4" w:rsidRPr="00A229D4" w:rsidRDefault="00A229D4" w:rsidP="00A229D4">
      <w:pPr>
        <w:jc w:val="both"/>
        <w:rPr>
          <w:rFonts w:ascii="Arial" w:hAnsi="Arial" w:cs="Arial"/>
          <w:b/>
          <w:bCs/>
          <w:color w:val="000000"/>
          <w:sz w:val="22"/>
          <w:szCs w:val="22"/>
        </w:rPr>
      </w:pPr>
      <w:r w:rsidRPr="00A229D4">
        <w:rPr>
          <w:rFonts w:ascii="Arial" w:hAnsi="Arial" w:cs="Arial"/>
          <w:b/>
          <w:bCs/>
          <w:color w:val="000000"/>
          <w:sz w:val="22"/>
          <w:szCs w:val="22"/>
        </w:rPr>
        <w:t>3.</w:t>
      </w:r>
      <w:r w:rsidRPr="00A229D4">
        <w:rPr>
          <w:rFonts w:ascii="Arial" w:hAnsi="Arial" w:cs="Arial"/>
          <w:b/>
          <w:bCs/>
          <w:color w:val="000000"/>
          <w:sz w:val="22"/>
          <w:szCs w:val="22"/>
        </w:rPr>
        <w:t>2</w:t>
      </w:r>
      <w:r w:rsidRPr="00A229D4">
        <w:rPr>
          <w:rFonts w:ascii="Arial" w:hAnsi="Arial" w:cs="Arial"/>
          <w:b/>
          <w:bCs/>
          <w:color w:val="000000"/>
          <w:sz w:val="22"/>
          <w:szCs w:val="22"/>
        </w:rPr>
        <w:t>.</w:t>
      </w:r>
      <w:r w:rsidR="0096322C">
        <w:rPr>
          <w:rFonts w:ascii="Arial" w:hAnsi="Arial" w:cs="Arial"/>
          <w:b/>
          <w:bCs/>
          <w:color w:val="000000"/>
          <w:sz w:val="22"/>
          <w:szCs w:val="22"/>
        </w:rPr>
        <w:t>1</w:t>
      </w:r>
      <w:r w:rsidRPr="00A229D4">
        <w:rPr>
          <w:rFonts w:ascii="Arial" w:hAnsi="Arial" w:cs="Arial"/>
          <w:b/>
          <w:bCs/>
          <w:color w:val="000000"/>
          <w:sz w:val="22"/>
          <w:szCs w:val="22"/>
        </w:rPr>
        <w:t>. Enhanced Growth Prospects for EWBC</w:t>
      </w:r>
    </w:p>
    <w:p w14:paraId="70CF4A8F" w14:textId="0F3BD35D" w:rsidR="00A229D4" w:rsidRPr="00A229D4" w:rsidRDefault="00A229D4" w:rsidP="00A229D4">
      <w:pPr>
        <w:jc w:val="both"/>
        <w:rPr>
          <w:rFonts w:ascii="Arial" w:hAnsi="Arial" w:cs="Arial"/>
          <w:color w:val="000000"/>
          <w:sz w:val="22"/>
          <w:szCs w:val="22"/>
        </w:rPr>
      </w:pPr>
      <w:r w:rsidRPr="00A229D4">
        <w:rPr>
          <w:rFonts w:ascii="Arial" w:hAnsi="Arial" w:cs="Arial"/>
          <w:color w:val="000000"/>
          <w:sz w:val="22"/>
          <w:szCs w:val="22"/>
        </w:rPr>
        <w:t xml:space="preserve">Based on EWBC's management projections and the expected growth in residential and commercial loans, as well as higher interest rates </w:t>
      </w:r>
      <w:proofErr w:type="gramStart"/>
      <w:r w:rsidRPr="00A229D4">
        <w:rPr>
          <w:rFonts w:ascii="Arial" w:hAnsi="Arial" w:cs="Arial"/>
          <w:color w:val="000000"/>
          <w:sz w:val="22"/>
          <w:szCs w:val="22"/>
        </w:rPr>
        <w:t>benefiting</w:t>
      </w:r>
      <w:proofErr w:type="gramEnd"/>
      <w:r w:rsidRPr="00A229D4">
        <w:rPr>
          <w:rFonts w:ascii="Arial" w:hAnsi="Arial" w:cs="Arial"/>
          <w:color w:val="000000"/>
          <w:sz w:val="22"/>
          <w:szCs w:val="22"/>
        </w:rPr>
        <w:t xml:space="preserve"> variable-rate loans, a 2% increase in the CAGR is implemented.</w:t>
      </w:r>
    </w:p>
    <w:p w14:paraId="5B6C382D" w14:textId="77777777" w:rsidR="00A229D4" w:rsidRPr="00A229D4" w:rsidRDefault="00A229D4" w:rsidP="00A229D4">
      <w:pPr>
        <w:jc w:val="both"/>
        <w:rPr>
          <w:rFonts w:ascii="Arial" w:hAnsi="Arial" w:cs="Arial"/>
          <w:color w:val="000000"/>
          <w:sz w:val="22"/>
          <w:szCs w:val="22"/>
        </w:rPr>
      </w:pPr>
      <w:r w:rsidRPr="00A229D4">
        <w:rPr>
          <w:rFonts w:ascii="Arial" w:hAnsi="Arial" w:cs="Arial"/>
          <w:b/>
          <w:bCs/>
          <w:color w:val="000000"/>
          <w:sz w:val="22"/>
          <w:szCs w:val="22"/>
        </w:rPr>
        <w:t>Updated CAGR:</w:t>
      </w:r>
      <w:r w:rsidRPr="00A229D4">
        <w:rPr>
          <w:rFonts w:ascii="Arial" w:hAnsi="Arial" w:cs="Arial"/>
          <w:color w:val="000000"/>
          <w:sz w:val="22"/>
          <w:szCs w:val="22"/>
        </w:rPr>
        <w:t xml:space="preserve"> 17.37% + 2% = 19.37%</w:t>
      </w:r>
    </w:p>
    <w:p w14:paraId="61B3EED6" w14:textId="77777777" w:rsidR="00A229D4" w:rsidRPr="00A229D4" w:rsidRDefault="00A229D4" w:rsidP="00A229D4">
      <w:pPr>
        <w:jc w:val="both"/>
        <w:rPr>
          <w:rFonts w:ascii="Arial" w:hAnsi="Arial" w:cs="Arial"/>
          <w:color w:val="000000"/>
          <w:sz w:val="22"/>
          <w:szCs w:val="22"/>
        </w:rPr>
      </w:pPr>
      <w:r w:rsidRPr="00A229D4">
        <w:rPr>
          <w:rFonts w:ascii="Arial" w:hAnsi="Arial" w:cs="Arial"/>
          <w:b/>
          <w:bCs/>
          <w:color w:val="000000"/>
          <w:sz w:val="22"/>
          <w:szCs w:val="22"/>
        </w:rPr>
        <w:t>Updated Projected Gross Profit (4 Years):</w:t>
      </w:r>
      <w:r w:rsidRPr="00A229D4">
        <w:rPr>
          <w:rFonts w:ascii="Arial" w:hAnsi="Arial" w:cs="Arial"/>
          <w:color w:val="000000"/>
          <w:sz w:val="22"/>
          <w:szCs w:val="22"/>
        </w:rPr>
        <w:t xml:space="preserve"> $5,258.73 million</w:t>
      </w:r>
    </w:p>
    <w:p w14:paraId="4EDE7570" w14:textId="77777777" w:rsidR="00A229D4" w:rsidRPr="00A229D4" w:rsidRDefault="00A229D4" w:rsidP="00A229D4">
      <w:pPr>
        <w:jc w:val="both"/>
        <w:rPr>
          <w:rFonts w:ascii="Arial" w:hAnsi="Arial" w:cs="Arial"/>
          <w:color w:val="000000"/>
          <w:sz w:val="22"/>
          <w:szCs w:val="22"/>
        </w:rPr>
      </w:pPr>
      <w:r w:rsidRPr="00A229D4">
        <w:rPr>
          <w:rFonts w:ascii="Arial" w:hAnsi="Arial" w:cs="Arial"/>
          <w:b/>
          <w:bCs/>
          <w:color w:val="000000"/>
          <w:sz w:val="22"/>
          <w:szCs w:val="22"/>
        </w:rPr>
        <w:t>Updated Projected Value (4 Years):</w:t>
      </w:r>
      <w:r w:rsidRPr="00A229D4">
        <w:rPr>
          <w:rFonts w:ascii="Arial" w:hAnsi="Arial" w:cs="Arial"/>
          <w:color w:val="000000"/>
          <w:sz w:val="22"/>
          <w:szCs w:val="22"/>
        </w:rPr>
        <w:t xml:space="preserve"> $52,902.78 million</w:t>
      </w:r>
    </w:p>
    <w:p w14:paraId="5A2D49B2" w14:textId="6973B82A" w:rsidR="00A229D4" w:rsidRDefault="00A229D4" w:rsidP="00A229D4">
      <w:pPr>
        <w:jc w:val="both"/>
        <w:rPr>
          <w:rFonts w:ascii="Arial" w:hAnsi="Arial" w:cs="Arial"/>
          <w:color w:val="000000"/>
          <w:sz w:val="22"/>
          <w:szCs w:val="22"/>
        </w:rPr>
      </w:pPr>
      <w:r w:rsidRPr="00A229D4">
        <w:rPr>
          <w:rFonts w:ascii="Arial" w:hAnsi="Arial" w:cs="Arial"/>
          <w:color w:val="000000"/>
          <w:sz w:val="22"/>
          <w:szCs w:val="22"/>
        </w:rPr>
        <w:t>This adjustment highlights EWBC's potential to capitalize on favorable economic conditions and loan growth, further solidifying its undervaluation status</w:t>
      </w:r>
      <w:r>
        <w:rPr>
          <w:rFonts w:ascii="Arial" w:hAnsi="Arial" w:cs="Arial"/>
          <w:color w:val="000000"/>
          <w:sz w:val="22"/>
          <w:szCs w:val="22"/>
        </w:rPr>
        <w:t xml:space="preserve"> as the Updated Projected Value </w:t>
      </w:r>
      <w:r w:rsidRPr="00A229D4">
        <w:rPr>
          <w:rFonts w:ascii="Arial" w:hAnsi="Arial" w:cs="Arial"/>
          <w:color w:val="000000"/>
          <w:sz w:val="22"/>
          <w:szCs w:val="22"/>
        </w:rPr>
        <w:t>$52,902.78 million</w:t>
      </w:r>
      <w:r>
        <w:rPr>
          <w:rFonts w:ascii="Arial" w:hAnsi="Arial" w:cs="Arial"/>
          <w:color w:val="000000"/>
          <w:sz w:val="22"/>
          <w:szCs w:val="22"/>
        </w:rPr>
        <w:t xml:space="preserve"> is higher than the </w:t>
      </w:r>
      <w:r w:rsidR="0096322C">
        <w:rPr>
          <w:rFonts w:ascii="Arial" w:hAnsi="Arial" w:cs="Arial"/>
          <w:color w:val="000000"/>
          <w:sz w:val="22"/>
          <w:szCs w:val="22"/>
        </w:rPr>
        <w:t>C</w:t>
      </w:r>
      <w:r>
        <w:rPr>
          <w:rFonts w:ascii="Arial" w:hAnsi="Arial" w:cs="Arial"/>
          <w:color w:val="000000"/>
          <w:sz w:val="22"/>
          <w:szCs w:val="22"/>
        </w:rPr>
        <w:t>urrent Value</w:t>
      </w:r>
      <w:r w:rsidR="0096322C">
        <w:rPr>
          <w:rFonts w:ascii="Arial" w:hAnsi="Arial" w:cs="Arial"/>
          <w:color w:val="000000"/>
          <w:sz w:val="22"/>
          <w:szCs w:val="22"/>
        </w:rPr>
        <w:t xml:space="preserve"> of </w:t>
      </w:r>
      <w:r w:rsidR="0096322C" w:rsidRPr="00A2122E">
        <w:rPr>
          <w:rFonts w:ascii="Arial" w:eastAsia="Times New Roman" w:hAnsi="Arial" w:cs="Arial"/>
          <w:color w:val="000000"/>
          <w:kern w:val="0"/>
          <w:sz w:val="20"/>
          <w:szCs w:val="20"/>
          <w14:ligatures w14:val="none"/>
        </w:rPr>
        <w:t xml:space="preserve">$11,120 </w:t>
      </w:r>
      <w:r w:rsidR="0096322C">
        <w:rPr>
          <w:rFonts w:ascii="Arial" w:eastAsia="Times New Roman" w:hAnsi="Arial" w:cs="Arial"/>
          <w:color w:val="000000"/>
          <w:kern w:val="0"/>
          <w:sz w:val="20"/>
          <w:szCs w:val="20"/>
          <w14:ligatures w14:val="none"/>
        </w:rPr>
        <w:t>million</w:t>
      </w:r>
      <w:r w:rsidRPr="00A229D4">
        <w:rPr>
          <w:rFonts w:ascii="Arial" w:hAnsi="Arial" w:cs="Arial"/>
          <w:color w:val="000000"/>
          <w:sz w:val="22"/>
          <w:szCs w:val="22"/>
        </w:rPr>
        <w:t>.</w:t>
      </w:r>
      <w:r>
        <w:rPr>
          <w:rFonts w:ascii="Arial" w:hAnsi="Arial" w:cs="Arial"/>
          <w:color w:val="000000"/>
          <w:sz w:val="22"/>
          <w:szCs w:val="22"/>
        </w:rPr>
        <w:t xml:space="preserve"> </w:t>
      </w:r>
      <w:r w:rsidRPr="00A229D4">
        <w:rPr>
          <w:rFonts w:ascii="Arial" w:hAnsi="Arial" w:cs="Arial"/>
          <w:color w:val="000000"/>
          <w:sz w:val="22"/>
          <w:szCs w:val="22"/>
        </w:rPr>
        <w:t xml:space="preserve">East West Bancorp, Inc. (EWBC) </w:t>
      </w:r>
      <w:proofErr w:type="gramStart"/>
      <w:r w:rsidRPr="00A229D4">
        <w:rPr>
          <w:rFonts w:ascii="Arial" w:hAnsi="Arial" w:cs="Arial"/>
          <w:color w:val="000000"/>
          <w:sz w:val="22"/>
          <w:szCs w:val="22"/>
        </w:rPr>
        <w:t>remains</w:t>
      </w:r>
      <w:proofErr w:type="gramEnd"/>
      <w:r w:rsidRPr="00A229D4">
        <w:rPr>
          <w:rFonts w:ascii="Arial" w:hAnsi="Arial" w:cs="Arial"/>
          <w:color w:val="000000"/>
          <w:sz w:val="22"/>
          <w:szCs w:val="22"/>
        </w:rPr>
        <w:t xml:space="preserve"> potentially undervalued despite a recent stock price increase. The company's strong financial health, </w:t>
      </w:r>
      <w:proofErr w:type="gramStart"/>
      <w:r w:rsidRPr="00A229D4">
        <w:rPr>
          <w:rFonts w:ascii="Arial" w:hAnsi="Arial" w:cs="Arial"/>
          <w:color w:val="000000"/>
          <w:sz w:val="22"/>
          <w:szCs w:val="22"/>
        </w:rPr>
        <w:t>anticipated</w:t>
      </w:r>
      <w:proofErr w:type="gramEnd"/>
      <w:r w:rsidRPr="00A229D4">
        <w:rPr>
          <w:rFonts w:ascii="Arial" w:hAnsi="Arial" w:cs="Arial"/>
          <w:color w:val="000000"/>
          <w:sz w:val="22"/>
          <w:szCs w:val="22"/>
        </w:rPr>
        <w:t xml:space="preserve"> loan growth, and potential for improved profitability in a favorable economic environment make it an attractive investment opportunity. With the adjusted CAGR, EWBC's projected value strengthens, </w:t>
      </w:r>
      <w:proofErr w:type="gramStart"/>
      <w:r w:rsidRPr="00A229D4">
        <w:rPr>
          <w:rFonts w:ascii="Arial" w:hAnsi="Arial" w:cs="Arial"/>
          <w:color w:val="000000"/>
          <w:sz w:val="22"/>
          <w:szCs w:val="22"/>
        </w:rPr>
        <w:t>indicating</w:t>
      </w:r>
      <w:proofErr w:type="gramEnd"/>
      <w:r w:rsidRPr="00A229D4">
        <w:rPr>
          <w:rFonts w:ascii="Arial" w:hAnsi="Arial" w:cs="Arial"/>
          <w:color w:val="000000"/>
          <w:sz w:val="22"/>
          <w:szCs w:val="22"/>
        </w:rPr>
        <w:t xml:space="preserve"> ample room for shareholder rewards through dividends</w:t>
      </w:r>
      <w:r w:rsidR="0096322C">
        <w:rPr>
          <w:rFonts w:ascii="Arial" w:hAnsi="Arial" w:cs="Arial"/>
          <w:color w:val="000000"/>
          <w:sz w:val="22"/>
          <w:szCs w:val="22"/>
        </w:rPr>
        <w:t>.</w:t>
      </w:r>
    </w:p>
    <w:p w14:paraId="5088FC74" w14:textId="77777777" w:rsidR="0096322C" w:rsidRDefault="0096322C" w:rsidP="00A229D4">
      <w:pPr>
        <w:jc w:val="both"/>
        <w:rPr>
          <w:rFonts w:ascii="Arial" w:hAnsi="Arial" w:cs="Arial"/>
          <w:color w:val="000000"/>
          <w:sz w:val="22"/>
          <w:szCs w:val="22"/>
        </w:rPr>
      </w:pPr>
    </w:p>
    <w:p w14:paraId="53F13533" w14:textId="415FC948" w:rsidR="0096322C" w:rsidRPr="0096322C" w:rsidRDefault="0096322C" w:rsidP="00A229D4">
      <w:pPr>
        <w:jc w:val="both"/>
        <w:rPr>
          <w:rFonts w:ascii="Arial" w:hAnsi="Arial" w:cs="Arial"/>
          <w:b/>
          <w:bCs/>
          <w:color w:val="000000"/>
        </w:rPr>
      </w:pPr>
      <w:r w:rsidRPr="0096322C">
        <w:rPr>
          <w:rFonts w:ascii="Arial" w:hAnsi="Arial" w:cs="Arial"/>
          <w:b/>
          <w:bCs/>
          <w:color w:val="000000"/>
        </w:rPr>
        <w:t>3.3 Healthcare Sector Analysis</w:t>
      </w:r>
    </w:p>
    <w:p w14:paraId="53049AA6" w14:textId="12999BF0" w:rsidR="0096322C" w:rsidRDefault="0096322C" w:rsidP="0096322C">
      <w:pPr>
        <w:jc w:val="both"/>
        <w:rPr>
          <w:rFonts w:ascii="Arial" w:hAnsi="Arial" w:cs="Arial"/>
          <w:color w:val="000000"/>
          <w:sz w:val="22"/>
          <w:szCs w:val="22"/>
        </w:rPr>
      </w:pPr>
      <w:r w:rsidRPr="0096322C">
        <w:rPr>
          <w:rFonts w:ascii="Arial" w:hAnsi="Arial" w:cs="Arial"/>
          <w:color w:val="000000"/>
          <w:sz w:val="22"/>
          <w:szCs w:val="22"/>
        </w:rPr>
        <w:t>This section focuses on publicly traded companies within the Healthcare Plan Industry of the Healthcare Sector. The analysis includes</w:t>
      </w:r>
      <w:r>
        <w:rPr>
          <w:rFonts w:ascii="Arial" w:hAnsi="Arial" w:cs="Arial"/>
          <w:color w:val="000000"/>
          <w:sz w:val="22"/>
          <w:szCs w:val="22"/>
        </w:rPr>
        <w:t xml:space="preserve"> </w:t>
      </w:r>
      <w:r w:rsidRPr="0096322C">
        <w:rPr>
          <w:rFonts w:ascii="Arial" w:hAnsi="Arial" w:cs="Arial"/>
          <w:color w:val="000000"/>
          <w:sz w:val="22"/>
          <w:szCs w:val="22"/>
        </w:rPr>
        <w:t>CVS Health Corp (CVS)</w:t>
      </w:r>
      <w:r>
        <w:rPr>
          <w:rFonts w:ascii="Arial" w:hAnsi="Arial" w:cs="Arial"/>
          <w:color w:val="000000"/>
          <w:sz w:val="22"/>
          <w:szCs w:val="22"/>
        </w:rPr>
        <w:t xml:space="preserve">, </w:t>
      </w:r>
      <w:r w:rsidRPr="0096322C">
        <w:rPr>
          <w:rFonts w:ascii="Arial" w:hAnsi="Arial" w:cs="Arial"/>
          <w:color w:val="000000"/>
          <w:sz w:val="22"/>
          <w:szCs w:val="22"/>
        </w:rPr>
        <w:t>Centene Corp (CNC)</w:t>
      </w:r>
      <w:r>
        <w:rPr>
          <w:rFonts w:ascii="Arial" w:hAnsi="Arial" w:cs="Arial"/>
          <w:color w:val="000000"/>
          <w:sz w:val="22"/>
          <w:szCs w:val="22"/>
        </w:rPr>
        <w:t xml:space="preserve">, </w:t>
      </w:r>
      <w:r w:rsidRPr="0096322C">
        <w:rPr>
          <w:rFonts w:ascii="Arial" w:hAnsi="Arial" w:cs="Arial"/>
          <w:color w:val="000000"/>
          <w:sz w:val="22"/>
          <w:szCs w:val="22"/>
        </w:rPr>
        <w:t>Molina Healthcare Inc (MOH)</w:t>
      </w:r>
      <w:r>
        <w:rPr>
          <w:rFonts w:ascii="Arial" w:hAnsi="Arial" w:cs="Arial"/>
          <w:color w:val="000000"/>
          <w:sz w:val="22"/>
          <w:szCs w:val="22"/>
        </w:rPr>
        <w:t xml:space="preserve"> and </w:t>
      </w:r>
      <w:r w:rsidRPr="0096322C">
        <w:rPr>
          <w:rFonts w:ascii="Arial" w:hAnsi="Arial" w:cs="Arial"/>
          <w:color w:val="000000"/>
          <w:sz w:val="22"/>
          <w:szCs w:val="22"/>
        </w:rPr>
        <w:t>Elevance Health Inc (ELV</w:t>
      </w:r>
      <w:r>
        <w:rPr>
          <w:rFonts w:ascii="Arial" w:hAnsi="Arial" w:cs="Arial"/>
          <w:color w:val="000000"/>
          <w:sz w:val="22"/>
          <w:szCs w:val="22"/>
        </w:rPr>
        <w:t>).</w:t>
      </w:r>
    </w:p>
    <w:p w14:paraId="3FF8A6CA" w14:textId="54C38939" w:rsidR="00405DF1" w:rsidRPr="009935F3" w:rsidRDefault="00405DF1" w:rsidP="0096322C">
      <w:pPr>
        <w:jc w:val="both"/>
        <w:rPr>
          <w:rFonts w:ascii="Arial" w:hAnsi="Arial" w:cs="Arial"/>
          <w:color w:val="77206D" w:themeColor="accent5" w:themeShade="BF"/>
          <w:sz w:val="22"/>
          <w:szCs w:val="22"/>
        </w:rPr>
      </w:pPr>
      <w:r w:rsidRPr="009935F3">
        <w:rPr>
          <w:rStyle w:val="Strong"/>
          <w:rFonts w:ascii="Arial" w:hAnsi="Arial" w:cs="Arial"/>
          <w:color w:val="77206D" w:themeColor="accent5" w:themeShade="BF"/>
          <w:sz w:val="22"/>
          <w:szCs w:val="22"/>
        </w:rPr>
        <w:t>Based on its lower P/E ratio, higher gross profit, and higher growth rate (CAGR) compared to Centene, CVS Health Corp (CVS) appears to be the most undervalued company.</w:t>
      </w:r>
      <w:r w:rsidRPr="009935F3">
        <w:rPr>
          <w:rFonts w:ascii="Arial" w:hAnsi="Arial" w:cs="Arial"/>
          <w:color w:val="77206D" w:themeColor="accent5" w:themeShade="BF"/>
          <w:sz w:val="22"/>
          <w:szCs w:val="22"/>
        </w:rPr>
        <w:t xml:space="preserve"> While CVS has a slightly lower ROE, its overall financial health and growth potential make it a compelling investment opportunity</w:t>
      </w:r>
    </w:p>
    <w:p w14:paraId="504C3A97" w14:textId="77777777" w:rsidR="00405DF1" w:rsidRPr="00405DF1" w:rsidRDefault="00405DF1" w:rsidP="0096322C">
      <w:pPr>
        <w:jc w:val="both"/>
        <w:rPr>
          <w:rFonts w:ascii="Arial" w:hAnsi="Arial" w:cs="Arial"/>
          <w:color w:val="000000"/>
          <w:sz w:val="22"/>
          <w:szCs w:val="22"/>
        </w:rPr>
      </w:pPr>
    </w:p>
    <w:p w14:paraId="2B2573DB" w14:textId="77777777" w:rsidR="002A6493" w:rsidRDefault="002A6493" w:rsidP="008A0F28">
      <w:pPr>
        <w:jc w:val="both"/>
        <w:rPr>
          <w:rFonts w:ascii="Arial" w:hAnsi="Arial" w:cs="Arial"/>
          <w:color w:val="000000"/>
          <w:sz w:val="20"/>
          <w:szCs w:val="20"/>
        </w:rPr>
      </w:pPr>
    </w:p>
    <w:p w14:paraId="10ACB7F0" w14:textId="77777777" w:rsidR="00405DF1" w:rsidRDefault="00405DF1" w:rsidP="008A0F28">
      <w:pPr>
        <w:jc w:val="both"/>
        <w:rPr>
          <w:rFonts w:ascii="Arial" w:hAnsi="Arial" w:cs="Arial"/>
          <w:color w:val="000000"/>
          <w:sz w:val="20"/>
          <w:szCs w:val="20"/>
        </w:rPr>
      </w:pPr>
    </w:p>
    <w:p w14:paraId="57E3A6A5" w14:textId="77777777" w:rsidR="00405DF1" w:rsidRDefault="00405DF1" w:rsidP="008A0F28">
      <w:pPr>
        <w:jc w:val="both"/>
        <w:rPr>
          <w:rFonts w:ascii="Arial" w:hAnsi="Arial" w:cs="Arial"/>
          <w:color w:val="000000"/>
          <w:sz w:val="20"/>
          <w:szCs w:val="20"/>
        </w:rPr>
      </w:pPr>
    </w:p>
    <w:p w14:paraId="7BA907E6" w14:textId="555F087D" w:rsidR="00405DF1" w:rsidRPr="00405DF1" w:rsidRDefault="00405DF1" w:rsidP="008A0F28">
      <w:pPr>
        <w:jc w:val="both"/>
        <w:rPr>
          <w:rFonts w:ascii="Arial" w:hAnsi="Arial" w:cs="Arial"/>
          <w:b/>
          <w:bCs/>
          <w:color w:val="000000"/>
          <w:sz w:val="18"/>
          <w:szCs w:val="18"/>
          <w:u w:val="single"/>
        </w:rPr>
      </w:pPr>
      <w:r>
        <w:rPr>
          <w:rFonts w:ascii="Arial" w:hAnsi="Arial" w:cs="Arial"/>
          <w:b/>
          <w:bCs/>
          <w:color w:val="000000"/>
          <w:sz w:val="18"/>
          <w:szCs w:val="18"/>
          <w:u w:val="single"/>
        </w:rPr>
        <w:lastRenderedPageBreak/>
        <w:t>Table 3 showing the comparative and valuation analysis of the HealthCare Sector</w:t>
      </w:r>
    </w:p>
    <w:tbl>
      <w:tblPr>
        <w:tblpPr w:leftFromText="180" w:rightFromText="180" w:vertAnchor="text" w:horzAnchor="page" w:tblpX="1" w:tblpY="-59"/>
        <w:tblW w:w="15960" w:type="dxa"/>
        <w:tblLayout w:type="fixed"/>
        <w:tblLook w:val="04A0" w:firstRow="1" w:lastRow="0" w:firstColumn="1" w:lastColumn="0" w:noHBand="0" w:noVBand="1"/>
      </w:tblPr>
      <w:tblGrid>
        <w:gridCol w:w="890"/>
        <w:gridCol w:w="1072"/>
        <w:gridCol w:w="908"/>
        <w:gridCol w:w="1006"/>
        <w:gridCol w:w="895"/>
        <w:gridCol w:w="709"/>
        <w:gridCol w:w="1106"/>
        <w:gridCol w:w="1217"/>
        <w:gridCol w:w="1217"/>
        <w:gridCol w:w="1217"/>
        <w:gridCol w:w="1072"/>
        <w:gridCol w:w="1072"/>
        <w:gridCol w:w="749"/>
        <w:gridCol w:w="1334"/>
        <w:gridCol w:w="1496"/>
      </w:tblGrid>
      <w:tr w:rsidR="00405DF1" w:rsidRPr="001F2323" w14:paraId="0C227D46" w14:textId="77777777" w:rsidTr="00405DF1">
        <w:trPr>
          <w:trHeight w:val="330"/>
        </w:trPr>
        <w:tc>
          <w:tcPr>
            <w:tcW w:w="14464" w:type="dxa"/>
            <w:gridSpan w:val="14"/>
            <w:tcBorders>
              <w:top w:val="single" w:sz="8" w:space="0" w:color="auto"/>
              <w:left w:val="single" w:sz="8" w:space="0" w:color="auto"/>
              <w:bottom w:val="single" w:sz="8" w:space="0" w:color="auto"/>
              <w:right w:val="nil"/>
            </w:tcBorders>
            <w:shd w:val="clear" w:color="auto" w:fill="auto"/>
            <w:noWrap/>
            <w:vAlign w:val="bottom"/>
            <w:hideMark/>
          </w:tcPr>
          <w:p w14:paraId="766127F1" w14:textId="77777777" w:rsidR="00405DF1" w:rsidRPr="001F2323" w:rsidRDefault="00405DF1" w:rsidP="00405DF1">
            <w:pPr>
              <w:spacing w:after="0" w:line="240" w:lineRule="auto"/>
              <w:jc w:val="both"/>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 xml:space="preserve">                                 </w:t>
            </w:r>
            <w:r w:rsidRPr="001F2323">
              <w:rPr>
                <w:rFonts w:ascii="Arial" w:eastAsia="Times New Roman" w:hAnsi="Arial" w:cs="Arial"/>
                <w:b/>
                <w:bCs/>
                <w:color w:val="000000"/>
                <w:kern w:val="0"/>
                <w14:ligatures w14:val="none"/>
              </w:rPr>
              <w:t>Data Collection, Comparative Analysis and Valuation for Health Sector (Healthcare Plan)</w:t>
            </w:r>
          </w:p>
        </w:tc>
        <w:tc>
          <w:tcPr>
            <w:tcW w:w="1496" w:type="dxa"/>
            <w:tcBorders>
              <w:top w:val="single" w:sz="8" w:space="0" w:color="auto"/>
              <w:left w:val="nil"/>
              <w:bottom w:val="single" w:sz="8" w:space="0" w:color="auto"/>
              <w:right w:val="single" w:sz="8" w:space="0" w:color="auto"/>
            </w:tcBorders>
            <w:shd w:val="clear" w:color="auto" w:fill="auto"/>
            <w:noWrap/>
            <w:vAlign w:val="bottom"/>
            <w:hideMark/>
          </w:tcPr>
          <w:p w14:paraId="08464DC7" w14:textId="77777777" w:rsidR="00405DF1" w:rsidRPr="001F2323" w:rsidRDefault="00405DF1" w:rsidP="00405DF1">
            <w:pPr>
              <w:spacing w:after="0" w:line="240" w:lineRule="auto"/>
              <w:jc w:val="both"/>
              <w:rPr>
                <w:rFonts w:ascii="Arial" w:eastAsia="Times New Roman" w:hAnsi="Arial" w:cs="Arial"/>
                <w:color w:val="000000"/>
                <w:kern w:val="0"/>
                <w:sz w:val="22"/>
                <w:szCs w:val="22"/>
                <w14:ligatures w14:val="none"/>
              </w:rPr>
            </w:pPr>
            <w:r w:rsidRPr="001F2323">
              <w:rPr>
                <w:rFonts w:ascii="Arial" w:eastAsia="Times New Roman" w:hAnsi="Arial" w:cs="Arial"/>
                <w:color w:val="000000"/>
                <w:kern w:val="0"/>
                <w:sz w:val="22"/>
                <w:szCs w:val="22"/>
                <w14:ligatures w14:val="none"/>
              </w:rPr>
              <w:t> </w:t>
            </w:r>
          </w:p>
        </w:tc>
      </w:tr>
      <w:tr w:rsidR="00405DF1" w:rsidRPr="008A0F28" w14:paraId="2216A4A5" w14:textId="77777777" w:rsidTr="00405DF1">
        <w:trPr>
          <w:trHeight w:val="1320"/>
        </w:trPr>
        <w:tc>
          <w:tcPr>
            <w:tcW w:w="890" w:type="dxa"/>
            <w:tcBorders>
              <w:top w:val="nil"/>
              <w:left w:val="single" w:sz="8" w:space="0" w:color="auto"/>
              <w:bottom w:val="dotted" w:sz="4" w:space="0" w:color="000000"/>
              <w:right w:val="dotted" w:sz="4" w:space="0" w:color="000000"/>
            </w:tcBorders>
            <w:shd w:val="clear" w:color="auto" w:fill="auto"/>
            <w:vAlign w:val="bottom"/>
            <w:hideMark/>
          </w:tcPr>
          <w:p w14:paraId="222C9FD4"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Ticker</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24FC40BD"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Market Cap (Current) (million)</w:t>
            </w:r>
          </w:p>
        </w:tc>
        <w:tc>
          <w:tcPr>
            <w:tcW w:w="908" w:type="dxa"/>
            <w:tcBorders>
              <w:top w:val="nil"/>
              <w:left w:val="single" w:sz="8" w:space="0" w:color="CCCCCC"/>
              <w:bottom w:val="dotted" w:sz="4" w:space="0" w:color="000000"/>
              <w:right w:val="dotted" w:sz="4" w:space="0" w:color="000000"/>
            </w:tcBorders>
            <w:shd w:val="clear" w:color="auto" w:fill="auto"/>
            <w:vAlign w:val="bottom"/>
            <w:hideMark/>
          </w:tcPr>
          <w:p w14:paraId="7C4C5964"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Price Per Earnings Ratio (Current)</w:t>
            </w:r>
          </w:p>
        </w:tc>
        <w:tc>
          <w:tcPr>
            <w:tcW w:w="1006" w:type="dxa"/>
            <w:tcBorders>
              <w:top w:val="nil"/>
              <w:left w:val="single" w:sz="8" w:space="0" w:color="CCCCCC"/>
              <w:bottom w:val="dotted" w:sz="4" w:space="0" w:color="000000"/>
              <w:right w:val="dotted" w:sz="4" w:space="0" w:color="000000"/>
            </w:tcBorders>
            <w:shd w:val="clear" w:color="auto" w:fill="auto"/>
            <w:vAlign w:val="bottom"/>
            <w:hideMark/>
          </w:tcPr>
          <w:p w14:paraId="180E3D27"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Industry Average P/E Ratio</w:t>
            </w:r>
          </w:p>
        </w:tc>
        <w:tc>
          <w:tcPr>
            <w:tcW w:w="895" w:type="dxa"/>
            <w:tcBorders>
              <w:top w:val="nil"/>
              <w:left w:val="single" w:sz="8" w:space="0" w:color="CCCCCC"/>
              <w:bottom w:val="dotted" w:sz="4" w:space="0" w:color="000000"/>
              <w:right w:val="dotted" w:sz="4" w:space="0" w:color="000000"/>
            </w:tcBorders>
            <w:shd w:val="clear" w:color="auto" w:fill="auto"/>
            <w:vAlign w:val="bottom"/>
            <w:hideMark/>
          </w:tcPr>
          <w:p w14:paraId="754CC354"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Return on Equity (ROE)</w:t>
            </w:r>
          </w:p>
        </w:tc>
        <w:tc>
          <w:tcPr>
            <w:tcW w:w="709" w:type="dxa"/>
            <w:tcBorders>
              <w:top w:val="nil"/>
              <w:left w:val="single" w:sz="8" w:space="0" w:color="CCCCCC"/>
              <w:bottom w:val="dotted" w:sz="4" w:space="0" w:color="000000"/>
              <w:right w:val="dotted" w:sz="4" w:space="0" w:color="000000"/>
            </w:tcBorders>
            <w:shd w:val="clear" w:color="auto" w:fill="auto"/>
            <w:vAlign w:val="bottom"/>
            <w:hideMark/>
          </w:tcPr>
          <w:p w14:paraId="1CEE5645"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Industry Average ROE</w:t>
            </w:r>
          </w:p>
        </w:tc>
        <w:tc>
          <w:tcPr>
            <w:tcW w:w="1106" w:type="dxa"/>
            <w:tcBorders>
              <w:top w:val="nil"/>
              <w:left w:val="single" w:sz="8" w:space="0" w:color="CCCCCC"/>
              <w:bottom w:val="dotted" w:sz="4" w:space="0" w:color="000000"/>
              <w:right w:val="dotted" w:sz="4" w:space="0" w:color="000000"/>
            </w:tcBorders>
            <w:shd w:val="clear" w:color="auto" w:fill="auto"/>
            <w:vAlign w:val="bottom"/>
            <w:hideMark/>
          </w:tcPr>
          <w:p w14:paraId="7E704624"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TTM (Current) (million)</w:t>
            </w:r>
          </w:p>
        </w:tc>
        <w:tc>
          <w:tcPr>
            <w:tcW w:w="1217" w:type="dxa"/>
            <w:tcBorders>
              <w:top w:val="nil"/>
              <w:left w:val="single" w:sz="8" w:space="0" w:color="CCCCCC"/>
              <w:bottom w:val="dotted" w:sz="4" w:space="0" w:color="000000"/>
              <w:right w:val="dotted" w:sz="4" w:space="0" w:color="000000"/>
            </w:tcBorders>
            <w:shd w:val="clear" w:color="auto" w:fill="auto"/>
            <w:vAlign w:val="bottom"/>
            <w:hideMark/>
          </w:tcPr>
          <w:p w14:paraId="343FD24F"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31-12-2023 (million)</w:t>
            </w:r>
          </w:p>
        </w:tc>
        <w:tc>
          <w:tcPr>
            <w:tcW w:w="1217" w:type="dxa"/>
            <w:tcBorders>
              <w:top w:val="nil"/>
              <w:left w:val="single" w:sz="8" w:space="0" w:color="CCCCCC"/>
              <w:bottom w:val="dotted" w:sz="4" w:space="0" w:color="000000"/>
              <w:right w:val="dotted" w:sz="4" w:space="0" w:color="000000"/>
            </w:tcBorders>
            <w:shd w:val="clear" w:color="000000" w:fill="FFFFFF"/>
            <w:vAlign w:val="bottom"/>
            <w:hideMark/>
          </w:tcPr>
          <w:p w14:paraId="0F73E4AA"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31-12-2022 (million)</w:t>
            </w:r>
          </w:p>
        </w:tc>
        <w:tc>
          <w:tcPr>
            <w:tcW w:w="1217" w:type="dxa"/>
            <w:tcBorders>
              <w:top w:val="nil"/>
              <w:left w:val="single" w:sz="8" w:space="0" w:color="CCCCCC"/>
              <w:bottom w:val="dotted" w:sz="4" w:space="0" w:color="000000"/>
              <w:right w:val="dotted" w:sz="4" w:space="0" w:color="000000"/>
            </w:tcBorders>
            <w:shd w:val="clear" w:color="000000" w:fill="FFFFFF"/>
            <w:vAlign w:val="bottom"/>
            <w:hideMark/>
          </w:tcPr>
          <w:p w14:paraId="6C17F791" w14:textId="77777777" w:rsidR="00405DF1" w:rsidRPr="001F2323" w:rsidRDefault="00405DF1" w:rsidP="00405DF1">
            <w:pPr>
              <w:spacing w:after="0" w:line="240" w:lineRule="auto"/>
              <w:jc w:val="both"/>
              <w:rPr>
                <w:rFonts w:ascii="Arial" w:eastAsia="Times New Roman" w:hAnsi="Arial" w:cs="Arial"/>
                <w:b/>
                <w:bCs/>
                <w:color w:val="1F1F1F"/>
                <w:kern w:val="0"/>
                <w:sz w:val="20"/>
                <w:szCs w:val="20"/>
                <w14:ligatures w14:val="none"/>
              </w:rPr>
            </w:pPr>
            <w:r w:rsidRPr="001F2323">
              <w:rPr>
                <w:rFonts w:ascii="Arial" w:eastAsia="Times New Roman" w:hAnsi="Arial" w:cs="Arial"/>
                <w:b/>
                <w:bCs/>
                <w:color w:val="1F1F1F"/>
                <w:kern w:val="0"/>
                <w:sz w:val="20"/>
                <w:szCs w:val="20"/>
                <w14:ligatures w14:val="none"/>
              </w:rPr>
              <w:t>Gross Profit 31-12-2020 (million)</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6E815D26"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Margin (Current)</w:t>
            </w:r>
          </w:p>
        </w:tc>
        <w:tc>
          <w:tcPr>
            <w:tcW w:w="1072" w:type="dxa"/>
            <w:tcBorders>
              <w:top w:val="nil"/>
              <w:left w:val="single" w:sz="8" w:space="0" w:color="CCCCCC"/>
              <w:bottom w:val="dotted" w:sz="4" w:space="0" w:color="000000"/>
              <w:right w:val="dotted" w:sz="4" w:space="0" w:color="000000"/>
            </w:tcBorders>
            <w:shd w:val="clear" w:color="auto" w:fill="auto"/>
            <w:vAlign w:val="bottom"/>
            <w:hideMark/>
          </w:tcPr>
          <w:p w14:paraId="73DF7529"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Growth (Current) (%)</w:t>
            </w:r>
          </w:p>
        </w:tc>
        <w:tc>
          <w:tcPr>
            <w:tcW w:w="749" w:type="dxa"/>
            <w:tcBorders>
              <w:top w:val="nil"/>
              <w:left w:val="single" w:sz="8" w:space="0" w:color="CCCCCC"/>
              <w:bottom w:val="dotted" w:sz="4" w:space="0" w:color="000000"/>
              <w:right w:val="dotted" w:sz="4" w:space="0" w:color="000000"/>
            </w:tcBorders>
            <w:shd w:val="clear" w:color="auto" w:fill="auto"/>
            <w:vAlign w:val="bottom"/>
            <w:hideMark/>
          </w:tcPr>
          <w:p w14:paraId="5E9E978F"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CAGR</w:t>
            </w:r>
          </w:p>
        </w:tc>
        <w:tc>
          <w:tcPr>
            <w:tcW w:w="1334" w:type="dxa"/>
            <w:tcBorders>
              <w:top w:val="nil"/>
              <w:left w:val="single" w:sz="8" w:space="0" w:color="CCCCCC"/>
              <w:bottom w:val="dotted" w:sz="4" w:space="0" w:color="000000"/>
              <w:right w:val="dotted" w:sz="4" w:space="0" w:color="000000"/>
            </w:tcBorders>
            <w:shd w:val="clear" w:color="auto" w:fill="auto"/>
            <w:vAlign w:val="bottom"/>
            <w:hideMark/>
          </w:tcPr>
          <w:p w14:paraId="052937EC"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Projected Gross Profit (4 Years) (million)</w:t>
            </w:r>
          </w:p>
        </w:tc>
        <w:tc>
          <w:tcPr>
            <w:tcW w:w="1496" w:type="dxa"/>
            <w:tcBorders>
              <w:top w:val="nil"/>
              <w:left w:val="single" w:sz="8" w:space="0" w:color="CCCCCC"/>
              <w:bottom w:val="dotted" w:sz="4" w:space="0" w:color="000000"/>
              <w:right w:val="single" w:sz="8" w:space="0" w:color="auto"/>
            </w:tcBorders>
            <w:shd w:val="clear" w:color="000000" w:fill="FFFFFF"/>
            <w:vAlign w:val="bottom"/>
            <w:hideMark/>
          </w:tcPr>
          <w:p w14:paraId="19530C96"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Projected Value (4 Years) (million)</w:t>
            </w:r>
          </w:p>
        </w:tc>
      </w:tr>
      <w:tr w:rsidR="00405DF1" w:rsidRPr="008A0F28" w14:paraId="1834F780" w14:textId="77777777" w:rsidTr="00405DF1">
        <w:trPr>
          <w:trHeight w:val="300"/>
        </w:trPr>
        <w:tc>
          <w:tcPr>
            <w:tcW w:w="890"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59B712B9"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CVS</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F5639AB"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$74,780 </w:t>
            </w:r>
          </w:p>
        </w:tc>
        <w:tc>
          <w:tcPr>
            <w:tcW w:w="90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9EF35A2"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10.47</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8E93988"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20.2</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650DA4A"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10.07%</w:t>
            </w:r>
          </w:p>
        </w:tc>
        <w:tc>
          <w:tcPr>
            <w:tcW w:w="70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6D33873"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7.90%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0297F6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$147,220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308596C"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$140,678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25B4C04"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$125,575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3800FBD"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$104,725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E8C125"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14.95</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646691C"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17.24%</w:t>
            </w:r>
          </w:p>
        </w:tc>
        <w:tc>
          <w:tcPr>
            <w:tcW w:w="74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63B0148"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10.34%</w:t>
            </w:r>
          </w:p>
        </w:tc>
        <w:tc>
          <w:tcPr>
            <w:tcW w:w="133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0AD0425"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$218,206.61 </w:t>
            </w:r>
          </w:p>
        </w:tc>
        <w:tc>
          <w:tcPr>
            <w:tcW w:w="1496"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7884C2E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$2,284,623.20 </w:t>
            </w:r>
          </w:p>
        </w:tc>
      </w:tr>
      <w:tr w:rsidR="00405DF1" w:rsidRPr="008A0F28" w14:paraId="1685E1D7" w14:textId="77777777" w:rsidTr="00405DF1">
        <w:trPr>
          <w:trHeight w:val="300"/>
        </w:trPr>
        <w:tc>
          <w:tcPr>
            <w:tcW w:w="890"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4307A12C"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CNC</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6BEED41"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$35,350 </w:t>
            </w:r>
          </w:p>
        </w:tc>
        <w:tc>
          <w:tcPr>
            <w:tcW w:w="90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5A0890A"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13.16</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AB627D6"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20.2</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9232976"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10.52%</w:t>
            </w:r>
          </w:p>
        </w:tc>
        <w:tc>
          <w:tcPr>
            <w:tcW w:w="70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4FA8337"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7.90%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988855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$17,390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56F079C"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$17,315.00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F83B255"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$16,656.00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A5D255E"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$15,216.00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6F73B9"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11.18%</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8B73B4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4.41%</w:t>
            </w:r>
          </w:p>
        </w:tc>
        <w:tc>
          <w:tcPr>
            <w:tcW w:w="74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868E53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4.40%</w:t>
            </w:r>
          </w:p>
        </w:tc>
        <w:tc>
          <w:tcPr>
            <w:tcW w:w="133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B2D1B3C"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$20,659.93 </w:t>
            </w:r>
          </w:p>
        </w:tc>
        <w:tc>
          <w:tcPr>
            <w:tcW w:w="1496"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4C7A9A7F"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$271,884.72 </w:t>
            </w:r>
          </w:p>
        </w:tc>
      </w:tr>
      <w:tr w:rsidR="00405DF1" w:rsidRPr="008A0F28" w14:paraId="49B31AE8" w14:textId="77777777" w:rsidTr="00405DF1">
        <w:trPr>
          <w:trHeight w:val="300"/>
        </w:trPr>
        <w:tc>
          <w:tcPr>
            <w:tcW w:w="890"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2935B792"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MOH</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CD013F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$16,900 </w:t>
            </w:r>
          </w:p>
        </w:tc>
        <w:tc>
          <w:tcPr>
            <w:tcW w:w="90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599A4FF"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15.65</w:t>
            </w:r>
          </w:p>
        </w:tc>
        <w:tc>
          <w:tcPr>
            <w:tcW w:w="10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5B9711"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20.2</w:t>
            </w:r>
          </w:p>
        </w:tc>
        <w:tc>
          <w:tcPr>
            <w:tcW w:w="895"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EBF2524"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27.53%</w:t>
            </w:r>
          </w:p>
        </w:tc>
        <w:tc>
          <w:tcPr>
            <w:tcW w:w="70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600B83B"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7.90%</w:t>
            </w:r>
          </w:p>
        </w:tc>
        <w:tc>
          <w:tcPr>
            <w:tcW w:w="1106"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4A8ADB0"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$5,640.00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61C1541"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$5,403.00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E6809B2"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$4,799.00 </w:t>
            </w:r>
          </w:p>
        </w:tc>
        <w:tc>
          <w:tcPr>
            <w:tcW w:w="121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848DC84"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$3,603.00 </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E40682D"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15.74%</w:t>
            </w:r>
          </w:p>
        </w:tc>
        <w:tc>
          <w:tcPr>
            <w:tcW w:w="1072"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7E97757"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17.52%</w:t>
            </w:r>
          </w:p>
        </w:tc>
        <w:tc>
          <w:tcPr>
            <w:tcW w:w="749"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2941B27"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14.46%</w:t>
            </w:r>
          </w:p>
        </w:tc>
        <w:tc>
          <w:tcPr>
            <w:tcW w:w="133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6E252C6"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$9,680.70 </w:t>
            </w:r>
          </w:p>
        </w:tc>
        <w:tc>
          <w:tcPr>
            <w:tcW w:w="1496" w:type="dxa"/>
            <w:tcBorders>
              <w:top w:val="single" w:sz="8" w:space="0" w:color="CCCCCC"/>
              <w:left w:val="single" w:sz="8" w:space="0" w:color="CCCCCC"/>
              <w:bottom w:val="dotted" w:sz="4" w:space="0" w:color="000000"/>
              <w:right w:val="single" w:sz="8" w:space="0" w:color="auto"/>
            </w:tcBorders>
            <w:shd w:val="clear" w:color="auto" w:fill="auto"/>
            <w:vAlign w:val="bottom"/>
            <w:hideMark/>
          </w:tcPr>
          <w:p w14:paraId="438E6B31"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$151,502.94 </w:t>
            </w:r>
          </w:p>
        </w:tc>
      </w:tr>
      <w:tr w:rsidR="00405DF1" w:rsidRPr="008A0F28" w14:paraId="0D86C4E8" w14:textId="77777777" w:rsidTr="00405DF1">
        <w:trPr>
          <w:trHeight w:val="300"/>
        </w:trPr>
        <w:tc>
          <w:tcPr>
            <w:tcW w:w="890" w:type="dxa"/>
            <w:tcBorders>
              <w:top w:val="single" w:sz="8" w:space="0" w:color="CCCCCC"/>
              <w:left w:val="single" w:sz="8" w:space="0" w:color="auto"/>
              <w:bottom w:val="single" w:sz="8" w:space="0" w:color="auto"/>
              <w:right w:val="dotted" w:sz="4" w:space="0" w:color="000000"/>
            </w:tcBorders>
            <w:shd w:val="clear" w:color="auto" w:fill="auto"/>
            <w:hideMark/>
          </w:tcPr>
          <w:p w14:paraId="771C0387" w14:textId="77777777" w:rsidR="00405DF1" w:rsidRPr="001F2323" w:rsidRDefault="00405DF1" w:rsidP="00405DF1">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ELV</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08C05CAA"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$115,970 </w:t>
            </w:r>
          </w:p>
        </w:tc>
        <w:tc>
          <w:tcPr>
            <w:tcW w:w="908" w:type="dxa"/>
            <w:tcBorders>
              <w:top w:val="single" w:sz="8" w:space="0" w:color="CCCCCC"/>
              <w:left w:val="single" w:sz="8" w:space="0" w:color="CCCCCC"/>
              <w:bottom w:val="single" w:sz="8" w:space="0" w:color="auto"/>
              <w:right w:val="dotted" w:sz="4" w:space="0" w:color="000000"/>
            </w:tcBorders>
            <w:shd w:val="clear" w:color="auto" w:fill="auto"/>
            <w:hideMark/>
          </w:tcPr>
          <w:p w14:paraId="56AF9ABB"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17.53</w:t>
            </w:r>
          </w:p>
        </w:tc>
        <w:tc>
          <w:tcPr>
            <w:tcW w:w="1006" w:type="dxa"/>
            <w:tcBorders>
              <w:top w:val="single" w:sz="8" w:space="0" w:color="CCCCCC"/>
              <w:left w:val="single" w:sz="8" w:space="0" w:color="CCCCCC"/>
              <w:bottom w:val="single" w:sz="8" w:space="0" w:color="auto"/>
              <w:right w:val="dotted" w:sz="4" w:space="0" w:color="000000"/>
            </w:tcBorders>
            <w:shd w:val="clear" w:color="auto" w:fill="auto"/>
            <w:hideMark/>
          </w:tcPr>
          <w:p w14:paraId="29CFE1E2"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20.2</w:t>
            </w:r>
          </w:p>
        </w:tc>
        <w:tc>
          <w:tcPr>
            <w:tcW w:w="895" w:type="dxa"/>
            <w:tcBorders>
              <w:top w:val="single" w:sz="8" w:space="0" w:color="CCCCCC"/>
              <w:left w:val="single" w:sz="8" w:space="0" w:color="CCCCCC"/>
              <w:bottom w:val="single" w:sz="8" w:space="0" w:color="auto"/>
              <w:right w:val="dotted" w:sz="4" w:space="0" w:color="000000"/>
            </w:tcBorders>
            <w:shd w:val="clear" w:color="auto" w:fill="auto"/>
            <w:hideMark/>
          </w:tcPr>
          <w:p w14:paraId="27196ECC"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16.65%</w:t>
            </w:r>
          </w:p>
        </w:tc>
        <w:tc>
          <w:tcPr>
            <w:tcW w:w="709" w:type="dxa"/>
            <w:tcBorders>
              <w:top w:val="single" w:sz="8" w:space="0" w:color="CCCCCC"/>
              <w:left w:val="single" w:sz="8" w:space="0" w:color="CCCCCC"/>
              <w:bottom w:val="single" w:sz="8" w:space="0" w:color="auto"/>
              <w:right w:val="dotted" w:sz="4" w:space="0" w:color="000000"/>
            </w:tcBorders>
            <w:shd w:val="clear" w:color="auto" w:fill="auto"/>
            <w:hideMark/>
          </w:tcPr>
          <w:p w14:paraId="15BC5DD5"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7.90%</w:t>
            </w:r>
          </w:p>
        </w:tc>
        <w:tc>
          <w:tcPr>
            <w:tcW w:w="1106" w:type="dxa"/>
            <w:tcBorders>
              <w:top w:val="single" w:sz="8" w:space="0" w:color="CCCCCC"/>
              <w:left w:val="single" w:sz="8" w:space="0" w:color="CCCCCC"/>
              <w:bottom w:val="single" w:sz="8" w:space="0" w:color="auto"/>
              <w:right w:val="dotted" w:sz="4" w:space="0" w:color="000000"/>
            </w:tcBorders>
            <w:shd w:val="clear" w:color="auto" w:fill="auto"/>
            <w:hideMark/>
          </w:tcPr>
          <w:p w14:paraId="7668600F"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$30,770 </w:t>
            </w:r>
          </w:p>
        </w:tc>
        <w:tc>
          <w:tcPr>
            <w:tcW w:w="1217" w:type="dxa"/>
            <w:tcBorders>
              <w:top w:val="single" w:sz="8" w:space="0" w:color="CCCCCC"/>
              <w:left w:val="single" w:sz="8" w:space="0" w:color="CCCCCC"/>
              <w:bottom w:val="single" w:sz="8" w:space="0" w:color="auto"/>
              <w:right w:val="dotted" w:sz="4" w:space="0" w:color="000000"/>
            </w:tcBorders>
            <w:shd w:val="clear" w:color="auto" w:fill="auto"/>
            <w:hideMark/>
          </w:tcPr>
          <w:p w14:paraId="1D3A1BAF"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$29,717 </w:t>
            </w:r>
          </w:p>
        </w:tc>
        <w:tc>
          <w:tcPr>
            <w:tcW w:w="1217" w:type="dxa"/>
            <w:tcBorders>
              <w:top w:val="single" w:sz="8" w:space="0" w:color="CCCCCC"/>
              <w:left w:val="single" w:sz="8" w:space="0" w:color="CCCCCC"/>
              <w:bottom w:val="single" w:sz="8" w:space="0" w:color="auto"/>
              <w:right w:val="dotted" w:sz="4" w:space="0" w:color="000000"/>
            </w:tcBorders>
            <w:shd w:val="clear" w:color="auto" w:fill="auto"/>
            <w:hideMark/>
          </w:tcPr>
          <w:p w14:paraId="5944C258"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$26,918 </w:t>
            </w:r>
          </w:p>
        </w:tc>
        <w:tc>
          <w:tcPr>
            <w:tcW w:w="1217" w:type="dxa"/>
            <w:tcBorders>
              <w:top w:val="single" w:sz="8" w:space="0" w:color="CCCCCC"/>
              <w:left w:val="single" w:sz="8" w:space="0" w:color="CCCCCC"/>
              <w:bottom w:val="single" w:sz="8" w:space="0" w:color="auto"/>
              <w:right w:val="dotted" w:sz="4" w:space="0" w:color="000000"/>
            </w:tcBorders>
            <w:shd w:val="clear" w:color="auto" w:fill="auto"/>
            <w:hideMark/>
          </w:tcPr>
          <w:p w14:paraId="3DE08588"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$24,869 </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696F8AE5"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17.89%</w:t>
            </w:r>
          </w:p>
        </w:tc>
        <w:tc>
          <w:tcPr>
            <w:tcW w:w="1072" w:type="dxa"/>
            <w:tcBorders>
              <w:top w:val="single" w:sz="8" w:space="0" w:color="CCCCCC"/>
              <w:left w:val="single" w:sz="8" w:space="0" w:color="CCCCCC"/>
              <w:bottom w:val="single" w:sz="8" w:space="0" w:color="auto"/>
              <w:right w:val="dotted" w:sz="4" w:space="0" w:color="000000"/>
            </w:tcBorders>
            <w:shd w:val="clear" w:color="auto" w:fill="auto"/>
            <w:hideMark/>
          </w:tcPr>
          <w:p w14:paraId="773060E2"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14.31%</w:t>
            </w:r>
          </w:p>
        </w:tc>
        <w:tc>
          <w:tcPr>
            <w:tcW w:w="749" w:type="dxa"/>
            <w:tcBorders>
              <w:top w:val="single" w:sz="8" w:space="0" w:color="CCCCCC"/>
              <w:left w:val="single" w:sz="8" w:space="0" w:color="CCCCCC"/>
              <w:bottom w:val="single" w:sz="8" w:space="0" w:color="auto"/>
              <w:right w:val="dotted" w:sz="4" w:space="0" w:color="000000"/>
            </w:tcBorders>
            <w:shd w:val="clear" w:color="auto" w:fill="auto"/>
            <w:hideMark/>
          </w:tcPr>
          <w:p w14:paraId="1601BB4F"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6.12%</w:t>
            </w:r>
          </w:p>
        </w:tc>
        <w:tc>
          <w:tcPr>
            <w:tcW w:w="1334" w:type="dxa"/>
            <w:tcBorders>
              <w:top w:val="single" w:sz="8" w:space="0" w:color="CCCCCC"/>
              <w:left w:val="single" w:sz="8" w:space="0" w:color="CCCCCC"/>
              <w:bottom w:val="single" w:sz="8" w:space="0" w:color="auto"/>
              <w:right w:val="dotted" w:sz="4" w:space="0" w:color="000000"/>
            </w:tcBorders>
            <w:shd w:val="clear" w:color="auto" w:fill="auto"/>
            <w:hideMark/>
          </w:tcPr>
          <w:p w14:paraId="5B7B8D41"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$39,017.22 </w:t>
            </w:r>
          </w:p>
        </w:tc>
        <w:tc>
          <w:tcPr>
            <w:tcW w:w="1496" w:type="dxa"/>
            <w:tcBorders>
              <w:top w:val="single" w:sz="8" w:space="0" w:color="CCCCCC"/>
              <w:left w:val="single" w:sz="8" w:space="0" w:color="CCCCCC"/>
              <w:bottom w:val="single" w:sz="8" w:space="0" w:color="auto"/>
              <w:right w:val="single" w:sz="8" w:space="0" w:color="auto"/>
            </w:tcBorders>
            <w:shd w:val="clear" w:color="auto" w:fill="auto"/>
            <w:hideMark/>
          </w:tcPr>
          <w:p w14:paraId="2DE6E25D" w14:textId="77777777" w:rsidR="00405DF1" w:rsidRPr="001F2323" w:rsidRDefault="00405DF1" w:rsidP="00405DF1">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$683,971.91 </w:t>
            </w:r>
          </w:p>
        </w:tc>
      </w:tr>
    </w:tbl>
    <w:p w14:paraId="54C95D6D" w14:textId="77777777" w:rsidR="00405DF1" w:rsidRDefault="00405DF1" w:rsidP="008A0F28">
      <w:pPr>
        <w:jc w:val="both"/>
        <w:rPr>
          <w:rFonts w:ascii="Arial" w:hAnsi="Arial" w:cs="Arial"/>
          <w:color w:val="000000"/>
          <w:sz w:val="20"/>
          <w:szCs w:val="20"/>
        </w:rPr>
      </w:pPr>
    </w:p>
    <w:p w14:paraId="6B134652" w14:textId="148F67FF" w:rsidR="009935F3" w:rsidRPr="00D63D6A" w:rsidRDefault="009935F3" w:rsidP="009935F3">
      <w:pPr>
        <w:jc w:val="both"/>
        <w:rPr>
          <w:rFonts w:ascii="Arial" w:hAnsi="Arial" w:cs="Arial"/>
          <w:color w:val="000000"/>
          <w:sz w:val="22"/>
          <w:szCs w:val="22"/>
        </w:rPr>
      </w:pPr>
      <w:r w:rsidRPr="00D63D6A">
        <w:rPr>
          <w:rFonts w:ascii="Arial" w:hAnsi="Arial" w:cs="Arial"/>
          <w:b/>
          <w:bCs/>
          <w:color w:val="000000"/>
          <w:sz w:val="22"/>
          <w:szCs w:val="22"/>
        </w:rPr>
        <w:t>CVS Health Corp (CVS): A Promising Player in a Growing Market</w:t>
      </w:r>
    </w:p>
    <w:p w14:paraId="3A0E4833" w14:textId="5C1FCA5C" w:rsidR="009935F3" w:rsidRPr="00D63D6A" w:rsidRDefault="009935F3" w:rsidP="009935F3">
      <w:pPr>
        <w:jc w:val="both"/>
        <w:rPr>
          <w:rFonts w:ascii="Arial" w:hAnsi="Arial" w:cs="Arial"/>
          <w:color w:val="000000"/>
          <w:sz w:val="22"/>
          <w:szCs w:val="22"/>
        </w:rPr>
      </w:pPr>
      <w:r w:rsidRPr="00D63D6A">
        <w:rPr>
          <w:rFonts w:ascii="Arial" w:hAnsi="Arial" w:cs="Arial"/>
          <w:color w:val="000000"/>
          <w:sz w:val="22"/>
          <w:szCs w:val="22"/>
        </w:rPr>
        <w:t>The healthcare industry is poised for significant growth, and CVS is well-positioned to benefit with its diverse services. Considering this industry trend, a moderate increase is applied to CVS's CAGR to account for its potential to outperform the average. The larger scale and diverse services of CVS compared to other companies in the sector suggest even greater potential gains.</w:t>
      </w:r>
    </w:p>
    <w:p w14:paraId="50F48CD1" w14:textId="571A5283" w:rsidR="009935F3" w:rsidRPr="00D63D6A" w:rsidRDefault="009935F3" w:rsidP="009935F3">
      <w:pPr>
        <w:jc w:val="both"/>
        <w:rPr>
          <w:rFonts w:ascii="Arial" w:hAnsi="Arial" w:cs="Arial"/>
          <w:b/>
          <w:bCs/>
          <w:color w:val="000000"/>
          <w:sz w:val="22"/>
          <w:szCs w:val="22"/>
        </w:rPr>
      </w:pPr>
      <w:r w:rsidRPr="00D63D6A">
        <w:rPr>
          <w:rFonts w:ascii="Arial" w:hAnsi="Arial" w:cs="Arial"/>
          <w:b/>
          <w:bCs/>
          <w:color w:val="000000"/>
          <w:sz w:val="22"/>
          <w:szCs w:val="22"/>
        </w:rPr>
        <w:t>3.</w:t>
      </w:r>
      <w:r w:rsidRPr="00D63D6A">
        <w:rPr>
          <w:rFonts w:ascii="Arial" w:hAnsi="Arial" w:cs="Arial"/>
          <w:b/>
          <w:bCs/>
          <w:color w:val="000000"/>
          <w:sz w:val="22"/>
          <w:szCs w:val="22"/>
        </w:rPr>
        <w:t>3</w:t>
      </w:r>
      <w:r w:rsidRPr="00D63D6A">
        <w:rPr>
          <w:rFonts w:ascii="Arial" w:hAnsi="Arial" w:cs="Arial"/>
          <w:b/>
          <w:bCs/>
          <w:color w:val="000000"/>
          <w:sz w:val="22"/>
          <w:szCs w:val="22"/>
        </w:rPr>
        <w:t>.</w:t>
      </w:r>
      <w:r w:rsidRPr="00D63D6A">
        <w:rPr>
          <w:rFonts w:ascii="Arial" w:hAnsi="Arial" w:cs="Arial"/>
          <w:b/>
          <w:bCs/>
          <w:color w:val="000000"/>
          <w:sz w:val="22"/>
          <w:szCs w:val="22"/>
        </w:rPr>
        <w:t>1</w:t>
      </w:r>
      <w:r w:rsidRPr="00D63D6A">
        <w:rPr>
          <w:rFonts w:ascii="Arial" w:hAnsi="Arial" w:cs="Arial"/>
          <w:b/>
          <w:bCs/>
          <w:color w:val="000000"/>
          <w:sz w:val="22"/>
          <w:szCs w:val="22"/>
        </w:rPr>
        <w:t>. Growth Potential in the Healthcare Sector</w:t>
      </w:r>
    </w:p>
    <w:p w14:paraId="171585F7" w14:textId="10C7D402" w:rsidR="009935F3" w:rsidRPr="00D63D6A" w:rsidRDefault="009935F3" w:rsidP="009935F3">
      <w:pPr>
        <w:jc w:val="both"/>
        <w:rPr>
          <w:rFonts w:ascii="Arial" w:hAnsi="Arial" w:cs="Arial"/>
          <w:color w:val="000000"/>
          <w:sz w:val="22"/>
          <w:szCs w:val="22"/>
        </w:rPr>
      </w:pPr>
      <w:r w:rsidRPr="00D63D6A">
        <w:rPr>
          <w:rFonts w:ascii="Arial" w:hAnsi="Arial" w:cs="Arial"/>
          <w:color w:val="000000"/>
          <w:sz w:val="22"/>
          <w:szCs w:val="22"/>
        </w:rPr>
        <w:t xml:space="preserve">The healthcare profit pool is expected to experience </w:t>
      </w:r>
      <w:hyperlink r:id="rId15" w:history="1">
        <w:r w:rsidRPr="00D63D6A">
          <w:rPr>
            <w:rStyle w:val="Hyperlink"/>
            <w:rFonts w:ascii="Arial" w:hAnsi="Arial" w:cs="Arial"/>
            <w:sz w:val="22"/>
            <w:szCs w:val="22"/>
          </w:rPr>
          <w:t>significant growth</w:t>
        </w:r>
      </w:hyperlink>
      <w:r w:rsidRPr="00D63D6A">
        <w:rPr>
          <w:rFonts w:ascii="Arial" w:hAnsi="Arial" w:cs="Arial"/>
          <w:color w:val="000000"/>
          <w:sz w:val="22"/>
          <w:szCs w:val="22"/>
        </w:rPr>
        <w:t xml:space="preserve"> in the coming years, driven by factors like:</w:t>
      </w:r>
    </w:p>
    <w:p w14:paraId="2FC1164B" w14:textId="77777777" w:rsidR="009935F3" w:rsidRPr="00D63D6A" w:rsidRDefault="009935F3" w:rsidP="009935F3">
      <w:pPr>
        <w:pStyle w:val="ListParagraph"/>
        <w:numPr>
          <w:ilvl w:val="0"/>
          <w:numId w:val="12"/>
        </w:numPr>
        <w:jc w:val="both"/>
        <w:rPr>
          <w:rFonts w:ascii="Arial" w:hAnsi="Arial" w:cs="Arial"/>
          <w:color w:val="000000"/>
          <w:sz w:val="22"/>
          <w:szCs w:val="22"/>
        </w:rPr>
      </w:pPr>
      <w:r w:rsidRPr="00D63D6A">
        <w:rPr>
          <w:rFonts w:ascii="Arial" w:hAnsi="Arial" w:cs="Arial"/>
          <w:color w:val="000000"/>
          <w:sz w:val="22"/>
          <w:szCs w:val="22"/>
        </w:rPr>
        <w:t>Margin and cost optimization</w:t>
      </w:r>
    </w:p>
    <w:p w14:paraId="1D81129D" w14:textId="77777777" w:rsidR="009935F3" w:rsidRPr="00D63D6A" w:rsidRDefault="009935F3" w:rsidP="009935F3">
      <w:pPr>
        <w:pStyle w:val="ListParagraph"/>
        <w:numPr>
          <w:ilvl w:val="0"/>
          <w:numId w:val="12"/>
        </w:numPr>
        <w:jc w:val="both"/>
        <w:rPr>
          <w:rFonts w:ascii="Arial" w:hAnsi="Arial" w:cs="Arial"/>
          <w:color w:val="000000"/>
          <w:sz w:val="22"/>
          <w:szCs w:val="22"/>
        </w:rPr>
      </w:pPr>
      <w:r w:rsidRPr="00D63D6A">
        <w:rPr>
          <w:rFonts w:ascii="Arial" w:hAnsi="Arial" w:cs="Arial"/>
          <w:color w:val="000000"/>
          <w:sz w:val="22"/>
          <w:szCs w:val="22"/>
        </w:rPr>
        <w:t>Reimbursement-rate increases</w:t>
      </w:r>
    </w:p>
    <w:p w14:paraId="7BB3E2EE" w14:textId="77777777" w:rsidR="009935F3" w:rsidRPr="00D63D6A" w:rsidRDefault="009935F3" w:rsidP="009935F3">
      <w:pPr>
        <w:pStyle w:val="ListParagraph"/>
        <w:numPr>
          <w:ilvl w:val="0"/>
          <w:numId w:val="12"/>
        </w:numPr>
        <w:jc w:val="both"/>
        <w:rPr>
          <w:rFonts w:ascii="Arial" w:hAnsi="Arial" w:cs="Arial"/>
          <w:color w:val="000000"/>
          <w:sz w:val="22"/>
          <w:szCs w:val="22"/>
        </w:rPr>
      </w:pPr>
      <w:r w:rsidRPr="00D63D6A">
        <w:rPr>
          <w:rFonts w:ascii="Arial" w:hAnsi="Arial" w:cs="Arial"/>
          <w:color w:val="000000"/>
          <w:sz w:val="22"/>
          <w:szCs w:val="22"/>
        </w:rPr>
        <w:t>Economic recovery</w:t>
      </w:r>
    </w:p>
    <w:p w14:paraId="3E777E57" w14:textId="4AA3021D" w:rsidR="009935F3" w:rsidRPr="00D63D6A" w:rsidRDefault="009935F3" w:rsidP="009935F3">
      <w:pPr>
        <w:jc w:val="both"/>
        <w:rPr>
          <w:rFonts w:ascii="Arial" w:hAnsi="Arial" w:cs="Arial"/>
          <w:color w:val="000000"/>
          <w:sz w:val="22"/>
          <w:szCs w:val="22"/>
        </w:rPr>
      </w:pPr>
      <w:r w:rsidRPr="00D63D6A">
        <w:rPr>
          <w:rFonts w:ascii="Arial" w:hAnsi="Arial" w:cs="Arial"/>
          <w:color w:val="000000"/>
          <w:sz w:val="22"/>
          <w:szCs w:val="22"/>
        </w:rPr>
        <w:t xml:space="preserve">CVS Health Corp. (CVS) is well-positioned to </w:t>
      </w:r>
      <w:proofErr w:type="gramStart"/>
      <w:r w:rsidRPr="00D63D6A">
        <w:rPr>
          <w:rFonts w:ascii="Arial" w:hAnsi="Arial" w:cs="Arial"/>
          <w:color w:val="000000"/>
          <w:sz w:val="22"/>
          <w:szCs w:val="22"/>
        </w:rPr>
        <w:t>benefit</w:t>
      </w:r>
      <w:proofErr w:type="gramEnd"/>
      <w:r w:rsidRPr="00D63D6A">
        <w:rPr>
          <w:rFonts w:ascii="Arial" w:hAnsi="Arial" w:cs="Arial"/>
          <w:color w:val="000000"/>
          <w:sz w:val="22"/>
          <w:szCs w:val="22"/>
        </w:rPr>
        <w:t xml:space="preserve"> from these trends due to its diverse healthcare services.</w:t>
      </w:r>
    </w:p>
    <w:p w14:paraId="09369C7C" w14:textId="54EE2495" w:rsidR="009935F3" w:rsidRPr="00D63D6A" w:rsidRDefault="009935F3" w:rsidP="009935F3">
      <w:pPr>
        <w:jc w:val="both"/>
        <w:rPr>
          <w:rFonts w:ascii="Arial" w:hAnsi="Arial" w:cs="Arial"/>
          <w:b/>
          <w:bCs/>
          <w:color w:val="000000"/>
          <w:sz w:val="22"/>
          <w:szCs w:val="22"/>
        </w:rPr>
      </w:pPr>
      <w:r w:rsidRPr="00D63D6A">
        <w:rPr>
          <w:rFonts w:ascii="Arial" w:hAnsi="Arial" w:cs="Arial"/>
          <w:b/>
          <w:bCs/>
          <w:color w:val="000000"/>
          <w:sz w:val="22"/>
          <w:szCs w:val="22"/>
        </w:rPr>
        <w:t>3.3.</w:t>
      </w:r>
      <w:r w:rsidRPr="00D63D6A">
        <w:rPr>
          <w:rFonts w:ascii="Arial" w:hAnsi="Arial" w:cs="Arial"/>
          <w:b/>
          <w:bCs/>
          <w:color w:val="000000"/>
          <w:sz w:val="22"/>
          <w:szCs w:val="22"/>
        </w:rPr>
        <w:t>2.</w:t>
      </w:r>
      <w:r w:rsidRPr="00D63D6A">
        <w:rPr>
          <w:rFonts w:ascii="Arial" w:hAnsi="Arial" w:cs="Arial"/>
          <w:b/>
          <w:bCs/>
          <w:color w:val="000000"/>
          <w:sz w:val="22"/>
          <w:szCs w:val="22"/>
        </w:rPr>
        <w:t xml:space="preserve"> Additional Variable: Healthcare Profit Pool Growth</w:t>
      </w:r>
    </w:p>
    <w:p w14:paraId="172C8565" w14:textId="77777777" w:rsidR="009935F3" w:rsidRPr="00D63D6A" w:rsidRDefault="009935F3" w:rsidP="009935F3">
      <w:pPr>
        <w:jc w:val="both"/>
        <w:rPr>
          <w:rFonts w:ascii="Arial" w:hAnsi="Arial" w:cs="Arial"/>
          <w:color w:val="000000"/>
          <w:sz w:val="22"/>
          <w:szCs w:val="22"/>
        </w:rPr>
      </w:pPr>
      <w:r w:rsidRPr="00D63D6A">
        <w:rPr>
          <w:rFonts w:ascii="Arial" w:hAnsi="Arial" w:cs="Arial"/>
          <w:b/>
          <w:bCs/>
          <w:i/>
          <w:iCs/>
          <w:color w:val="000000"/>
          <w:sz w:val="22"/>
          <w:szCs w:val="22"/>
        </w:rPr>
        <w:lastRenderedPageBreak/>
        <w:t>Rationale</w:t>
      </w:r>
      <w:r w:rsidRPr="00D63D6A">
        <w:rPr>
          <w:rFonts w:ascii="Arial" w:hAnsi="Arial" w:cs="Arial"/>
          <w:color w:val="000000"/>
          <w:sz w:val="22"/>
          <w:szCs w:val="22"/>
        </w:rPr>
        <w:t>: The healthcare profit pools are expected to grow at a 7% CAGR from 2022 to 2027, driven by factors like margin and cost optimization, reimbursement-rate increases, and recovery from high inflation rates and labor shortages (source: McKinsey &amp; Company).</w:t>
      </w:r>
    </w:p>
    <w:p w14:paraId="7F0367BF" w14:textId="6F25C612" w:rsidR="009935F3" w:rsidRPr="00D63D6A" w:rsidRDefault="009935F3" w:rsidP="009935F3">
      <w:pPr>
        <w:jc w:val="both"/>
        <w:rPr>
          <w:rFonts w:ascii="Arial" w:hAnsi="Arial" w:cs="Arial"/>
          <w:color w:val="000000"/>
          <w:sz w:val="22"/>
          <w:szCs w:val="22"/>
        </w:rPr>
      </w:pPr>
      <w:r w:rsidRPr="00D63D6A">
        <w:rPr>
          <w:rFonts w:ascii="Arial" w:hAnsi="Arial" w:cs="Arial"/>
          <w:b/>
          <w:bCs/>
          <w:color w:val="000000"/>
          <w:sz w:val="22"/>
          <w:szCs w:val="22"/>
        </w:rPr>
        <w:t>3..3.</w:t>
      </w:r>
      <w:r w:rsidRPr="00D63D6A">
        <w:rPr>
          <w:rFonts w:ascii="Arial" w:hAnsi="Arial" w:cs="Arial"/>
          <w:b/>
          <w:bCs/>
          <w:color w:val="000000"/>
          <w:sz w:val="22"/>
          <w:szCs w:val="22"/>
        </w:rPr>
        <w:t>3.</w:t>
      </w:r>
      <w:r w:rsidRPr="00D63D6A">
        <w:rPr>
          <w:rFonts w:ascii="Arial" w:hAnsi="Arial" w:cs="Arial"/>
          <w:b/>
          <w:bCs/>
          <w:color w:val="000000"/>
          <w:sz w:val="22"/>
          <w:szCs w:val="22"/>
        </w:rPr>
        <w:t xml:space="preserve"> Impact of Industry Growth on CVS</w:t>
      </w:r>
    </w:p>
    <w:p w14:paraId="40AFF7EF" w14:textId="77777777" w:rsidR="009935F3" w:rsidRPr="00D63D6A" w:rsidRDefault="009935F3" w:rsidP="009935F3">
      <w:pPr>
        <w:jc w:val="both"/>
        <w:rPr>
          <w:rFonts w:ascii="Arial" w:hAnsi="Arial" w:cs="Arial"/>
          <w:color w:val="000000"/>
          <w:sz w:val="22"/>
          <w:szCs w:val="22"/>
        </w:rPr>
      </w:pPr>
      <w:r w:rsidRPr="00D63D6A">
        <w:rPr>
          <w:rFonts w:ascii="Arial" w:hAnsi="Arial" w:cs="Arial"/>
          <w:b/>
          <w:bCs/>
          <w:color w:val="000000"/>
          <w:sz w:val="22"/>
          <w:szCs w:val="22"/>
        </w:rPr>
        <w:t>Updated CAGR</w:t>
      </w:r>
      <w:r w:rsidRPr="00D63D6A">
        <w:rPr>
          <w:rFonts w:ascii="Arial" w:hAnsi="Arial" w:cs="Arial"/>
          <w:color w:val="000000"/>
          <w:sz w:val="22"/>
          <w:szCs w:val="22"/>
        </w:rPr>
        <w:t>: 10.34% (original CVS CAGR) + 7% (industry growth) = 17.34%</w:t>
      </w:r>
    </w:p>
    <w:p w14:paraId="39C754E1" w14:textId="77777777" w:rsidR="009935F3" w:rsidRPr="00D63D6A" w:rsidRDefault="009935F3" w:rsidP="009935F3">
      <w:pPr>
        <w:jc w:val="both"/>
        <w:rPr>
          <w:rFonts w:ascii="Arial" w:hAnsi="Arial" w:cs="Arial"/>
          <w:color w:val="000000"/>
          <w:sz w:val="22"/>
          <w:szCs w:val="22"/>
        </w:rPr>
      </w:pPr>
      <w:r w:rsidRPr="00D63D6A">
        <w:rPr>
          <w:rFonts w:ascii="Arial" w:hAnsi="Arial" w:cs="Arial"/>
          <w:b/>
          <w:bCs/>
          <w:color w:val="000000"/>
          <w:sz w:val="22"/>
          <w:szCs w:val="22"/>
        </w:rPr>
        <w:t>Updated Projected Gross Profit (4 Years):</w:t>
      </w:r>
      <w:r w:rsidRPr="00D63D6A">
        <w:rPr>
          <w:rFonts w:ascii="Arial" w:hAnsi="Arial" w:cs="Arial"/>
          <w:color w:val="000000"/>
          <w:sz w:val="22"/>
          <w:szCs w:val="22"/>
        </w:rPr>
        <w:t xml:space="preserve"> $279,094.42 million</w:t>
      </w:r>
    </w:p>
    <w:p w14:paraId="2F101966" w14:textId="77777777" w:rsidR="009935F3" w:rsidRPr="00D63D6A" w:rsidRDefault="009935F3" w:rsidP="009935F3">
      <w:pPr>
        <w:jc w:val="both"/>
        <w:rPr>
          <w:rFonts w:ascii="Arial" w:hAnsi="Arial" w:cs="Arial"/>
          <w:color w:val="000000"/>
          <w:sz w:val="22"/>
          <w:szCs w:val="22"/>
        </w:rPr>
      </w:pPr>
      <w:r w:rsidRPr="00D63D6A">
        <w:rPr>
          <w:rFonts w:ascii="Arial" w:hAnsi="Arial" w:cs="Arial"/>
          <w:b/>
          <w:bCs/>
          <w:color w:val="000000"/>
          <w:sz w:val="22"/>
          <w:szCs w:val="22"/>
        </w:rPr>
        <w:t>Updated Projected Value (4 Years):</w:t>
      </w:r>
      <w:r w:rsidRPr="00D63D6A">
        <w:rPr>
          <w:rFonts w:ascii="Arial" w:hAnsi="Arial" w:cs="Arial"/>
          <w:color w:val="000000"/>
          <w:sz w:val="22"/>
          <w:szCs w:val="22"/>
        </w:rPr>
        <w:t xml:space="preserve"> $2,992,118.55 million</w:t>
      </w:r>
    </w:p>
    <w:p w14:paraId="54B2C8A6" w14:textId="3BDAF5C7" w:rsidR="00ED7AF2" w:rsidRPr="00D63D6A" w:rsidRDefault="009935F3" w:rsidP="009935F3">
      <w:pPr>
        <w:jc w:val="both"/>
        <w:rPr>
          <w:rFonts w:ascii="Arial" w:hAnsi="Arial" w:cs="Arial"/>
          <w:color w:val="000000"/>
          <w:sz w:val="22"/>
          <w:szCs w:val="22"/>
        </w:rPr>
      </w:pPr>
      <w:r w:rsidRPr="00D63D6A">
        <w:rPr>
          <w:rFonts w:ascii="Arial" w:hAnsi="Arial" w:cs="Arial"/>
          <w:color w:val="000000"/>
          <w:sz w:val="22"/>
          <w:szCs w:val="22"/>
        </w:rPr>
        <w:t>This adjustment reinforces CVS Health Corp's status as the most undervalued company, considering broader industry growth trends and strong financial metrics.</w:t>
      </w:r>
      <w:r w:rsidR="00D63D6A" w:rsidRPr="00D63D6A">
        <w:rPr>
          <w:rFonts w:ascii="Arial" w:hAnsi="Arial" w:cs="Arial"/>
          <w:color w:val="000000"/>
          <w:sz w:val="22"/>
          <w:szCs w:val="22"/>
        </w:rPr>
        <w:t xml:space="preserve"> </w:t>
      </w:r>
      <w:r w:rsidRPr="00D63D6A">
        <w:rPr>
          <w:rFonts w:ascii="Arial" w:hAnsi="Arial" w:cs="Arial"/>
          <w:color w:val="000000"/>
          <w:sz w:val="22"/>
          <w:szCs w:val="22"/>
        </w:rPr>
        <w:t>With the adjusted CAGR, CVS's projected gross profit increases significantly, reaching an estimated $279,094.42 million. Its projected value also rises to a staggering $2,992,118.55 million in four years. When compared to other companies in the sector, CVS's larger scale and diverse services might position it for even greater gains from the projected industry growth.</w:t>
      </w:r>
    </w:p>
    <w:p w14:paraId="4B9A26E0" w14:textId="77777777" w:rsidR="00ED7AF2" w:rsidRDefault="00ED7AF2" w:rsidP="008A0F28">
      <w:pPr>
        <w:jc w:val="both"/>
        <w:rPr>
          <w:rFonts w:ascii="Arial" w:hAnsi="Arial" w:cs="Arial"/>
          <w:color w:val="000000"/>
          <w:sz w:val="20"/>
          <w:szCs w:val="20"/>
        </w:rPr>
      </w:pPr>
    </w:p>
    <w:p w14:paraId="58CD9839" w14:textId="19863746" w:rsidR="00405DF1" w:rsidRPr="0096322C" w:rsidRDefault="00405DF1" w:rsidP="00405DF1">
      <w:pPr>
        <w:jc w:val="both"/>
        <w:rPr>
          <w:rFonts w:ascii="Arial" w:hAnsi="Arial" w:cs="Arial"/>
          <w:b/>
          <w:bCs/>
          <w:color w:val="000000"/>
        </w:rPr>
      </w:pPr>
      <w:r w:rsidRPr="0096322C">
        <w:rPr>
          <w:rFonts w:ascii="Arial" w:hAnsi="Arial" w:cs="Arial"/>
          <w:b/>
          <w:bCs/>
          <w:color w:val="000000"/>
        </w:rPr>
        <w:t>3.</w:t>
      </w:r>
      <w:r w:rsidR="00D63D6A">
        <w:rPr>
          <w:rFonts w:ascii="Arial" w:hAnsi="Arial" w:cs="Arial"/>
          <w:b/>
          <w:bCs/>
          <w:color w:val="000000"/>
        </w:rPr>
        <w:t>4</w:t>
      </w:r>
      <w:r w:rsidRPr="0096322C">
        <w:rPr>
          <w:rFonts w:ascii="Arial" w:hAnsi="Arial" w:cs="Arial"/>
          <w:b/>
          <w:bCs/>
          <w:color w:val="000000"/>
        </w:rPr>
        <w:t xml:space="preserve"> </w:t>
      </w:r>
      <w:r>
        <w:rPr>
          <w:rFonts w:ascii="Arial" w:hAnsi="Arial" w:cs="Arial"/>
          <w:b/>
          <w:bCs/>
          <w:color w:val="000000"/>
        </w:rPr>
        <w:t>Energy</w:t>
      </w:r>
      <w:r w:rsidRPr="0096322C">
        <w:rPr>
          <w:rFonts w:ascii="Arial" w:hAnsi="Arial" w:cs="Arial"/>
          <w:b/>
          <w:bCs/>
          <w:color w:val="000000"/>
        </w:rPr>
        <w:t xml:space="preserve"> Sector Analysis</w:t>
      </w:r>
    </w:p>
    <w:p w14:paraId="6255B1F9" w14:textId="4D62E760" w:rsidR="00405DF1" w:rsidRDefault="00405DF1" w:rsidP="00405DF1">
      <w:pPr>
        <w:jc w:val="both"/>
        <w:rPr>
          <w:rFonts w:ascii="Arial" w:hAnsi="Arial" w:cs="Arial"/>
          <w:color w:val="000000"/>
          <w:sz w:val="22"/>
          <w:szCs w:val="22"/>
        </w:rPr>
      </w:pPr>
      <w:r w:rsidRPr="0096322C">
        <w:rPr>
          <w:rFonts w:ascii="Arial" w:hAnsi="Arial" w:cs="Arial"/>
          <w:color w:val="000000"/>
          <w:sz w:val="22"/>
          <w:szCs w:val="22"/>
        </w:rPr>
        <w:t xml:space="preserve">This section focuses </w:t>
      </w:r>
      <w:r>
        <w:rPr>
          <w:rFonts w:ascii="Arial" w:hAnsi="Arial" w:cs="Arial"/>
          <w:color w:val="000000"/>
          <w:sz w:val="22"/>
          <w:szCs w:val="22"/>
        </w:rPr>
        <w:t>on</w:t>
      </w:r>
      <w:r w:rsidRPr="000969DA">
        <w:rPr>
          <w:rFonts w:ascii="Arial" w:hAnsi="Arial" w:cs="Arial"/>
          <w:color w:val="000000"/>
          <w:sz w:val="22"/>
          <w:szCs w:val="22"/>
        </w:rPr>
        <w:t xml:space="preserve"> companies within the </w:t>
      </w:r>
      <w:r>
        <w:rPr>
          <w:rFonts w:ascii="Arial" w:hAnsi="Arial" w:cs="Arial"/>
          <w:color w:val="000000"/>
          <w:sz w:val="22"/>
          <w:szCs w:val="22"/>
        </w:rPr>
        <w:t>Oil and GAS E&amp;P</w:t>
      </w:r>
      <w:r w:rsidRPr="0096322C">
        <w:rPr>
          <w:rFonts w:ascii="Arial" w:hAnsi="Arial" w:cs="Arial"/>
          <w:color w:val="000000"/>
          <w:sz w:val="22"/>
          <w:szCs w:val="22"/>
        </w:rPr>
        <w:t xml:space="preserve"> </w:t>
      </w:r>
      <w:r w:rsidRPr="0096322C">
        <w:rPr>
          <w:rFonts w:ascii="Arial" w:hAnsi="Arial" w:cs="Arial"/>
          <w:color w:val="000000"/>
          <w:sz w:val="22"/>
          <w:szCs w:val="22"/>
        </w:rPr>
        <w:t>Industry of the</w:t>
      </w:r>
      <w:r>
        <w:rPr>
          <w:rFonts w:ascii="Arial" w:hAnsi="Arial" w:cs="Arial"/>
          <w:color w:val="000000"/>
          <w:sz w:val="22"/>
          <w:szCs w:val="22"/>
        </w:rPr>
        <w:t xml:space="preserve"> Energy</w:t>
      </w:r>
      <w:r w:rsidRPr="0096322C">
        <w:rPr>
          <w:rFonts w:ascii="Arial" w:hAnsi="Arial" w:cs="Arial"/>
          <w:color w:val="000000"/>
          <w:sz w:val="22"/>
          <w:szCs w:val="22"/>
        </w:rPr>
        <w:t xml:space="preserve"> Sector. The analysis includes</w:t>
      </w:r>
      <w:r>
        <w:rPr>
          <w:rFonts w:ascii="Arial" w:hAnsi="Arial" w:cs="Arial"/>
          <w:color w:val="000000"/>
          <w:sz w:val="22"/>
          <w:szCs w:val="22"/>
        </w:rPr>
        <w:t xml:space="preserve"> </w:t>
      </w:r>
      <w:r>
        <w:rPr>
          <w:rFonts w:ascii="Arial" w:hAnsi="Arial" w:cs="Arial"/>
          <w:color w:val="000000"/>
          <w:sz w:val="22"/>
          <w:szCs w:val="22"/>
        </w:rPr>
        <w:t xml:space="preserve">APA Corporation </w:t>
      </w:r>
      <w:r w:rsidRPr="0096322C">
        <w:rPr>
          <w:rFonts w:ascii="Arial" w:hAnsi="Arial" w:cs="Arial"/>
          <w:color w:val="000000"/>
          <w:sz w:val="22"/>
          <w:szCs w:val="22"/>
        </w:rPr>
        <w:t>(</w:t>
      </w:r>
      <w:r>
        <w:rPr>
          <w:rFonts w:ascii="Arial" w:hAnsi="Arial" w:cs="Arial"/>
          <w:color w:val="000000"/>
          <w:sz w:val="22"/>
          <w:szCs w:val="22"/>
        </w:rPr>
        <w:t>APA</w:t>
      </w:r>
      <w:r w:rsidRPr="0096322C">
        <w:rPr>
          <w:rFonts w:ascii="Arial" w:hAnsi="Arial" w:cs="Arial"/>
          <w:color w:val="000000"/>
          <w:sz w:val="22"/>
          <w:szCs w:val="22"/>
        </w:rPr>
        <w:t>)</w:t>
      </w:r>
      <w:r>
        <w:rPr>
          <w:rFonts w:ascii="Arial" w:hAnsi="Arial" w:cs="Arial"/>
          <w:color w:val="000000"/>
          <w:sz w:val="22"/>
          <w:szCs w:val="22"/>
        </w:rPr>
        <w:t xml:space="preserve">, </w:t>
      </w:r>
      <w:proofErr w:type="spellStart"/>
      <w:r>
        <w:rPr>
          <w:rFonts w:ascii="Arial" w:hAnsi="Arial" w:cs="Arial"/>
          <w:color w:val="000000"/>
          <w:sz w:val="22"/>
          <w:szCs w:val="22"/>
        </w:rPr>
        <w:t>Ovintiv</w:t>
      </w:r>
      <w:proofErr w:type="spellEnd"/>
      <w:r>
        <w:rPr>
          <w:rFonts w:ascii="Arial" w:hAnsi="Arial" w:cs="Arial"/>
          <w:color w:val="000000"/>
          <w:sz w:val="22"/>
          <w:szCs w:val="22"/>
        </w:rPr>
        <w:t xml:space="preserve"> Inc</w:t>
      </w:r>
      <w:r w:rsidRPr="0096322C">
        <w:rPr>
          <w:rFonts w:ascii="Arial" w:hAnsi="Arial" w:cs="Arial"/>
          <w:color w:val="000000"/>
          <w:sz w:val="22"/>
          <w:szCs w:val="22"/>
        </w:rPr>
        <w:t xml:space="preserve"> (</w:t>
      </w:r>
      <w:r>
        <w:rPr>
          <w:rFonts w:ascii="Arial" w:hAnsi="Arial" w:cs="Arial"/>
          <w:color w:val="000000"/>
          <w:sz w:val="22"/>
          <w:szCs w:val="22"/>
        </w:rPr>
        <w:t>OVV</w:t>
      </w:r>
      <w:r w:rsidRPr="0096322C">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Chord Energy Corp</w:t>
      </w:r>
      <w:r w:rsidRPr="0096322C">
        <w:rPr>
          <w:rFonts w:ascii="Arial" w:hAnsi="Arial" w:cs="Arial"/>
          <w:color w:val="000000"/>
          <w:sz w:val="22"/>
          <w:szCs w:val="22"/>
        </w:rPr>
        <w:t xml:space="preserve"> (</w:t>
      </w:r>
      <w:r>
        <w:rPr>
          <w:rFonts w:ascii="Arial" w:hAnsi="Arial" w:cs="Arial"/>
          <w:color w:val="000000"/>
          <w:sz w:val="22"/>
          <w:szCs w:val="22"/>
        </w:rPr>
        <w:t>CHRD</w:t>
      </w:r>
      <w:r w:rsidRPr="0096322C">
        <w:rPr>
          <w:rFonts w:ascii="Arial" w:hAnsi="Arial" w:cs="Arial"/>
          <w:color w:val="000000"/>
          <w:sz w:val="22"/>
          <w:szCs w:val="22"/>
        </w:rPr>
        <w:t>)</w:t>
      </w:r>
      <w:r>
        <w:rPr>
          <w:rFonts w:ascii="Arial" w:hAnsi="Arial" w:cs="Arial"/>
          <w:color w:val="000000"/>
          <w:sz w:val="22"/>
          <w:szCs w:val="22"/>
        </w:rPr>
        <w:t xml:space="preserve"> and </w:t>
      </w:r>
      <w:r>
        <w:rPr>
          <w:rFonts w:ascii="Arial" w:hAnsi="Arial" w:cs="Arial"/>
          <w:color w:val="000000"/>
          <w:sz w:val="22"/>
          <w:szCs w:val="22"/>
        </w:rPr>
        <w:t>Devon Energy Corp</w:t>
      </w:r>
      <w:r w:rsidRPr="0096322C">
        <w:rPr>
          <w:rFonts w:ascii="Arial" w:hAnsi="Arial" w:cs="Arial"/>
          <w:color w:val="000000"/>
          <w:sz w:val="22"/>
          <w:szCs w:val="22"/>
        </w:rPr>
        <w:t xml:space="preserve"> (</w:t>
      </w:r>
      <w:r>
        <w:rPr>
          <w:rFonts w:ascii="Arial" w:hAnsi="Arial" w:cs="Arial"/>
          <w:color w:val="000000"/>
          <w:sz w:val="22"/>
          <w:szCs w:val="22"/>
        </w:rPr>
        <w:t>DVN</w:t>
      </w:r>
      <w:r>
        <w:rPr>
          <w:rFonts w:ascii="Arial" w:hAnsi="Arial" w:cs="Arial"/>
          <w:color w:val="000000"/>
          <w:sz w:val="22"/>
          <w:szCs w:val="22"/>
        </w:rPr>
        <w:t>).</w:t>
      </w:r>
    </w:p>
    <w:p w14:paraId="4E534926" w14:textId="2A90D577" w:rsidR="00405DF1" w:rsidRPr="00405DF1" w:rsidRDefault="00405DF1" w:rsidP="00405DF1">
      <w:pPr>
        <w:jc w:val="both"/>
        <w:rPr>
          <w:rFonts w:ascii="Arial" w:hAnsi="Arial" w:cs="Arial"/>
          <w:b/>
          <w:bCs/>
          <w:color w:val="000000"/>
          <w:sz w:val="18"/>
          <w:szCs w:val="18"/>
          <w:u w:val="single"/>
        </w:rPr>
      </w:pPr>
      <w:r>
        <w:rPr>
          <w:rFonts w:ascii="Arial" w:hAnsi="Arial" w:cs="Arial"/>
          <w:b/>
          <w:bCs/>
          <w:color w:val="000000"/>
          <w:sz w:val="18"/>
          <w:szCs w:val="18"/>
          <w:u w:val="single"/>
        </w:rPr>
        <w:t xml:space="preserve">Table </w:t>
      </w:r>
      <w:r>
        <w:rPr>
          <w:rFonts w:ascii="Arial" w:hAnsi="Arial" w:cs="Arial"/>
          <w:b/>
          <w:bCs/>
          <w:color w:val="000000"/>
          <w:sz w:val="18"/>
          <w:szCs w:val="18"/>
          <w:u w:val="single"/>
        </w:rPr>
        <w:t>4</w:t>
      </w:r>
      <w:r>
        <w:rPr>
          <w:rFonts w:ascii="Arial" w:hAnsi="Arial" w:cs="Arial"/>
          <w:b/>
          <w:bCs/>
          <w:color w:val="000000"/>
          <w:sz w:val="18"/>
          <w:szCs w:val="18"/>
          <w:u w:val="single"/>
        </w:rPr>
        <w:t xml:space="preserve"> showing the comparative and valuation analysis of the </w:t>
      </w:r>
      <w:r>
        <w:rPr>
          <w:rFonts w:ascii="Arial" w:hAnsi="Arial" w:cs="Arial"/>
          <w:b/>
          <w:bCs/>
          <w:color w:val="000000"/>
          <w:sz w:val="18"/>
          <w:szCs w:val="18"/>
          <w:u w:val="single"/>
        </w:rPr>
        <w:t>Energy</w:t>
      </w:r>
      <w:r>
        <w:rPr>
          <w:rFonts w:ascii="Arial" w:hAnsi="Arial" w:cs="Arial"/>
          <w:b/>
          <w:bCs/>
          <w:color w:val="000000"/>
          <w:sz w:val="18"/>
          <w:szCs w:val="18"/>
          <w:u w:val="single"/>
        </w:rPr>
        <w:t xml:space="preserve"> Sector</w:t>
      </w:r>
    </w:p>
    <w:tbl>
      <w:tblPr>
        <w:tblW w:w="15328" w:type="dxa"/>
        <w:tblInd w:w="-1525" w:type="dxa"/>
        <w:tblLook w:val="04A0" w:firstRow="1" w:lastRow="0" w:firstColumn="1" w:lastColumn="0" w:noHBand="0" w:noVBand="1"/>
      </w:tblPr>
      <w:tblGrid>
        <w:gridCol w:w="806"/>
        <w:gridCol w:w="1072"/>
        <w:gridCol w:w="1072"/>
        <w:gridCol w:w="1006"/>
        <w:gridCol w:w="1006"/>
        <w:gridCol w:w="1006"/>
        <w:gridCol w:w="1106"/>
        <w:gridCol w:w="1106"/>
        <w:gridCol w:w="1106"/>
        <w:gridCol w:w="1106"/>
        <w:gridCol w:w="1072"/>
        <w:gridCol w:w="1072"/>
        <w:gridCol w:w="895"/>
        <w:gridCol w:w="1217"/>
        <w:gridCol w:w="11"/>
        <w:gridCol w:w="1318"/>
        <w:gridCol w:w="17"/>
      </w:tblGrid>
      <w:tr w:rsidR="00405DF1" w:rsidRPr="001F2323" w14:paraId="36E67F7D" w14:textId="77777777" w:rsidTr="00A16C68">
        <w:trPr>
          <w:trHeight w:val="276"/>
        </w:trPr>
        <w:tc>
          <w:tcPr>
            <w:tcW w:w="14053" w:type="dxa"/>
            <w:gridSpan w:val="15"/>
            <w:tcBorders>
              <w:top w:val="single" w:sz="8" w:space="0" w:color="auto"/>
              <w:left w:val="single" w:sz="8" w:space="0" w:color="auto"/>
              <w:bottom w:val="single" w:sz="8" w:space="0" w:color="auto"/>
              <w:right w:val="nil"/>
            </w:tcBorders>
            <w:shd w:val="clear" w:color="auto" w:fill="auto"/>
            <w:noWrap/>
            <w:vAlign w:val="bottom"/>
            <w:hideMark/>
          </w:tcPr>
          <w:p w14:paraId="46CF4670" w14:textId="77777777" w:rsidR="00405DF1" w:rsidRPr="001F2323" w:rsidRDefault="00405DF1" w:rsidP="00A16C68">
            <w:pPr>
              <w:spacing w:after="0" w:line="240" w:lineRule="auto"/>
              <w:jc w:val="center"/>
              <w:rPr>
                <w:rFonts w:ascii="Arial" w:eastAsia="Times New Roman" w:hAnsi="Arial" w:cs="Arial"/>
                <w:b/>
                <w:bCs/>
                <w:color w:val="000000"/>
                <w:kern w:val="0"/>
                <w14:ligatures w14:val="none"/>
              </w:rPr>
            </w:pPr>
            <w:r w:rsidRPr="001F2323">
              <w:rPr>
                <w:rFonts w:ascii="Arial" w:eastAsia="Times New Roman" w:hAnsi="Arial" w:cs="Arial"/>
                <w:b/>
                <w:bCs/>
                <w:color w:val="000000"/>
                <w:kern w:val="0"/>
                <w14:ligatures w14:val="none"/>
              </w:rPr>
              <w:t xml:space="preserve">Data Collection, Comparative Analysis and Valuation for </w:t>
            </w:r>
            <w:proofErr w:type="gramStart"/>
            <w:r w:rsidRPr="001F2323">
              <w:rPr>
                <w:rFonts w:ascii="Arial" w:eastAsia="Times New Roman" w:hAnsi="Arial" w:cs="Arial"/>
                <w:b/>
                <w:bCs/>
                <w:color w:val="000000"/>
                <w:kern w:val="0"/>
                <w14:ligatures w14:val="none"/>
              </w:rPr>
              <w:t>Energy  Sector</w:t>
            </w:r>
            <w:proofErr w:type="gramEnd"/>
            <w:r w:rsidRPr="001F2323">
              <w:rPr>
                <w:rFonts w:ascii="Arial" w:eastAsia="Times New Roman" w:hAnsi="Arial" w:cs="Arial"/>
                <w:b/>
                <w:bCs/>
                <w:color w:val="000000"/>
                <w:kern w:val="0"/>
                <w14:ligatures w14:val="none"/>
              </w:rPr>
              <w:t xml:space="preserve"> (Oil and Gas E&amp;P)</w:t>
            </w:r>
          </w:p>
        </w:tc>
        <w:tc>
          <w:tcPr>
            <w:tcW w:w="1275" w:type="dxa"/>
            <w:gridSpan w:val="2"/>
            <w:tcBorders>
              <w:top w:val="single" w:sz="8" w:space="0" w:color="auto"/>
              <w:left w:val="nil"/>
              <w:bottom w:val="single" w:sz="8" w:space="0" w:color="auto"/>
              <w:right w:val="single" w:sz="8" w:space="0" w:color="auto"/>
            </w:tcBorders>
            <w:shd w:val="clear" w:color="auto" w:fill="auto"/>
            <w:noWrap/>
            <w:vAlign w:val="bottom"/>
            <w:hideMark/>
          </w:tcPr>
          <w:p w14:paraId="18CE2177" w14:textId="77777777" w:rsidR="00405DF1" w:rsidRPr="001F2323" w:rsidRDefault="00405DF1" w:rsidP="00A16C68">
            <w:pPr>
              <w:spacing w:after="0" w:line="240" w:lineRule="auto"/>
              <w:jc w:val="both"/>
              <w:rPr>
                <w:rFonts w:ascii="Arial" w:eastAsia="Times New Roman" w:hAnsi="Arial" w:cs="Arial"/>
                <w:color w:val="000000"/>
                <w:kern w:val="0"/>
                <w:sz w:val="22"/>
                <w:szCs w:val="22"/>
                <w14:ligatures w14:val="none"/>
              </w:rPr>
            </w:pPr>
            <w:r w:rsidRPr="001F2323">
              <w:rPr>
                <w:rFonts w:ascii="Arial" w:eastAsia="Times New Roman" w:hAnsi="Arial" w:cs="Arial"/>
                <w:color w:val="000000"/>
                <w:kern w:val="0"/>
                <w:sz w:val="22"/>
                <w:szCs w:val="22"/>
                <w14:ligatures w14:val="none"/>
              </w:rPr>
              <w:t> </w:t>
            </w:r>
          </w:p>
        </w:tc>
      </w:tr>
      <w:tr w:rsidR="00405DF1" w:rsidRPr="008A0F28" w14:paraId="0E59AB05" w14:textId="77777777" w:rsidTr="00A16C68">
        <w:trPr>
          <w:gridAfter w:val="1"/>
          <w:wAfter w:w="17" w:type="dxa"/>
          <w:trHeight w:val="1111"/>
        </w:trPr>
        <w:tc>
          <w:tcPr>
            <w:tcW w:w="772" w:type="dxa"/>
            <w:tcBorders>
              <w:top w:val="nil"/>
              <w:left w:val="single" w:sz="8" w:space="0" w:color="auto"/>
              <w:bottom w:val="dotted" w:sz="4" w:space="0" w:color="000000"/>
              <w:right w:val="dotted" w:sz="4" w:space="0" w:color="000000"/>
            </w:tcBorders>
            <w:shd w:val="clear" w:color="auto" w:fill="auto"/>
            <w:vAlign w:val="bottom"/>
            <w:hideMark/>
          </w:tcPr>
          <w:p w14:paraId="43B5AD29"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Ticker</w:t>
            </w:r>
          </w:p>
        </w:tc>
        <w:tc>
          <w:tcPr>
            <w:tcW w:w="1027" w:type="dxa"/>
            <w:tcBorders>
              <w:top w:val="nil"/>
              <w:left w:val="single" w:sz="8" w:space="0" w:color="CCCCCC"/>
              <w:bottom w:val="dotted" w:sz="4" w:space="0" w:color="000000"/>
              <w:right w:val="dotted" w:sz="4" w:space="0" w:color="000000"/>
            </w:tcBorders>
            <w:shd w:val="clear" w:color="auto" w:fill="auto"/>
            <w:vAlign w:val="bottom"/>
            <w:hideMark/>
          </w:tcPr>
          <w:p w14:paraId="2BC0D410"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Market Cap (Current) (million)</w:t>
            </w:r>
          </w:p>
        </w:tc>
        <w:tc>
          <w:tcPr>
            <w:tcW w:w="1027" w:type="dxa"/>
            <w:tcBorders>
              <w:top w:val="nil"/>
              <w:left w:val="single" w:sz="8" w:space="0" w:color="CCCCCC"/>
              <w:bottom w:val="dotted" w:sz="4" w:space="0" w:color="000000"/>
              <w:right w:val="dotted" w:sz="4" w:space="0" w:color="000000"/>
            </w:tcBorders>
            <w:shd w:val="clear" w:color="auto" w:fill="auto"/>
            <w:vAlign w:val="bottom"/>
            <w:hideMark/>
          </w:tcPr>
          <w:p w14:paraId="1F943F4F"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Price Per Earnings Ratio (Current)</w:t>
            </w:r>
          </w:p>
        </w:tc>
        <w:tc>
          <w:tcPr>
            <w:tcW w:w="964" w:type="dxa"/>
            <w:tcBorders>
              <w:top w:val="nil"/>
              <w:left w:val="single" w:sz="8" w:space="0" w:color="CCCCCC"/>
              <w:bottom w:val="dotted" w:sz="4" w:space="0" w:color="000000"/>
              <w:right w:val="dotted" w:sz="4" w:space="0" w:color="000000"/>
            </w:tcBorders>
            <w:shd w:val="clear" w:color="auto" w:fill="auto"/>
            <w:vAlign w:val="bottom"/>
            <w:hideMark/>
          </w:tcPr>
          <w:p w14:paraId="154D76D8"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Industry Average P/E Ratio</w:t>
            </w:r>
          </w:p>
        </w:tc>
        <w:tc>
          <w:tcPr>
            <w:tcW w:w="964" w:type="dxa"/>
            <w:tcBorders>
              <w:top w:val="nil"/>
              <w:left w:val="single" w:sz="8" w:space="0" w:color="CCCCCC"/>
              <w:bottom w:val="dotted" w:sz="4" w:space="0" w:color="000000"/>
              <w:right w:val="dotted" w:sz="4" w:space="0" w:color="000000"/>
            </w:tcBorders>
            <w:shd w:val="clear" w:color="auto" w:fill="auto"/>
            <w:vAlign w:val="bottom"/>
            <w:hideMark/>
          </w:tcPr>
          <w:p w14:paraId="57D4F856"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Return on Equity (ROE)</w:t>
            </w:r>
          </w:p>
        </w:tc>
        <w:tc>
          <w:tcPr>
            <w:tcW w:w="964" w:type="dxa"/>
            <w:tcBorders>
              <w:top w:val="nil"/>
              <w:left w:val="single" w:sz="8" w:space="0" w:color="CCCCCC"/>
              <w:bottom w:val="dotted" w:sz="4" w:space="0" w:color="000000"/>
              <w:right w:val="dotted" w:sz="4" w:space="0" w:color="000000"/>
            </w:tcBorders>
            <w:shd w:val="clear" w:color="auto" w:fill="auto"/>
            <w:vAlign w:val="bottom"/>
            <w:hideMark/>
          </w:tcPr>
          <w:p w14:paraId="2047DA1B"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Industry Average ROE</w:t>
            </w:r>
          </w:p>
        </w:tc>
        <w:tc>
          <w:tcPr>
            <w:tcW w:w="1060" w:type="dxa"/>
            <w:tcBorders>
              <w:top w:val="nil"/>
              <w:left w:val="single" w:sz="8" w:space="0" w:color="CCCCCC"/>
              <w:bottom w:val="dotted" w:sz="4" w:space="0" w:color="000000"/>
              <w:right w:val="dotted" w:sz="4" w:space="0" w:color="000000"/>
            </w:tcBorders>
            <w:shd w:val="clear" w:color="auto" w:fill="auto"/>
            <w:vAlign w:val="bottom"/>
            <w:hideMark/>
          </w:tcPr>
          <w:p w14:paraId="7F86EFA2"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TTM (Current) (million)</w:t>
            </w:r>
          </w:p>
        </w:tc>
        <w:tc>
          <w:tcPr>
            <w:tcW w:w="1060" w:type="dxa"/>
            <w:tcBorders>
              <w:top w:val="nil"/>
              <w:left w:val="single" w:sz="8" w:space="0" w:color="CCCCCC"/>
              <w:bottom w:val="dotted" w:sz="4" w:space="0" w:color="000000"/>
              <w:right w:val="dotted" w:sz="4" w:space="0" w:color="000000"/>
            </w:tcBorders>
            <w:shd w:val="clear" w:color="auto" w:fill="auto"/>
            <w:vAlign w:val="bottom"/>
            <w:hideMark/>
          </w:tcPr>
          <w:p w14:paraId="76A41209"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31-12-2023 (million)</w:t>
            </w:r>
          </w:p>
        </w:tc>
        <w:tc>
          <w:tcPr>
            <w:tcW w:w="1060" w:type="dxa"/>
            <w:tcBorders>
              <w:top w:val="nil"/>
              <w:left w:val="single" w:sz="8" w:space="0" w:color="CCCCCC"/>
              <w:bottom w:val="dotted" w:sz="4" w:space="0" w:color="000000"/>
              <w:right w:val="dotted" w:sz="4" w:space="0" w:color="000000"/>
            </w:tcBorders>
            <w:shd w:val="clear" w:color="000000" w:fill="FFFFFF"/>
            <w:vAlign w:val="bottom"/>
            <w:hideMark/>
          </w:tcPr>
          <w:p w14:paraId="0F54CA99"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31-12-2022 (million)</w:t>
            </w:r>
          </w:p>
        </w:tc>
        <w:tc>
          <w:tcPr>
            <w:tcW w:w="1060" w:type="dxa"/>
            <w:tcBorders>
              <w:top w:val="nil"/>
              <w:left w:val="single" w:sz="8" w:space="0" w:color="CCCCCC"/>
              <w:bottom w:val="dotted" w:sz="4" w:space="0" w:color="000000"/>
              <w:right w:val="dotted" w:sz="4" w:space="0" w:color="000000"/>
            </w:tcBorders>
            <w:shd w:val="clear" w:color="000000" w:fill="FFFFFF"/>
            <w:vAlign w:val="bottom"/>
            <w:hideMark/>
          </w:tcPr>
          <w:p w14:paraId="42ED15A4" w14:textId="77777777" w:rsidR="00405DF1" w:rsidRPr="001F2323" w:rsidRDefault="00405DF1" w:rsidP="00A16C68">
            <w:pPr>
              <w:spacing w:after="0" w:line="240" w:lineRule="auto"/>
              <w:jc w:val="both"/>
              <w:rPr>
                <w:rFonts w:ascii="Arial" w:eastAsia="Times New Roman" w:hAnsi="Arial" w:cs="Arial"/>
                <w:b/>
                <w:bCs/>
                <w:color w:val="1F1F1F"/>
                <w:kern w:val="0"/>
                <w:sz w:val="20"/>
                <w:szCs w:val="20"/>
                <w14:ligatures w14:val="none"/>
              </w:rPr>
            </w:pPr>
            <w:r w:rsidRPr="001F2323">
              <w:rPr>
                <w:rFonts w:ascii="Arial" w:eastAsia="Times New Roman" w:hAnsi="Arial" w:cs="Arial"/>
                <w:b/>
                <w:bCs/>
                <w:color w:val="1F1F1F"/>
                <w:kern w:val="0"/>
                <w:sz w:val="20"/>
                <w:szCs w:val="20"/>
                <w14:ligatures w14:val="none"/>
              </w:rPr>
              <w:t>Gross Profit 31-12-2020 (million)</w:t>
            </w:r>
          </w:p>
        </w:tc>
        <w:tc>
          <w:tcPr>
            <w:tcW w:w="1027" w:type="dxa"/>
            <w:tcBorders>
              <w:top w:val="nil"/>
              <w:left w:val="single" w:sz="8" w:space="0" w:color="CCCCCC"/>
              <w:bottom w:val="dotted" w:sz="4" w:space="0" w:color="000000"/>
              <w:right w:val="dotted" w:sz="4" w:space="0" w:color="000000"/>
            </w:tcBorders>
            <w:shd w:val="clear" w:color="auto" w:fill="auto"/>
            <w:vAlign w:val="bottom"/>
            <w:hideMark/>
          </w:tcPr>
          <w:p w14:paraId="1C64080D"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Margin (Current)</w:t>
            </w:r>
          </w:p>
        </w:tc>
        <w:tc>
          <w:tcPr>
            <w:tcW w:w="1027" w:type="dxa"/>
            <w:tcBorders>
              <w:top w:val="nil"/>
              <w:left w:val="single" w:sz="8" w:space="0" w:color="CCCCCC"/>
              <w:bottom w:val="dotted" w:sz="4" w:space="0" w:color="000000"/>
              <w:right w:val="dotted" w:sz="4" w:space="0" w:color="000000"/>
            </w:tcBorders>
            <w:shd w:val="clear" w:color="auto" w:fill="auto"/>
            <w:vAlign w:val="bottom"/>
            <w:hideMark/>
          </w:tcPr>
          <w:p w14:paraId="44959B89"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Gross Profit Growth (Current) (%)</w:t>
            </w:r>
          </w:p>
        </w:tc>
        <w:tc>
          <w:tcPr>
            <w:tcW w:w="858" w:type="dxa"/>
            <w:tcBorders>
              <w:top w:val="nil"/>
              <w:left w:val="single" w:sz="8" w:space="0" w:color="CCCCCC"/>
              <w:bottom w:val="dotted" w:sz="4" w:space="0" w:color="000000"/>
              <w:right w:val="dotted" w:sz="4" w:space="0" w:color="000000"/>
            </w:tcBorders>
            <w:shd w:val="clear" w:color="auto" w:fill="auto"/>
            <w:vAlign w:val="bottom"/>
            <w:hideMark/>
          </w:tcPr>
          <w:p w14:paraId="3A7CB52E"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CAGR</w:t>
            </w:r>
          </w:p>
        </w:tc>
        <w:tc>
          <w:tcPr>
            <w:tcW w:w="1167" w:type="dxa"/>
            <w:tcBorders>
              <w:top w:val="nil"/>
              <w:left w:val="single" w:sz="8" w:space="0" w:color="CCCCCC"/>
              <w:bottom w:val="dotted" w:sz="4" w:space="0" w:color="000000"/>
              <w:right w:val="dotted" w:sz="4" w:space="0" w:color="000000"/>
            </w:tcBorders>
            <w:shd w:val="clear" w:color="auto" w:fill="auto"/>
            <w:vAlign w:val="bottom"/>
            <w:hideMark/>
          </w:tcPr>
          <w:p w14:paraId="5D3F7A74"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Projected Gross Profit (4 Years) (million)</w:t>
            </w:r>
          </w:p>
        </w:tc>
        <w:tc>
          <w:tcPr>
            <w:tcW w:w="1274" w:type="dxa"/>
            <w:gridSpan w:val="2"/>
            <w:tcBorders>
              <w:top w:val="nil"/>
              <w:left w:val="single" w:sz="8" w:space="0" w:color="CCCCCC"/>
              <w:bottom w:val="dotted" w:sz="4" w:space="0" w:color="000000"/>
              <w:right w:val="single" w:sz="8" w:space="0" w:color="auto"/>
            </w:tcBorders>
            <w:shd w:val="clear" w:color="000000" w:fill="FFFFFF"/>
            <w:vAlign w:val="bottom"/>
            <w:hideMark/>
          </w:tcPr>
          <w:p w14:paraId="67499EB0"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Projected Value (4 Years) (million)</w:t>
            </w:r>
          </w:p>
        </w:tc>
      </w:tr>
      <w:tr w:rsidR="00405DF1" w:rsidRPr="001F2323" w14:paraId="1F715BEB" w14:textId="77777777" w:rsidTr="00A16C68">
        <w:trPr>
          <w:gridAfter w:val="1"/>
          <w:wAfter w:w="17" w:type="dxa"/>
          <w:trHeight w:val="252"/>
        </w:trPr>
        <w:tc>
          <w:tcPr>
            <w:tcW w:w="772"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21029391"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 xml:space="preserve">APA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AE3F6B7"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$11,930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67CD0E8"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3.6</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D6702A9"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12.28</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3DDF7F2"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179.94%</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57DBDA0"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13.60%</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3E0A499"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$7,040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C177CFE"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$7,116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C22D60A"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$9,989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F7A3F8F"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$3,677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FE52996"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87.24</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5795B20" w14:textId="77777777" w:rsidR="00405DF1" w:rsidRPr="001F2323" w:rsidRDefault="00405DF1" w:rsidP="00A16C68">
            <w:pPr>
              <w:spacing w:after="0" w:line="240" w:lineRule="auto"/>
              <w:jc w:val="both"/>
              <w:rPr>
                <w:rFonts w:ascii="Arial" w:eastAsia="Times New Roman" w:hAnsi="Arial" w:cs="Arial"/>
                <w:color w:val="FF0000"/>
                <w:kern w:val="0"/>
                <w:sz w:val="20"/>
                <w:szCs w:val="20"/>
                <w14:ligatures w14:val="none"/>
              </w:rPr>
            </w:pPr>
            <w:r w:rsidRPr="001F2323">
              <w:rPr>
                <w:rFonts w:ascii="Arial" w:eastAsia="Times New Roman" w:hAnsi="Arial" w:cs="Arial"/>
                <w:color w:val="FF0000"/>
                <w:kern w:val="0"/>
                <w:sz w:val="20"/>
                <w:szCs w:val="20"/>
                <w14:ligatures w14:val="none"/>
              </w:rPr>
              <w:t>-29.52%</w:t>
            </w:r>
          </w:p>
        </w:tc>
        <w:tc>
          <w:tcPr>
            <w:tcW w:w="85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BA9A960"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24.62%</w:t>
            </w:r>
          </w:p>
        </w:tc>
        <w:tc>
          <w:tcPr>
            <w:tcW w:w="116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6D39E0C"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$16,978.36 </w:t>
            </w:r>
          </w:p>
        </w:tc>
        <w:tc>
          <w:tcPr>
            <w:tcW w:w="1274" w:type="dxa"/>
            <w:gridSpan w:val="2"/>
            <w:tcBorders>
              <w:top w:val="single" w:sz="8" w:space="0" w:color="CCCCCC"/>
              <w:left w:val="single" w:sz="8" w:space="0" w:color="CCCCCC"/>
              <w:bottom w:val="dotted" w:sz="4" w:space="0" w:color="000000"/>
              <w:right w:val="single" w:sz="8" w:space="0" w:color="auto"/>
            </w:tcBorders>
            <w:shd w:val="clear" w:color="auto" w:fill="auto"/>
            <w:vAlign w:val="bottom"/>
            <w:hideMark/>
          </w:tcPr>
          <w:p w14:paraId="4F62E17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$61,122.10 </w:t>
            </w:r>
          </w:p>
        </w:tc>
      </w:tr>
      <w:tr w:rsidR="00405DF1" w:rsidRPr="001F2323" w14:paraId="0416227D" w14:textId="77777777" w:rsidTr="00A16C68">
        <w:trPr>
          <w:gridAfter w:val="1"/>
          <w:wAfter w:w="17" w:type="dxa"/>
          <w:trHeight w:val="252"/>
        </w:trPr>
        <w:tc>
          <w:tcPr>
            <w:tcW w:w="772"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5AE0023D"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OVV</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EC2BD05"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$12,760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6FDA4101"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6.68</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2FCBB8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12.28</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4B3D12F"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21.33%</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16CE46C"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13.60%</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983CFB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$5,160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0C54A97"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$5,901.00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BCB8741"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$6,881.00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A10A0F5"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$2,714.00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AFB9066"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48.32%</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FDF7823" w14:textId="77777777" w:rsidR="00405DF1" w:rsidRPr="001F2323" w:rsidRDefault="00405DF1" w:rsidP="00A16C68">
            <w:pPr>
              <w:spacing w:after="0" w:line="240" w:lineRule="auto"/>
              <w:jc w:val="both"/>
              <w:rPr>
                <w:rFonts w:ascii="Arial" w:eastAsia="Times New Roman" w:hAnsi="Arial" w:cs="Arial"/>
                <w:color w:val="FF0000"/>
                <w:kern w:val="0"/>
                <w:sz w:val="20"/>
                <w:szCs w:val="20"/>
                <w14:ligatures w14:val="none"/>
              </w:rPr>
            </w:pPr>
            <w:r w:rsidRPr="001F2323">
              <w:rPr>
                <w:rFonts w:ascii="Arial" w:eastAsia="Times New Roman" w:hAnsi="Arial" w:cs="Arial"/>
                <w:color w:val="FF0000"/>
                <w:kern w:val="0"/>
                <w:sz w:val="20"/>
                <w:szCs w:val="20"/>
                <w14:ligatures w14:val="none"/>
              </w:rPr>
              <w:t>-25.01%</w:t>
            </w:r>
          </w:p>
        </w:tc>
        <w:tc>
          <w:tcPr>
            <w:tcW w:w="85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B10C3D0"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29.55%</w:t>
            </w:r>
          </w:p>
        </w:tc>
        <w:tc>
          <w:tcPr>
            <w:tcW w:w="116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D34C806"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$14,534.63 </w:t>
            </w:r>
          </w:p>
        </w:tc>
        <w:tc>
          <w:tcPr>
            <w:tcW w:w="1274" w:type="dxa"/>
            <w:gridSpan w:val="2"/>
            <w:tcBorders>
              <w:top w:val="single" w:sz="8" w:space="0" w:color="CCCCCC"/>
              <w:left w:val="single" w:sz="8" w:space="0" w:color="CCCCCC"/>
              <w:bottom w:val="dotted" w:sz="4" w:space="0" w:color="000000"/>
              <w:right w:val="single" w:sz="8" w:space="0" w:color="auto"/>
            </w:tcBorders>
            <w:shd w:val="clear" w:color="auto" w:fill="auto"/>
            <w:vAlign w:val="bottom"/>
            <w:hideMark/>
          </w:tcPr>
          <w:p w14:paraId="3CEA5044"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$97,091.35 </w:t>
            </w:r>
          </w:p>
        </w:tc>
      </w:tr>
      <w:tr w:rsidR="00405DF1" w:rsidRPr="001F2323" w14:paraId="2FFC19F1" w14:textId="77777777" w:rsidTr="00A16C68">
        <w:trPr>
          <w:gridAfter w:val="1"/>
          <w:wAfter w:w="17" w:type="dxa"/>
          <w:trHeight w:val="252"/>
        </w:trPr>
        <w:tc>
          <w:tcPr>
            <w:tcW w:w="772" w:type="dxa"/>
            <w:tcBorders>
              <w:top w:val="single" w:sz="8" w:space="0" w:color="CCCCCC"/>
              <w:left w:val="single" w:sz="8" w:space="0" w:color="auto"/>
              <w:bottom w:val="dotted" w:sz="4" w:space="0" w:color="000000"/>
              <w:right w:val="dotted" w:sz="4" w:space="0" w:color="000000"/>
            </w:tcBorders>
            <w:shd w:val="clear" w:color="auto" w:fill="auto"/>
            <w:vAlign w:val="bottom"/>
            <w:hideMark/>
          </w:tcPr>
          <w:p w14:paraId="6035CA75"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CHRD</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AA4DB6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$10,940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71828DCE"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8.22</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887144B"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12.28</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31224FD9"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16.83%</w:t>
            </w:r>
          </w:p>
        </w:tc>
        <w:tc>
          <w:tcPr>
            <w:tcW w:w="964"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C5E0011"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13.60%</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0D35438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$2,196.00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4F6D349D"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$2,216.38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B885450"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$2,301.73 </w:t>
            </w:r>
          </w:p>
        </w:tc>
        <w:tc>
          <w:tcPr>
            <w:tcW w:w="1060"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8173C68"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$468.82 </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E75363A"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53.60%</w:t>
            </w:r>
          </w:p>
        </w:tc>
        <w:tc>
          <w:tcPr>
            <w:tcW w:w="102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11AE1DC0" w14:textId="77777777" w:rsidR="00405DF1" w:rsidRPr="001F2323" w:rsidRDefault="00405DF1" w:rsidP="00A16C68">
            <w:pPr>
              <w:spacing w:after="0" w:line="240" w:lineRule="auto"/>
              <w:jc w:val="both"/>
              <w:rPr>
                <w:rFonts w:ascii="Arial" w:eastAsia="Times New Roman" w:hAnsi="Arial" w:cs="Arial"/>
                <w:color w:val="FF0000"/>
                <w:kern w:val="0"/>
                <w:sz w:val="20"/>
                <w:szCs w:val="20"/>
                <w14:ligatures w14:val="none"/>
              </w:rPr>
            </w:pPr>
            <w:r w:rsidRPr="001F2323">
              <w:rPr>
                <w:rFonts w:ascii="Arial" w:eastAsia="Times New Roman" w:hAnsi="Arial" w:cs="Arial"/>
                <w:color w:val="FF0000"/>
                <w:kern w:val="0"/>
                <w:sz w:val="20"/>
                <w:szCs w:val="20"/>
                <w14:ligatures w14:val="none"/>
              </w:rPr>
              <w:t>-4.59%</w:t>
            </w:r>
          </w:p>
        </w:tc>
        <w:tc>
          <w:tcPr>
            <w:tcW w:w="858"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5FB7F796"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67.83%</w:t>
            </w:r>
          </w:p>
        </w:tc>
        <w:tc>
          <w:tcPr>
            <w:tcW w:w="1167" w:type="dxa"/>
            <w:tcBorders>
              <w:top w:val="single" w:sz="8" w:space="0" w:color="CCCCCC"/>
              <w:left w:val="single" w:sz="8" w:space="0" w:color="CCCCCC"/>
              <w:bottom w:val="dotted" w:sz="4" w:space="0" w:color="000000"/>
              <w:right w:val="dotted" w:sz="4" w:space="0" w:color="000000"/>
            </w:tcBorders>
            <w:shd w:val="clear" w:color="auto" w:fill="auto"/>
            <w:vAlign w:val="bottom"/>
            <w:hideMark/>
          </w:tcPr>
          <w:p w14:paraId="2FA20F1C"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$17,424.08 </w:t>
            </w:r>
          </w:p>
        </w:tc>
        <w:tc>
          <w:tcPr>
            <w:tcW w:w="1274" w:type="dxa"/>
            <w:gridSpan w:val="2"/>
            <w:tcBorders>
              <w:top w:val="single" w:sz="8" w:space="0" w:color="CCCCCC"/>
              <w:left w:val="single" w:sz="8" w:space="0" w:color="CCCCCC"/>
              <w:bottom w:val="dotted" w:sz="4" w:space="0" w:color="000000"/>
              <w:right w:val="single" w:sz="8" w:space="0" w:color="auto"/>
            </w:tcBorders>
            <w:shd w:val="clear" w:color="auto" w:fill="auto"/>
            <w:vAlign w:val="bottom"/>
            <w:hideMark/>
          </w:tcPr>
          <w:p w14:paraId="772A61F0"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$143,225.92 </w:t>
            </w:r>
          </w:p>
        </w:tc>
      </w:tr>
      <w:tr w:rsidR="00405DF1" w:rsidRPr="001F2323" w14:paraId="066F27E7" w14:textId="77777777" w:rsidTr="00A16C68">
        <w:trPr>
          <w:gridAfter w:val="1"/>
          <w:wAfter w:w="17" w:type="dxa"/>
          <w:trHeight w:val="252"/>
        </w:trPr>
        <w:tc>
          <w:tcPr>
            <w:tcW w:w="772" w:type="dxa"/>
            <w:tcBorders>
              <w:top w:val="single" w:sz="8" w:space="0" w:color="CCCCCC"/>
              <w:left w:val="single" w:sz="8" w:space="0" w:color="auto"/>
              <w:bottom w:val="single" w:sz="8" w:space="0" w:color="auto"/>
              <w:right w:val="dotted" w:sz="4" w:space="0" w:color="000000"/>
            </w:tcBorders>
            <w:shd w:val="clear" w:color="auto" w:fill="auto"/>
            <w:hideMark/>
          </w:tcPr>
          <w:p w14:paraId="757BFFCD" w14:textId="77777777" w:rsidR="00405DF1" w:rsidRPr="001F2323" w:rsidRDefault="00405DF1" w:rsidP="00A16C68">
            <w:pPr>
              <w:spacing w:after="0" w:line="240" w:lineRule="auto"/>
              <w:jc w:val="both"/>
              <w:rPr>
                <w:rFonts w:ascii="Arial" w:eastAsia="Times New Roman" w:hAnsi="Arial" w:cs="Arial"/>
                <w:b/>
                <w:bCs/>
                <w:color w:val="000000"/>
                <w:kern w:val="0"/>
                <w:sz w:val="20"/>
                <w:szCs w:val="20"/>
                <w14:ligatures w14:val="none"/>
              </w:rPr>
            </w:pPr>
            <w:r w:rsidRPr="001F2323">
              <w:rPr>
                <w:rFonts w:ascii="Arial" w:eastAsia="Times New Roman" w:hAnsi="Arial" w:cs="Arial"/>
                <w:b/>
                <w:bCs/>
                <w:color w:val="000000"/>
                <w:kern w:val="0"/>
                <w:sz w:val="20"/>
                <w:szCs w:val="20"/>
                <w14:ligatures w14:val="none"/>
              </w:rPr>
              <w:t>DVN</w:t>
            </w:r>
          </w:p>
        </w:tc>
        <w:tc>
          <w:tcPr>
            <w:tcW w:w="1027" w:type="dxa"/>
            <w:tcBorders>
              <w:top w:val="single" w:sz="8" w:space="0" w:color="CCCCCC"/>
              <w:left w:val="single" w:sz="8" w:space="0" w:color="CCCCCC"/>
              <w:bottom w:val="single" w:sz="8" w:space="0" w:color="auto"/>
              <w:right w:val="dotted" w:sz="4" w:space="0" w:color="000000"/>
            </w:tcBorders>
            <w:shd w:val="clear" w:color="auto" w:fill="auto"/>
            <w:hideMark/>
          </w:tcPr>
          <w:p w14:paraId="31113FBA"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$30,410 </w:t>
            </w:r>
          </w:p>
        </w:tc>
        <w:tc>
          <w:tcPr>
            <w:tcW w:w="1027" w:type="dxa"/>
            <w:tcBorders>
              <w:top w:val="single" w:sz="8" w:space="0" w:color="CCCCCC"/>
              <w:left w:val="single" w:sz="8" w:space="0" w:color="CCCCCC"/>
              <w:bottom w:val="single" w:sz="8" w:space="0" w:color="auto"/>
              <w:right w:val="dotted" w:sz="4" w:space="0" w:color="000000"/>
            </w:tcBorders>
            <w:shd w:val="clear" w:color="auto" w:fill="auto"/>
            <w:hideMark/>
          </w:tcPr>
          <w:p w14:paraId="7DC69DE8"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9.23</w:t>
            </w:r>
          </w:p>
        </w:tc>
        <w:tc>
          <w:tcPr>
            <w:tcW w:w="964" w:type="dxa"/>
            <w:tcBorders>
              <w:top w:val="single" w:sz="8" w:space="0" w:color="CCCCCC"/>
              <w:left w:val="single" w:sz="8" w:space="0" w:color="CCCCCC"/>
              <w:bottom w:val="single" w:sz="8" w:space="0" w:color="auto"/>
              <w:right w:val="dotted" w:sz="4" w:space="0" w:color="000000"/>
            </w:tcBorders>
            <w:shd w:val="clear" w:color="auto" w:fill="auto"/>
            <w:hideMark/>
          </w:tcPr>
          <w:p w14:paraId="47A4B73B"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12.28</w:t>
            </w:r>
          </w:p>
        </w:tc>
        <w:tc>
          <w:tcPr>
            <w:tcW w:w="964" w:type="dxa"/>
            <w:tcBorders>
              <w:top w:val="single" w:sz="8" w:space="0" w:color="CCCCCC"/>
              <w:left w:val="single" w:sz="8" w:space="0" w:color="CCCCCC"/>
              <w:bottom w:val="single" w:sz="8" w:space="0" w:color="auto"/>
              <w:right w:val="dotted" w:sz="4" w:space="0" w:color="000000"/>
            </w:tcBorders>
            <w:shd w:val="clear" w:color="auto" w:fill="auto"/>
            <w:hideMark/>
          </w:tcPr>
          <w:p w14:paraId="15162648"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28.91%</w:t>
            </w:r>
          </w:p>
        </w:tc>
        <w:tc>
          <w:tcPr>
            <w:tcW w:w="964" w:type="dxa"/>
            <w:tcBorders>
              <w:top w:val="single" w:sz="8" w:space="0" w:color="CCCCCC"/>
              <w:left w:val="single" w:sz="8" w:space="0" w:color="CCCCCC"/>
              <w:bottom w:val="single" w:sz="8" w:space="0" w:color="auto"/>
              <w:right w:val="dotted" w:sz="4" w:space="0" w:color="000000"/>
            </w:tcBorders>
            <w:shd w:val="clear" w:color="auto" w:fill="auto"/>
            <w:hideMark/>
          </w:tcPr>
          <w:p w14:paraId="0DC75573"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13.60%</w:t>
            </w:r>
          </w:p>
        </w:tc>
        <w:tc>
          <w:tcPr>
            <w:tcW w:w="1060" w:type="dxa"/>
            <w:tcBorders>
              <w:top w:val="single" w:sz="8" w:space="0" w:color="CCCCCC"/>
              <w:left w:val="single" w:sz="8" w:space="0" w:color="CCCCCC"/>
              <w:bottom w:val="single" w:sz="8" w:space="0" w:color="auto"/>
              <w:right w:val="dotted" w:sz="4" w:space="0" w:color="000000"/>
            </w:tcBorders>
            <w:shd w:val="clear" w:color="auto" w:fill="auto"/>
            <w:hideMark/>
          </w:tcPr>
          <w:p w14:paraId="3325E695"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12050%</w:t>
            </w:r>
          </w:p>
        </w:tc>
        <w:tc>
          <w:tcPr>
            <w:tcW w:w="1060" w:type="dxa"/>
            <w:tcBorders>
              <w:top w:val="single" w:sz="8" w:space="0" w:color="CCCCCC"/>
              <w:left w:val="single" w:sz="8" w:space="0" w:color="CCCCCC"/>
              <w:bottom w:val="single" w:sz="8" w:space="0" w:color="auto"/>
              <w:right w:val="dotted" w:sz="4" w:space="0" w:color="000000"/>
            </w:tcBorders>
            <w:shd w:val="clear" w:color="auto" w:fill="auto"/>
            <w:hideMark/>
          </w:tcPr>
          <w:p w14:paraId="500BB8BF"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$12,330 </w:t>
            </w:r>
          </w:p>
        </w:tc>
        <w:tc>
          <w:tcPr>
            <w:tcW w:w="1060" w:type="dxa"/>
            <w:tcBorders>
              <w:top w:val="single" w:sz="8" w:space="0" w:color="CCCCCC"/>
              <w:left w:val="single" w:sz="8" w:space="0" w:color="CCCCCC"/>
              <w:bottom w:val="single" w:sz="8" w:space="0" w:color="auto"/>
              <w:right w:val="dotted" w:sz="4" w:space="0" w:color="000000"/>
            </w:tcBorders>
            <w:shd w:val="clear" w:color="auto" w:fill="auto"/>
            <w:hideMark/>
          </w:tcPr>
          <w:p w14:paraId="6CBB5053"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$16,372 </w:t>
            </w:r>
          </w:p>
        </w:tc>
        <w:tc>
          <w:tcPr>
            <w:tcW w:w="1060" w:type="dxa"/>
            <w:tcBorders>
              <w:top w:val="single" w:sz="8" w:space="0" w:color="CCCCCC"/>
              <w:left w:val="single" w:sz="8" w:space="0" w:color="CCCCCC"/>
              <w:bottom w:val="single" w:sz="8" w:space="0" w:color="auto"/>
              <w:right w:val="dotted" w:sz="4" w:space="0" w:color="000000"/>
            </w:tcBorders>
            <w:shd w:val="clear" w:color="auto" w:fill="auto"/>
            <w:hideMark/>
          </w:tcPr>
          <w:p w14:paraId="6905714B"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$3,705 </w:t>
            </w:r>
          </w:p>
        </w:tc>
        <w:tc>
          <w:tcPr>
            <w:tcW w:w="1027" w:type="dxa"/>
            <w:tcBorders>
              <w:top w:val="single" w:sz="8" w:space="0" w:color="CCCCCC"/>
              <w:left w:val="single" w:sz="8" w:space="0" w:color="CCCCCC"/>
              <w:bottom w:val="single" w:sz="8" w:space="0" w:color="auto"/>
              <w:right w:val="dotted" w:sz="4" w:space="0" w:color="000000"/>
            </w:tcBorders>
            <w:shd w:val="clear" w:color="auto" w:fill="auto"/>
            <w:hideMark/>
          </w:tcPr>
          <w:p w14:paraId="10D82EE1"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33.03%</w:t>
            </w:r>
          </w:p>
        </w:tc>
        <w:tc>
          <w:tcPr>
            <w:tcW w:w="1027" w:type="dxa"/>
            <w:tcBorders>
              <w:top w:val="single" w:sz="8" w:space="0" w:color="CCCCCC"/>
              <w:left w:val="single" w:sz="8" w:space="0" w:color="CCCCCC"/>
              <w:bottom w:val="single" w:sz="8" w:space="0" w:color="auto"/>
              <w:right w:val="dotted" w:sz="4" w:space="0" w:color="000000"/>
            </w:tcBorders>
            <w:shd w:val="clear" w:color="auto" w:fill="auto"/>
            <w:hideMark/>
          </w:tcPr>
          <w:p w14:paraId="508B1F0A" w14:textId="77777777" w:rsidR="00405DF1" w:rsidRPr="001F2323" w:rsidRDefault="00405DF1" w:rsidP="00A16C68">
            <w:pPr>
              <w:spacing w:after="0" w:line="240" w:lineRule="auto"/>
              <w:jc w:val="both"/>
              <w:rPr>
                <w:rFonts w:ascii="Arial" w:eastAsia="Times New Roman" w:hAnsi="Arial" w:cs="Arial"/>
                <w:color w:val="FF0000"/>
                <w:kern w:val="0"/>
                <w:sz w:val="20"/>
                <w:szCs w:val="20"/>
                <w14:ligatures w14:val="none"/>
              </w:rPr>
            </w:pPr>
            <w:r w:rsidRPr="001F2323">
              <w:rPr>
                <w:rFonts w:ascii="Arial" w:eastAsia="Times New Roman" w:hAnsi="Arial" w:cs="Arial"/>
                <w:color w:val="FF0000"/>
                <w:kern w:val="0"/>
                <w:sz w:val="20"/>
                <w:szCs w:val="20"/>
                <w14:ligatures w14:val="none"/>
              </w:rPr>
              <w:t>-99.26%</w:t>
            </w:r>
          </w:p>
        </w:tc>
        <w:tc>
          <w:tcPr>
            <w:tcW w:w="858" w:type="dxa"/>
            <w:tcBorders>
              <w:top w:val="single" w:sz="8" w:space="0" w:color="CCCCCC"/>
              <w:left w:val="single" w:sz="8" w:space="0" w:color="CCCCCC"/>
              <w:bottom w:val="single" w:sz="8" w:space="0" w:color="auto"/>
              <w:right w:val="dotted" w:sz="4" w:space="0" w:color="000000"/>
            </w:tcBorders>
            <w:shd w:val="clear" w:color="auto" w:fill="auto"/>
            <w:hideMark/>
          </w:tcPr>
          <w:p w14:paraId="0432B068"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49.30%</w:t>
            </w:r>
          </w:p>
        </w:tc>
        <w:tc>
          <w:tcPr>
            <w:tcW w:w="1167" w:type="dxa"/>
            <w:tcBorders>
              <w:top w:val="single" w:sz="8" w:space="0" w:color="CCCCCC"/>
              <w:left w:val="single" w:sz="8" w:space="0" w:color="CCCCCC"/>
              <w:bottom w:val="single" w:sz="8" w:space="0" w:color="auto"/>
              <w:right w:val="dotted" w:sz="4" w:space="0" w:color="000000"/>
            </w:tcBorders>
            <w:shd w:val="clear" w:color="auto" w:fill="auto"/>
            <w:hideMark/>
          </w:tcPr>
          <w:p w14:paraId="27A63D3B"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$598.72 </w:t>
            </w:r>
          </w:p>
        </w:tc>
        <w:tc>
          <w:tcPr>
            <w:tcW w:w="1274" w:type="dxa"/>
            <w:gridSpan w:val="2"/>
            <w:tcBorders>
              <w:top w:val="single" w:sz="8" w:space="0" w:color="CCCCCC"/>
              <w:left w:val="single" w:sz="8" w:space="0" w:color="CCCCCC"/>
              <w:bottom w:val="single" w:sz="8" w:space="0" w:color="auto"/>
              <w:right w:val="single" w:sz="8" w:space="0" w:color="auto"/>
            </w:tcBorders>
            <w:shd w:val="clear" w:color="auto" w:fill="auto"/>
            <w:hideMark/>
          </w:tcPr>
          <w:p w14:paraId="2F87C3CC" w14:textId="77777777" w:rsidR="00405DF1" w:rsidRPr="001F2323" w:rsidRDefault="00405DF1" w:rsidP="00A16C68">
            <w:pPr>
              <w:spacing w:after="0" w:line="240" w:lineRule="auto"/>
              <w:jc w:val="both"/>
              <w:rPr>
                <w:rFonts w:ascii="Arial" w:eastAsia="Times New Roman" w:hAnsi="Arial" w:cs="Arial"/>
                <w:color w:val="000000"/>
                <w:kern w:val="0"/>
                <w:sz w:val="20"/>
                <w:szCs w:val="20"/>
                <w14:ligatures w14:val="none"/>
              </w:rPr>
            </w:pPr>
            <w:r w:rsidRPr="001F2323">
              <w:rPr>
                <w:rFonts w:ascii="Arial" w:eastAsia="Times New Roman" w:hAnsi="Arial" w:cs="Arial"/>
                <w:color w:val="000000"/>
                <w:kern w:val="0"/>
                <w:sz w:val="20"/>
                <w:szCs w:val="20"/>
                <w14:ligatures w14:val="none"/>
              </w:rPr>
              <w:t xml:space="preserve">$5,526.14 </w:t>
            </w:r>
          </w:p>
        </w:tc>
      </w:tr>
    </w:tbl>
    <w:p w14:paraId="1E91EFE1" w14:textId="77777777" w:rsidR="00405DF1" w:rsidRDefault="00405DF1" w:rsidP="00405DF1">
      <w:pPr>
        <w:jc w:val="both"/>
        <w:rPr>
          <w:rFonts w:ascii="Arial" w:hAnsi="Arial" w:cs="Arial"/>
          <w:color w:val="000000"/>
          <w:sz w:val="22"/>
          <w:szCs w:val="22"/>
        </w:rPr>
      </w:pPr>
    </w:p>
    <w:p w14:paraId="6A1E865C" w14:textId="7C6432A8" w:rsidR="00405DF1" w:rsidRPr="00D63D6A" w:rsidRDefault="00D63D6A" w:rsidP="00405DF1">
      <w:pPr>
        <w:jc w:val="both"/>
        <w:rPr>
          <w:rFonts w:ascii="Arial" w:hAnsi="Arial" w:cs="Arial"/>
          <w:b/>
          <w:bCs/>
          <w:color w:val="77206D" w:themeColor="accent5" w:themeShade="BF"/>
          <w:sz w:val="22"/>
          <w:szCs w:val="22"/>
        </w:rPr>
      </w:pPr>
      <w:r w:rsidRPr="00D63D6A">
        <w:rPr>
          <w:b/>
          <w:bCs/>
          <w:color w:val="77206D" w:themeColor="accent5" w:themeShade="BF"/>
        </w:rPr>
        <w:lastRenderedPageBreak/>
        <w:t xml:space="preserve">APA Corporation (APA) </w:t>
      </w:r>
      <w:proofErr w:type="gramStart"/>
      <w:r w:rsidRPr="00D63D6A">
        <w:rPr>
          <w:b/>
          <w:bCs/>
          <w:color w:val="77206D" w:themeColor="accent5" w:themeShade="BF"/>
        </w:rPr>
        <w:t>emerges</w:t>
      </w:r>
      <w:proofErr w:type="gramEnd"/>
      <w:r w:rsidRPr="00D63D6A">
        <w:rPr>
          <w:b/>
          <w:bCs/>
          <w:color w:val="77206D" w:themeColor="accent5" w:themeShade="BF"/>
        </w:rPr>
        <w:t xml:space="preserve"> as a potentially undervalued company within this sector based on its low P/E ratio, extremely high ROE, and significant potential for recovery as suggested by its adjusted CAGR and projected gross profit</w:t>
      </w:r>
    </w:p>
    <w:p w14:paraId="35656518" w14:textId="2B774476" w:rsidR="00D63D6A" w:rsidRPr="00D63D6A" w:rsidRDefault="00D63D6A" w:rsidP="00D63D6A">
      <w:pPr>
        <w:jc w:val="both"/>
        <w:rPr>
          <w:rFonts w:ascii="Arial" w:hAnsi="Arial" w:cs="Arial"/>
          <w:b/>
          <w:bCs/>
          <w:sz w:val="22"/>
          <w:szCs w:val="22"/>
        </w:rPr>
      </w:pPr>
      <w:r w:rsidRPr="00D63D6A">
        <w:rPr>
          <w:rFonts w:ascii="Arial" w:hAnsi="Arial" w:cs="Arial"/>
          <w:b/>
          <w:bCs/>
          <w:sz w:val="22"/>
          <w:szCs w:val="22"/>
        </w:rPr>
        <w:t>APA Corporation (APA): A Potential Gem in Need of Scrutiny</w:t>
      </w:r>
    </w:p>
    <w:p w14:paraId="0055433E" w14:textId="519D4040" w:rsidR="00D63D6A" w:rsidRPr="00D63D6A" w:rsidRDefault="00D63D6A" w:rsidP="00D63D6A">
      <w:pPr>
        <w:jc w:val="both"/>
        <w:rPr>
          <w:rFonts w:ascii="Arial" w:hAnsi="Arial" w:cs="Arial"/>
          <w:sz w:val="22"/>
          <w:szCs w:val="22"/>
        </w:rPr>
      </w:pPr>
      <w:r w:rsidRPr="00D63D6A">
        <w:rPr>
          <w:rFonts w:ascii="Arial" w:hAnsi="Arial" w:cs="Arial"/>
          <w:sz w:val="22"/>
          <w:szCs w:val="22"/>
        </w:rPr>
        <w:t xml:space="preserve">Despite a </w:t>
      </w:r>
      <w:r w:rsidRPr="00144E85">
        <w:rPr>
          <w:rFonts w:ascii="Arial" w:hAnsi="Arial" w:cs="Arial"/>
          <w:sz w:val="22"/>
          <w:szCs w:val="22"/>
        </w:rPr>
        <w:t>general recovery</w:t>
      </w:r>
      <w:r w:rsidRPr="00D63D6A">
        <w:rPr>
          <w:rFonts w:ascii="Arial" w:hAnsi="Arial" w:cs="Arial"/>
          <w:sz w:val="22"/>
          <w:szCs w:val="22"/>
        </w:rPr>
        <w:t xml:space="preserve"> in oil prices, APA Corporation (APA) appears undervalued. The current stock price, significantly lower than its 52-week high, </w:t>
      </w:r>
      <w:proofErr w:type="gramStart"/>
      <w:r w:rsidRPr="00D63D6A">
        <w:rPr>
          <w:rFonts w:ascii="Arial" w:hAnsi="Arial" w:cs="Arial"/>
          <w:sz w:val="22"/>
          <w:szCs w:val="22"/>
        </w:rPr>
        <w:t>indicates</w:t>
      </w:r>
      <w:proofErr w:type="gramEnd"/>
      <w:r w:rsidRPr="00D63D6A">
        <w:rPr>
          <w:rFonts w:ascii="Arial" w:hAnsi="Arial" w:cs="Arial"/>
          <w:sz w:val="22"/>
          <w:szCs w:val="22"/>
        </w:rPr>
        <w:t xml:space="preserve"> this underperformance. While external factors or company-specific issues might be at play, a moderate increase is applied to APA's CAGR to account for the global oil price recovery and its </w:t>
      </w:r>
      <w:hyperlink r:id="rId16" w:history="1">
        <w:r w:rsidRPr="00144E85">
          <w:rPr>
            <w:rStyle w:val="Hyperlink"/>
            <w:rFonts w:ascii="Arial" w:hAnsi="Arial" w:cs="Arial"/>
            <w:sz w:val="22"/>
            <w:szCs w:val="22"/>
          </w:rPr>
          <w:t>historical performance</w:t>
        </w:r>
      </w:hyperlink>
      <w:r w:rsidRPr="00D63D6A">
        <w:rPr>
          <w:rFonts w:ascii="Arial" w:hAnsi="Arial" w:cs="Arial"/>
          <w:sz w:val="22"/>
          <w:szCs w:val="22"/>
        </w:rPr>
        <w:t>. However, further investigation is recommended to fully understand the reasons behind APA's underperformance.</w:t>
      </w:r>
    </w:p>
    <w:p w14:paraId="620156DF" w14:textId="7918CB5F" w:rsidR="00D63D6A" w:rsidRPr="00144E85" w:rsidRDefault="00D63D6A" w:rsidP="00D63D6A">
      <w:pPr>
        <w:jc w:val="both"/>
        <w:rPr>
          <w:rFonts w:ascii="Arial" w:hAnsi="Arial" w:cs="Arial"/>
          <w:b/>
          <w:bCs/>
          <w:sz w:val="22"/>
          <w:szCs w:val="22"/>
        </w:rPr>
      </w:pPr>
      <w:r w:rsidRPr="00144E85">
        <w:rPr>
          <w:rFonts w:ascii="Arial" w:hAnsi="Arial" w:cs="Arial"/>
          <w:b/>
          <w:bCs/>
          <w:sz w:val="22"/>
          <w:szCs w:val="22"/>
        </w:rPr>
        <w:t>3.4.</w:t>
      </w:r>
      <w:r w:rsidR="00144E85" w:rsidRPr="00144E85">
        <w:rPr>
          <w:rFonts w:ascii="Arial" w:hAnsi="Arial" w:cs="Arial"/>
          <w:b/>
          <w:bCs/>
          <w:sz w:val="22"/>
          <w:szCs w:val="22"/>
        </w:rPr>
        <w:t>1.</w:t>
      </w:r>
      <w:r w:rsidRPr="00144E85">
        <w:rPr>
          <w:rFonts w:ascii="Arial" w:hAnsi="Arial" w:cs="Arial"/>
          <w:b/>
          <w:bCs/>
          <w:sz w:val="22"/>
          <w:szCs w:val="22"/>
        </w:rPr>
        <w:t xml:space="preserve"> Additional Variable: Global Price Recovery and Sustainability</w:t>
      </w:r>
    </w:p>
    <w:p w14:paraId="260D1A14" w14:textId="5FAE263D" w:rsidR="00144E85" w:rsidRPr="00D63D6A" w:rsidRDefault="00D63D6A" w:rsidP="00D63D6A">
      <w:pPr>
        <w:jc w:val="both"/>
        <w:rPr>
          <w:rFonts w:ascii="Arial" w:hAnsi="Arial" w:cs="Arial"/>
          <w:sz w:val="22"/>
          <w:szCs w:val="22"/>
        </w:rPr>
      </w:pPr>
      <w:r w:rsidRPr="00D63D6A">
        <w:rPr>
          <w:rFonts w:ascii="Arial" w:hAnsi="Arial" w:cs="Arial"/>
          <w:sz w:val="22"/>
          <w:szCs w:val="22"/>
        </w:rPr>
        <w:t xml:space="preserve">Rationale: Given the historical and recent recovery in crude oil prices, coupled with </w:t>
      </w:r>
      <w:proofErr w:type="gramStart"/>
      <w:r w:rsidRPr="00D63D6A">
        <w:rPr>
          <w:rFonts w:ascii="Arial" w:hAnsi="Arial" w:cs="Arial"/>
          <w:sz w:val="22"/>
          <w:szCs w:val="22"/>
        </w:rPr>
        <w:t>anticipated</w:t>
      </w:r>
      <w:proofErr w:type="gramEnd"/>
      <w:r w:rsidRPr="00D63D6A">
        <w:rPr>
          <w:rFonts w:ascii="Arial" w:hAnsi="Arial" w:cs="Arial"/>
          <w:sz w:val="22"/>
          <w:szCs w:val="22"/>
        </w:rPr>
        <w:t xml:space="preserve"> stability or gradual increase, APA Corporation (APA) is likely to benefit from improved market conditions.</w:t>
      </w:r>
    </w:p>
    <w:p w14:paraId="2E37A0D7" w14:textId="352174EE" w:rsidR="00D63D6A" w:rsidRPr="00144E85" w:rsidRDefault="00D63D6A" w:rsidP="00D63D6A">
      <w:pPr>
        <w:jc w:val="both"/>
        <w:rPr>
          <w:rFonts w:ascii="Arial" w:hAnsi="Arial" w:cs="Arial"/>
          <w:b/>
          <w:bCs/>
          <w:sz w:val="22"/>
          <w:szCs w:val="22"/>
        </w:rPr>
      </w:pPr>
      <w:r w:rsidRPr="00144E85">
        <w:rPr>
          <w:rFonts w:ascii="Arial" w:hAnsi="Arial" w:cs="Arial"/>
          <w:b/>
          <w:bCs/>
          <w:sz w:val="22"/>
          <w:szCs w:val="22"/>
        </w:rPr>
        <w:t>3.4.</w:t>
      </w:r>
      <w:r w:rsidR="00144E85" w:rsidRPr="00144E85">
        <w:rPr>
          <w:rFonts w:ascii="Arial" w:hAnsi="Arial" w:cs="Arial"/>
          <w:b/>
          <w:bCs/>
          <w:sz w:val="22"/>
          <w:szCs w:val="22"/>
        </w:rPr>
        <w:t>2.</w:t>
      </w:r>
      <w:r w:rsidRPr="00144E85">
        <w:rPr>
          <w:rFonts w:ascii="Arial" w:hAnsi="Arial" w:cs="Arial"/>
          <w:b/>
          <w:bCs/>
          <w:sz w:val="22"/>
          <w:szCs w:val="22"/>
        </w:rPr>
        <w:t xml:space="preserve"> Impact of Price Recovery on APA</w:t>
      </w:r>
    </w:p>
    <w:p w14:paraId="27222702" w14:textId="77777777" w:rsidR="00D63D6A" w:rsidRPr="00D63D6A" w:rsidRDefault="00D63D6A" w:rsidP="00D63D6A">
      <w:pPr>
        <w:jc w:val="both"/>
        <w:rPr>
          <w:rFonts w:ascii="Arial" w:hAnsi="Arial" w:cs="Arial"/>
          <w:sz w:val="22"/>
          <w:szCs w:val="22"/>
        </w:rPr>
      </w:pPr>
      <w:r w:rsidRPr="00144E85">
        <w:rPr>
          <w:rFonts w:ascii="Arial" w:hAnsi="Arial" w:cs="Arial"/>
          <w:b/>
          <w:bCs/>
          <w:sz w:val="22"/>
          <w:szCs w:val="22"/>
        </w:rPr>
        <w:t>Updated CAGR:</w:t>
      </w:r>
      <w:r w:rsidRPr="00D63D6A">
        <w:rPr>
          <w:rFonts w:ascii="Arial" w:hAnsi="Arial" w:cs="Arial"/>
          <w:sz w:val="22"/>
          <w:szCs w:val="22"/>
        </w:rPr>
        <w:t xml:space="preserve"> 24.62% (original APA CAGR) + 3% (adjustment for price recovery) = 27.62%</w:t>
      </w:r>
    </w:p>
    <w:p w14:paraId="643F3577" w14:textId="77777777" w:rsidR="00D63D6A" w:rsidRPr="00D63D6A" w:rsidRDefault="00D63D6A" w:rsidP="00D63D6A">
      <w:pPr>
        <w:jc w:val="both"/>
        <w:rPr>
          <w:rFonts w:ascii="Arial" w:hAnsi="Arial" w:cs="Arial"/>
          <w:sz w:val="22"/>
          <w:szCs w:val="22"/>
        </w:rPr>
      </w:pPr>
      <w:r w:rsidRPr="00144E85">
        <w:rPr>
          <w:rFonts w:ascii="Arial" w:hAnsi="Arial" w:cs="Arial"/>
          <w:b/>
          <w:bCs/>
          <w:sz w:val="22"/>
          <w:szCs w:val="22"/>
        </w:rPr>
        <w:t>Updated Projected Gross Profit (4 Years):</w:t>
      </w:r>
      <w:r w:rsidRPr="00D63D6A">
        <w:rPr>
          <w:rFonts w:ascii="Arial" w:hAnsi="Arial" w:cs="Arial"/>
          <w:sz w:val="22"/>
          <w:szCs w:val="22"/>
        </w:rPr>
        <w:t xml:space="preserve"> $18,674 million</w:t>
      </w:r>
    </w:p>
    <w:p w14:paraId="67F309D8" w14:textId="77777777" w:rsidR="00D63D6A" w:rsidRPr="00D63D6A" w:rsidRDefault="00D63D6A" w:rsidP="00D63D6A">
      <w:pPr>
        <w:jc w:val="both"/>
        <w:rPr>
          <w:rFonts w:ascii="Arial" w:hAnsi="Arial" w:cs="Arial"/>
          <w:sz w:val="22"/>
          <w:szCs w:val="22"/>
        </w:rPr>
      </w:pPr>
      <w:r w:rsidRPr="00144E85">
        <w:rPr>
          <w:rFonts w:ascii="Arial" w:hAnsi="Arial" w:cs="Arial"/>
          <w:b/>
          <w:bCs/>
          <w:sz w:val="22"/>
          <w:szCs w:val="22"/>
        </w:rPr>
        <w:t>Updated Projected Value (4 Years):</w:t>
      </w:r>
      <w:r w:rsidRPr="00D63D6A">
        <w:rPr>
          <w:rFonts w:ascii="Arial" w:hAnsi="Arial" w:cs="Arial"/>
          <w:sz w:val="22"/>
          <w:szCs w:val="22"/>
        </w:rPr>
        <w:t xml:space="preserve"> $67,228 million</w:t>
      </w:r>
    </w:p>
    <w:p w14:paraId="71CD87B8" w14:textId="77777777" w:rsidR="00D63D6A" w:rsidRPr="00D63D6A" w:rsidRDefault="00D63D6A" w:rsidP="00D63D6A">
      <w:pPr>
        <w:jc w:val="both"/>
        <w:rPr>
          <w:rFonts w:ascii="Arial" w:hAnsi="Arial" w:cs="Arial"/>
          <w:sz w:val="22"/>
          <w:szCs w:val="22"/>
        </w:rPr>
      </w:pPr>
      <w:r w:rsidRPr="00D63D6A">
        <w:rPr>
          <w:rFonts w:ascii="Arial" w:hAnsi="Arial" w:cs="Arial"/>
          <w:sz w:val="22"/>
          <w:szCs w:val="22"/>
        </w:rPr>
        <w:t>This adjustment strengthens the case for APA's undervaluation, highlighting its potential upside with market recovery and operational improvements.</w:t>
      </w:r>
    </w:p>
    <w:p w14:paraId="419B324F" w14:textId="3CDCD15C" w:rsidR="00405DF1" w:rsidRDefault="00D63D6A" w:rsidP="00D63D6A">
      <w:pPr>
        <w:jc w:val="both"/>
        <w:rPr>
          <w:rFonts w:ascii="Arial" w:hAnsi="Arial" w:cs="Arial"/>
          <w:sz w:val="22"/>
          <w:szCs w:val="22"/>
        </w:rPr>
      </w:pPr>
      <w:r w:rsidRPr="00D63D6A">
        <w:rPr>
          <w:rFonts w:ascii="Arial" w:hAnsi="Arial" w:cs="Arial"/>
          <w:sz w:val="22"/>
          <w:szCs w:val="22"/>
        </w:rPr>
        <w:t xml:space="preserve">While APA Corporation exhibits promising signs with its low P/E ratio and high ROE, its current </w:t>
      </w:r>
      <w:hyperlink r:id="rId17" w:history="1">
        <w:r w:rsidRPr="00144E85">
          <w:rPr>
            <w:rStyle w:val="Hyperlink"/>
            <w:rFonts w:ascii="Arial" w:hAnsi="Arial" w:cs="Arial"/>
            <w:sz w:val="22"/>
            <w:szCs w:val="22"/>
          </w:rPr>
          <w:t>underperformance</w:t>
        </w:r>
      </w:hyperlink>
      <w:r w:rsidRPr="00D63D6A">
        <w:rPr>
          <w:rFonts w:ascii="Arial" w:hAnsi="Arial" w:cs="Arial"/>
          <w:sz w:val="22"/>
          <w:szCs w:val="22"/>
        </w:rPr>
        <w:t xml:space="preserve"> necessitates further investigation. The adjusted CAGR, incorporating the </w:t>
      </w:r>
      <w:proofErr w:type="gramStart"/>
      <w:r w:rsidRPr="00D63D6A">
        <w:rPr>
          <w:rFonts w:ascii="Arial" w:hAnsi="Arial" w:cs="Arial"/>
          <w:sz w:val="22"/>
          <w:szCs w:val="22"/>
        </w:rPr>
        <w:t>anticipated</w:t>
      </w:r>
      <w:proofErr w:type="gramEnd"/>
      <w:r w:rsidRPr="00D63D6A">
        <w:rPr>
          <w:rFonts w:ascii="Arial" w:hAnsi="Arial" w:cs="Arial"/>
          <w:sz w:val="22"/>
          <w:szCs w:val="22"/>
        </w:rPr>
        <w:t xml:space="preserve"> market recovery, underscores APA's potential value. However, a deeper dive into the reasons behind its underperformance is crucial to </w:t>
      </w:r>
      <w:proofErr w:type="gramStart"/>
      <w:r w:rsidRPr="00D63D6A">
        <w:rPr>
          <w:rFonts w:ascii="Arial" w:hAnsi="Arial" w:cs="Arial"/>
          <w:sz w:val="22"/>
          <w:szCs w:val="22"/>
        </w:rPr>
        <w:t>determine</w:t>
      </w:r>
      <w:proofErr w:type="gramEnd"/>
      <w:r w:rsidRPr="00D63D6A">
        <w:rPr>
          <w:rFonts w:ascii="Arial" w:hAnsi="Arial" w:cs="Arial"/>
          <w:sz w:val="22"/>
          <w:szCs w:val="22"/>
        </w:rPr>
        <w:t xml:space="preserve"> if it's a true value play or if there are underlying issues affecting its valuation. Uncovering these reasons could reveal opportunities to unlock </w:t>
      </w:r>
      <w:proofErr w:type="gramStart"/>
      <w:r w:rsidRPr="00D63D6A">
        <w:rPr>
          <w:rFonts w:ascii="Arial" w:hAnsi="Arial" w:cs="Arial"/>
          <w:sz w:val="22"/>
          <w:szCs w:val="22"/>
        </w:rPr>
        <w:t>APA's</w:t>
      </w:r>
      <w:proofErr w:type="gramEnd"/>
      <w:r w:rsidRPr="00D63D6A">
        <w:rPr>
          <w:rFonts w:ascii="Arial" w:hAnsi="Arial" w:cs="Arial"/>
          <w:sz w:val="22"/>
          <w:szCs w:val="22"/>
        </w:rPr>
        <w:t xml:space="preserve"> full</w:t>
      </w:r>
      <w:r w:rsidR="00144E85">
        <w:rPr>
          <w:rFonts w:ascii="Arial" w:hAnsi="Arial" w:cs="Arial"/>
          <w:sz w:val="22"/>
          <w:szCs w:val="22"/>
        </w:rPr>
        <w:t>.</w:t>
      </w:r>
    </w:p>
    <w:p w14:paraId="5A92E1A7" w14:textId="77777777" w:rsidR="00144E85" w:rsidRDefault="00144E85" w:rsidP="00D63D6A">
      <w:pPr>
        <w:jc w:val="both"/>
        <w:rPr>
          <w:rFonts w:ascii="Arial" w:hAnsi="Arial" w:cs="Arial"/>
          <w:sz w:val="22"/>
          <w:szCs w:val="22"/>
        </w:rPr>
      </w:pPr>
    </w:p>
    <w:p w14:paraId="03057C3D" w14:textId="6E1722F9" w:rsidR="00144E85" w:rsidRDefault="00144E85" w:rsidP="00D63D6A">
      <w:pPr>
        <w:jc w:val="both"/>
        <w:rPr>
          <w:rFonts w:ascii="Arial" w:hAnsi="Arial" w:cs="Arial"/>
          <w:b/>
          <w:bCs/>
          <w:sz w:val="28"/>
          <w:szCs w:val="28"/>
        </w:rPr>
      </w:pPr>
      <w:r w:rsidRPr="00144E85">
        <w:rPr>
          <w:rFonts w:ascii="Arial" w:hAnsi="Arial" w:cs="Arial"/>
          <w:b/>
          <w:bCs/>
          <w:sz w:val="28"/>
          <w:szCs w:val="28"/>
        </w:rPr>
        <w:t xml:space="preserve">4.0 </w:t>
      </w:r>
      <w:r w:rsidRPr="00EC439F">
        <w:rPr>
          <w:rFonts w:ascii="Arial" w:hAnsi="Arial" w:cs="Arial"/>
          <w:b/>
          <w:bCs/>
          <w:sz w:val="28"/>
          <w:szCs w:val="28"/>
          <w:u w:val="single"/>
        </w:rPr>
        <w:t>Conclusion</w:t>
      </w:r>
    </w:p>
    <w:p w14:paraId="15A71F2B" w14:textId="4AFA66F3" w:rsidR="00EC439F" w:rsidRDefault="00EC439F" w:rsidP="00D63D6A">
      <w:pPr>
        <w:jc w:val="both"/>
        <w:rPr>
          <w:rFonts w:ascii="Arial" w:hAnsi="Arial" w:cs="Arial"/>
          <w:sz w:val="22"/>
          <w:szCs w:val="22"/>
        </w:rPr>
      </w:pPr>
      <w:r w:rsidRPr="00EC439F">
        <w:rPr>
          <w:rFonts w:ascii="Arial" w:hAnsi="Arial" w:cs="Arial"/>
          <w:sz w:val="22"/>
          <w:szCs w:val="22"/>
        </w:rPr>
        <w:t xml:space="preserve">This report analyzed publicly traded companies within four key sectors: Electronics and Components, Financial (focusing on Banks - Regional), Healthcare (focusing on Healthcare Plan Industry), and Energy (focusing on Oil and Gas E&amp;P). The analysis employed a </w:t>
      </w:r>
      <w:r w:rsidRPr="00EC439F">
        <w:rPr>
          <w:rFonts w:ascii="Arial" w:hAnsi="Arial" w:cs="Arial"/>
          <w:sz w:val="22"/>
          <w:szCs w:val="22"/>
        </w:rPr>
        <w:lastRenderedPageBreak/>
        <w:t xml:space="preserve">comparative approach, evaluating companies based on financial metrics like P/E Ratio, ROE, Gross Profit, CAGR, and projected values. Additionally, sector-specific factors were incorporated to refine growth projections and </w:t>
      </w:r>
      <w:proofErr w:type="gramStart"/>
      <w:r w:rsidRPr="00EC439F">
        <w:rPr>
          <w:rFonts w:ascii="Arial" w:hAnsi="Arial" w:cs="Arial"/>
          <w:sz w:val="22"/>
          <w:szCs w:val="22"/>
        </w:rPr>
        <w:t>identify</w:t>
      </w:r>
      <w:proofErr w:type="gramEnd"/>
      <w:r w:rsidRPr="00EC439F">
        <w:rPr>
          <w:rFonts w:ascii="Arial" w:hAnsi="Arial" w:cs="Arial"/>
          <w:sz w:val="22"/>
          <w:szCs w:val="22"/>
        </w:rPr>
        <w:t xml:space="preserve"> undervalued opportunities.</w:t>
      </w:r>
    </w:p>
    <w:p w14:paraId="7A2BD686" w14:textId="6488C6BB" w:rsidR="00EC439F" w:rsidRPr="00EC439F" w:rsidRDefault="00EC439F" w:rsidP="00EC439F">
      <w:pPr>
        <w:jc w:val="both"/>
        <w:rPr>
          <w:rFonts w:ascii="Arial" w:hAnsi="Arial" w:cs="Arial"/>
          <w:b/>
          <w:bCs/>
          <w:sz w:val="22"/>
          <w:szCs w:val="22"/>
        </w:rPr>
      </w:pPr>
      <w:r w:rsidRPr="00EC439F">
        <w:rPr>
          <w:rFonts w:ascii="Arial" w:hAnsi="Arial" w:cs="Arial"/>
          <w:b/>
          <w:bCs/>
          <w:sz w:val="22"/>
          <w:szCs w:val="22"/>
        </w:rPr>
        <w:t>Key Findings</w:t>
      </w:r>
    </w:p>
    <w:p w14:paraId="7ED1D9D9" w14:textId="77777777" w:rsidR="00EC439F" w:rsidRPr="00EC439F" w:rsidRDefault="00EC439F" w:rsidP="00EC439F">
      <w:pPr>
        <w:pStyle w:val="ListParagraph"/>
        <w:numPr>
          <w:ilvl w:val="0"/>
          <w:numId w:val="13"/>
        </w:numPr>
        <w:jc w:val="both"/>
        <w:rPr>
          <w:rFonts w:ascii="Arial" w:hAnsi="Arial" w:cs="Arial"/>
          <w:sz w:val="22"/>
          <w:szCs w:val="22"/>
        </w:rPr>
      </w:pPr>
      <w:r w:rsidRPr="00EC439F">
        <w:rPr>
          <w:rFonts w:ascii="Arial" w:hAnsi="Arial" w:cs="Arial"/>
          <w:b/>
          <w:bCs/>
          <w:sz w:val="22"/>
          <w:szCs w:val="22"/>
        </w:rPr>
        <w:t>Undervalued Gems:</w:t>
      </w:r>
      <w:r w:rsidRPr="00EC439F">
        <w:rPr>
          <w:rFonts w:ascii="Arial" w:hAnsi="Arial" w:cs="Arial"/>
          <w:sz w:val="22"/>
          <w:szCs w:val="22"/>
        </w:rPr>
        <w:t xml:space="preserve"> The analysis revealed several potentially undervalued companies: Jabil (JBL) in the Electronics and Components sector, East West Bancorp (EWBC) in the </w:t>
      </w:r>
      <w:proofErr w:type="gramStart"/>
      <w:r w:rsidRPr="00EC439F">
        <w:rPr>
          <w:rFonts w:ascii="Arial" w:hAnsi="Arial" w:cs="Arial"/>
          <w:sz w:val="22"/>
          <w:szCs w:val="22"/>
        </w:rPr>
        <w:t>Financial</w:t>
      </w:r>
      <w:proofErr w:type="gramEnd"/>
      <w:r w:rsidRPr="00EC439F">
        <w:rPr>
          <w:rFonts w:ascii="Arial" w:hAnsi="Arial" w:cs="Arial"/>
          <w:sz w:val="22"/>
          <w:szCs w:val="22"/>
        </w:rPr>
        <w:t xml:space="preserve"> sector, and CVS Health Corp (CVS) in the Healthcare sector. These companies </w:t>
      </w:r>
      <w:proofErr w:type="gramStart"/>
      <w:r w:rsidRPr="00EC439F">
        <w:rPr>
          <w:rFonts w:ascii="Arial" w:hAnsi="Arial" w:cs="Arial"/>
          <w:sz w:val="22"/>
          <w:szCs w:val="22"/>
        </w:rPr>
        <w:t>exhibited</w:t>
      </w:r>
      <w:proofErr w:type="gramEnd"/>
      <w:r w:rsidRPr="00EC439F">
        <w:rPr>
          <w:rFonts w:ascii="Arial" w:hAnsi="Arial" w:cs="Arial"/>
          <w:sz w:val="22"/>
          <w:szCs w:val="22"/>
        </w:rPr>
        <w:t xml:space="preserve"> strong financial health, promising growth prospects, and the potential for outperformance within their respective sectors.</w:t>
      </w:r>
    </w:p>
    <w:p w14:paraId="539F4DBF" w14:textId="77777777" w:rsidR="00EC439F" w:rsidRPr="00EC439F" w:rsidRDefault="00EC439F" w:rsidP="00EC439F">
      <w:pPr>
        <w:pStyle w:val="ListParagraph"/>
        <w:numPr>
          <w:ilvl w:val="0"/>
          <w:numId w:val="13"/>
        </w:numPr>
        <w:jc w:val="both"/>
        <w:rPr>
          <w:rFonts w:ascii="Arial" w:hAnsi="Arial" w:cs="Arial"/>
          <w:sz w:val="22"/>
          <w:szCs w:val="22"/>
        </w:rPr>
      </w:pPr>
      <w:r w:rsidRPr="00EC439F">
        <w:rPr>
          <w:rFonts w:ascii="Arial" w:hAnsi="Arial" w:cs="Arial"/>
          <w:b/>
          <w:bCs/>
          <w:sz w:val="22"/>
          <w:szCs w:val="22"/>
        </w:rPr>
        <w:t>Sector Trends:</w:t>
      </w:r>
      <w:r w:rsidRPr="00EC439F">
        <w:rPr>
          <w:rFonts w:ascii="Arial" w:hAnsi="Arial" w:cs="Arial"/>
          <w:sz w:val="22"/>
          <w:szCs w:val="22"/>
        </w:rPr>
        <w:t xml:space="preserve"> The report </w:t>
      </w:r>
      <w:proofErr w:type="gramStart"/>
      <w:r w:rsidRPr="00EC439F">
        <w:rPr>
          <w:rFonts w:ascii="Arial" w:hAnsi="Arial" w:cs="Arial"/>
          <w:sz w:val="22"/>
          <w:szCs w:val="22"/>
        </w:rPr>
        <w:t>identified</w:t>
      </w:r>
      <w:proofErr w:type="gramEnd"/>
      <w:r w:rsidRPr="00EC439F">
        <w:rPr>
          <w:rFonts w:ascii="Arial" w:hAnsi="Arial" w:cs="Arial"/>
          <w:sz w:val="22"/>
          <w:szCs w:val="22"/>
        </w:rPr>
        <w:t xml:space="preserve"> significant growth potential within the Healthcare and Financial sectors, driven by factors like margin and cost optimization, reimbursement-rate increases, and economic recovery. The Electronics and Components sector is expected to </w:t>
      </w:r>
      <w:proofErr w:type="gramStart"/>
      <w:r w:rsidRPr="00EC439F">
        <w:rPr>
          <w:rFonts w:ascii="Arial" w:hAnsi="Arial" w:cs="Arial"/>
          <w:sz w:val="22"/>
          <w:szCs w:val="22"/>
        </w:rPr>
        <w:t>benefit</w:t>
      </w:r>
      <w:proofErr w:type="gramEnd"/>
      <w:r w:rsidRPr="00EC439F">
        <w:rPr>
          <w:rFonts w:ascii="Arial" w:hAnsi="Arial" w:cs="Arial"/>
          <w:sz w:val="22"/>
          <w:szCs w:val="22"/>
        </w:rPr>
        <w:t xml:space="preserve"> from continuous technological advancements and R&amp;D investments. While the Energy sector is experiencing a recovery in oil prices, further investigation is necessary to assess the long-term sustainability of this trend.</w:t>
      </w:r>
    </w:p>
    <w:p w14:paraId="21E5DB59" w14:textId="2176723A" w:rsidR="00EC439F" w:rsidRPr="00EC439F" w:rsidRDefault="00EC439F" w:rsidP="00EC439F">
      <w:pPr>
        <w:pStyle w:val="ListParagraph"/>
        <w:numPr>
          <w:ilvl w:val="0"/>
          <w:numId w:val="13"/>
        </w:numPr>
        <w:jc w:val="both"/>
        <w:rPr>
          <w:rFonts w:ascii="Arial" w:hAnsi="Arial" w:cs="Arial"/>
          <w:sz w:val="22"/>
          <w:szCs w:val="22"/>
        </w:rPr>
      </w:pPr>
      <w:r w:rsidRPr="00EC439F">
        <w:rPr>
          <w:rFonts w:ascii="Arial" w:hAnsi="Arial" w:cs="Arial"/>
          <w:b/>
          <w:bCs/>
          <w:sz w:val="22"/>
          <w:szCs w:val="22"/>
        </w:rPr>
        <w:t>The Importance of Due Diligence:</w:t>
      </w:r>
      <w:r w:rsidRPr="00EC439F">
        <w:rPr>
          <w:rFonts w:ascii="Arial" w:hAnsi="Arial" w:cs="Arial"/>
          <w:sz w:val="22"/>
          <w:szCs w:val="22"/>
        </w:rPr>
        <w:t xml:space="preserve"> While APA Corporation (APA) in the Energy sector </w:t>
      </w:r>
      <w:proofErr w:type="gramStart"/>
      <w:r w:rsidRPr="00EC439F">
        <w:rPr>
          <w:rFonts w:ascii="Arial" w:hAnsi="Arial" w:cs="Arial"/>
          <w:sz w:val="22"/>
          <w:szCs w:val="22"/>
        </w:rPr>
        <w:t>emerged</w:t>
      </w:r>
      <w:proofErr w:type="gramEnd"/>
      <w:r w:rsidRPr="00EC439F">
        <w:rPr>
          <w:rFonts w:ascii="Arial" w:hAnsi="Arial" w:cs="Arial"/>
          <w:sz w:val="22"/>
          <w:szCs w:val="22"/>
        </w:rPr>
        <w:t xml:space="preserve"> as a potential undervalued company based on its low P/E ratio and high ROE, its current underperformance warrants further investigation. </w:t>
      </w:r>
      <w:proofErr w:type="gramStart"/>
      <w:r w:rsidRPr="00EC439F">
        <w:rPr>
          <w:rFonts w:ascii="Arial" w:hAnsi="Arial" w:cs="Arial"/>
          <w:sz w:val="22"/>
          <w:szCs w:val="22"/>
        </w:rPr>
        <w:t>Identifying</w:t>
      </w:r>
      <w:proofErr w:type="gramEnd"/>
      <w:r w:rsidRPr="00EC439F">
        <w:rPr>
          <w:rFonts w:ascii="Arial" w:hAnsi="Arial" w:cs="Arial"/>
          <w:sz w:val="22"/>
          <w:szCs w:val="22"/>
        </w:rPr>
        <w:t xml:space="preserve"> the underlying reasons behind this underperformance is crucial to determine if APA is a true value play or if there are hidden issues affecting its valuation.</w:t>
      </w:r>
    </w:p>
    <w:p w14:paraId="684AD166" w14:textId="6C71481C" w:rsidR="00405DF1" w:rsidRPr="00EC439F" w:rsidRDefault="00EC439F" w:rsidP="00405DF1">
      <w:pPr>
        <w:jc w:val="both"/>
        <w:rPr>
          <w:rFonts w:ascii="Arial" w:hAnsi="Arial" w:cs="Arial"/>
          <w:b/>
          <w:bCs/>
          <w:color w:val="000000"/>
          <w:sz w:val="22"/>
          <w:szCs w:val="22"/>
        </w:rPr>
      </w:pPr>
      <w:r w:rsidRPr="00EC439F">
        <w:rPr>
          <w:rFonts w:ascii="Arial" w:hAnsi="Arial" w:cs="Arial"/>
          <w:b/>
          <w:bCs/>
          <w:color w:val="000000"/>
          <w:sz w:val="22"/>
          <w:szCs w:val="22"/>
        </w:rPr>
        <w:t>Investment Considerations</w:t>
      </w:r>
      <w:r>
        <w:rPr>
          <w:rFonts w:ascii="Arial" w:hAnsi="Arial" w:cs="Arial"/>
          <w:b/>
          <w:bCs/>
          <w:color w:val="000000"/>
          <w:sz w:val="22"/>
          <w:szCs w:val="22"/>
        </w:rPr>
        <w:t xml:space="preserve"> and Recommendations</w:t>
      </w:r>
    </w:p>
    <w:p w14:paraId="0581D20D" w14:textId="3BC4FB71" w:rsidR="00EC439F" w:rsidRDefault="00EC439F" w:rsidP="00405DF1">
      <w:pPr>
        <w:jc w:val="both"/>
        <w:rPr>
          <w:rFonts w:ascii="Arial" w:hAnsi="Arial" w:cs="Arial"/>
          <w:color w:val="000000"/>
          <w:sz w:val="22"/>
          <w:szCs w:val="22"/>
        </w:rPr>
      </w:pPr>
      <w:r w:rsidRPr="00EC439F">
        <w:rPr>
          <w:rFonts w:ascii="Arial" w:hAnsi="Arial" w:cs="Arial"/>
          <w:color w:val="000000"/>
          <w:sz w:val="22"/>
          <w:szCs w:val="22"/>
        </w:rPr>
        <w:t>This report provides a starting point for further investment research. Investors should conduct thorough due diligence before making any investment decisions. This may include considering factors not covered in this report, such as a company's management team, competitive landscape, regulatory environment, and long-term strategic plans. By combining the insights from this analysis with their own research, investors can make informed decisions to capitalize on potential opportunities across various sectors</w:t>
      </w:r>
      <w:r w:rsidR="00590FEA">
        <w:rPr>
          <w:rFonts w:ascii="Arial" w:hAnsi="Arial" w:cs="Arial"/>
          <w:color w:val="000000"/>
          <w:sz w:val="22"/>
          <w:szCs w:val="22"/>
        </w:rPr>
        <w:t>.</w:t>
      </w:r>
    </w:p>
    <w:p w14:paraId="00133E3B" w14:textId="67BA2428" w:rsidR="00590FEA" w:rsidRDefault="00590FEA" w:rsidP="00405DF1">
      <w:pPr>
        <w:jc w:val="both"/>
      </w:pPr>
      <w:r>
        <w:t xml:space="preserve">Focus research efforts on the Healthcare and Financial sectors, </w:t>
      </w:r>
      <w:proofErr w:type="gramStart"/>
      <w:r>
        <w:t>identified</w:t>
      </w:r>
      <w:proofErr w:type="gramEnd"/>
      <w:r>
        <w:t xml:space="preserve"> in this report as having strong potential for long-term growth. This approach can lead to uncovering promising investment opportunities.</w:t>
      </w:r>
    </w:p>
    <w:p w14:paraId="38E250C2" w14:textId="7E4DD55D" w:rsidR="00590FEA" w:rsidRDefault="00590FEA" w:rsidP="00405DF1">
      <w:pPr>
        <w:jc w:val="both"/>
        <w:rPr>
          <w:rFonts w:ascii="Arial" w:hAnsi="Arial" w:cs="Arial"/>
          <w:color w:val="000000"/>
          <w:sz w:val="22"/>
          <w:szCs w:val="22"/>
        </w:rPr>
      </w:pPr>
      <w:r>
        <w:t xml:space="preserve">Jabil (Technology) and East West Bancorp (Financials) could be undervalued. Further research these companies to </w:t>
      </w:r>
      <w:proofErr w:type="gramStart"/>
      <w:r>
        <w:t>determine</w:t>
      </w:r>
      <w:proofErr w:type="gramEnd"/>
      <w:r>
        <w:t xml:space="preserve"> if they align with your investment goals. Remember, thorough due diligence is crucial before making any investment decision</w:t>
      </w:r>
      <w:r>
        <w:t>s.</w:t>
      </w:r>
    </w:p>
    <w:p w14:paraId="4A79F789" w14:textId="77777777" w:rsidR="00EC439F" w:rsidRPr="00EC439F" w:rsidRDefault="00EC439F" w:rsidP="00405DF1">
      <w:pPr>
        <w:jc w:val="both"/>
        <w:rPr>
          <w:rFonts w:ascii="Arial" w:hAnsi="Arial" w:cs="Arial"/>
          <w:b/>
          <w:bCs/>
          <w:color w:val="000000"/>
          <w:sz w:val="22"/>
          <w:szCs w:val="22"/>
        </w:rPr>
      </w:pPr>
      <w:r w:rsidRPr="00EC439F">
        <w:rPr>
          <w:rFonts w:ascii="Arial" w:hAnsi="Arial" w:cs="Arial"/>
          <w:b/>
          <w:bCs/>
          <w:color w:val="000000"/>
          <w:sz w:val="22"/>
          <w:szCs w:val="22"/>
        </w:rPr>
        <w:t>The Future of Industries</w:t>
      </w:r>
    </w:p>
    <w:p w14:paraId="2070724D" w14:textId="77777777" w:rsidR="00590FEA" w:rsidRDefault="00EC439F" w:rsidP="008A0F28">
      <w:pPr>
        <w:jc w:val="both"/>
        <w:rPr>
          <w:rFonts w:ascii="Arial" w:hAnsi="Arial" w:cs="Arial"/>
          <w:color w:val="000000"/>
          <w:sz w:val="22"/>
          <w:szCs w:val="22"/>
        </w:rPr>
      </w:pPr>
      <w:r w:rsidRPr="00EC439F">
        <w:rPr>
          <w:rFonts w:ascii="Arial" w:hAnsi="Arial" w:cs="Arial"/>
          <w:color w:val="000000"/>
          <w:sz w:val="22"/>
          <w:szCs w:val="22"/>
        </w:rPr>
        <w:t xml:space="preserve">The report highlights the importance of staying informed about sector-specific trends and technological advancements. As industries continue to evolve, investors who can </w:t>
      </w:r>
      <w:proofErr w:type="gramStart"/>
      <w:r w:rsidRPr="00EC439F">
        <w:rPr>
          <w:rFonts w:ascii="Arial" w:hAnsi="Arial" w:cs="Arial"/>
          <w:color w:val="000000"/>
          <w:sz w:val="22"/>
          <w:szCs w:val="22"/>
        </w:rPr>
        <w:t>identify</w:t>
      </w:r>
      <w:proofErr w:type="gramEnd"/>
      <w:r w:rsidRPr="00EC439F">
        <w:rPr>
          <w:rFonts w:ascii="Arial" w:hAnsi="Arial" w:cs="Arial"/>
          <w:color w:val="000000"/>
          <w:sz w:val="22"/>
          <w:szCs w:val="22"/>
        </w:rPr>
        <w:t xml:space="preserve"> companies positioned to benefit from these changes will be well-positioned for success.</w:t>
      </w:r>
    </w:p>
    <w:p w14:paraId="26AF1FCA" w14:textId="41C0E726" w:rsidR="001F2323" w:rsidRPr="00590FEA" w:rsidRDefault="001F2323" w:rsidP="008A0F28">
      <w:pPr>
        <w:jc w:val="both"/>
        <w:rPr>
          <w:rFonts w:ascii="Arial" w:hAnsi="Arial" w:cs="Arial"/>
          <w:color w:val="000000"/>
          <w:sz w:val="22"/>
          <w:szCs w:val="22"/>
        </w:rPr>
      </w:pPr>
      <w:r w:rsidRPr="00144E85">
        <w:rPr>
          <w:rFonts w:ascii="Arial" w:hAnsi="Arial" w:cs="Arial"/>
          <w:b/>
          <w:bCs/>
          <w:color w:val="000000"/>
          <w:sz w:val="28"/>
          <w:szCs w:val="28"/>
        </w:rPr>
        <w:lastRenderedPageBreak/>
        <w:t>References:</w:t>
      </w:r>
    </w:p>
    <w:p w14:paraId="16481D8C" w14:textId="5AB27F3A" w:rsidR="00BA4CDE" w:rsidRPr="00590FEA" w:rsidRDefault="00ED35F8" w:rsidP="008A0F28">
      <w:pPr>
        <w:jc w:val="both"/>
        <w:rPr>
          <w:rFonts w:ascii="Arial" w:hAnsi="Arial" w:cs="Arial"/>
          <w:i/>
          <w:iCs/>
          <w:color w:val="000000"/>
          <w:sz w:val="20"/>
          <w:szCs w:val="20"/>
        </w:rPr>
      </w:pPr>
      <w:proofErr w:type="spellStart"/>
      <w:r w:rsidRPr="00590FEA">
        <w:rPr>
          <w:rFonts w:ascii="Arial" w:hAnsi="Arial" w:cs="Arial"/>
          <w:i/>
          <w:iCs/>
          <w:color w:val="000000"/>
          <w:sz w:val="20"/>
          <w:szCs w:val="20"/>
        </w:rPr>
        <w:t>Finviz</w:t>
      </w:r>
      <w:proofErr w:type="spellEnd"/>
      <w:r w:rsidRPr="00590FEA">
        <w:rPr>
          <w:rFonts w:ascii="Arial" w:hAnsi="Arial" w:cs="Arial"/>
          <w:i/>
          <w:iCs/>
          <w:color w:val="000000"/>
          <w:sz w:val="20"/>
          <w:szCs w:val="20"/>
        </w:rPr>
        <w:t xml:space="preserve"> Website </w:t>
      </w:r>
      <w:hyperlink r:id="rId18" w:history="1">
        <w:r w:rsidRPr="00590FEA">
          <w:rPr>
            <w:rStyle w:val="Hyperlink"/>
            <w:rFonts w:ascii="Arial" w:hAnsi="Arial" w:cs="Arial"/>
            <w:i/>
            <w:iCs/>
            <w:sz w:val="20"/>
            <w:szCs w:val="20"/>
          </w:rPr>
          <w:t>https://finviz.com/screener.ashx</w:t>
        </w:r>
      </w:hyperlink>
    </w:p>
    <w:p w14:paraId="39084597" w14:textId="78BB012D"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Macrotrends Website </w:t>
      </w:r>
      <w:hyperlink r:id="rId19" w:history="1">
        <w:r w:rsidRPr="00590FEA">
          <w:rPr>
            <w:rStyle w:val="Hyperlink"/>
            <w:rFonts w:ascii="Arial" w:hAnsi="Arial" w:cs="Arial"/>
            <w:i/>
            <w:iCs/>
            <w:sz w:val="20"/>
            <w:szCs w:val="20"/>
          </w:rPr>
          <w:t>https://www.macrotrends.net/stocks/stock-screener</w:t>
        </w:r>
      </w:hyperlink>
    </w:p>
    <w:p w14:paraId="0E1CDA66" w14:textId="68DA411D"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Yahoo Finance Website </w:t>
      </w:r>
      <w:hyperlink r:id="rId20" w:history="1">
        <w:r w:rsidRPr="00590FEA">
          <w:rPr>
            <w:rStyle w:val="Hyperlink"/>
            <w:rFonts w:ascii="Arial" w:hAnsi="Arial" w:cs="Arial"/>
            <w:i/>
            <w:iCs/>
            <w:sz w:val="20"/>
            <w:szCs w:val="20"/>
          </w:rPr>
          <w:t>https://uk.finance.yahoo.com/quote/JBL/key-statistics/</w:t>
        </w:r>
      </w:hyperlink>
    </w:p>
    <w:p w14:paraId="4E3908D1" w14:textId="49630CAF"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MarketWatch Website </w:t>
      </w:r>
      <w:hyperlink r:id="rId21" w:history="1">
        <w:r w:rsidRPr="00590FEA">
          <w:rPr>
            <w:rStyle w:val="Hyperlink"/>
            <w:rFonts w:ascii="Arial" w:hAnsi="Arial" w:cs="Arial"/>
            <w:i/>
            <w:iCs/>
            <w:sz w:val="20"/>
            <w:szCs w:val="20"/>
          </w:rPr>
          <w:t>https://www.marketwatch.com/</w:t>
        </w:r>
      </w:hyperlink>
    </w:p>
    <w:p w14:paraId="0B41B4DE" w14:textId="3FB55A59" w:rsidR="00BA4CDE" w:rsidRPr="00590FEA" w:rsidRDefault="00FC5E0A"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Working Data Spreadsheet </w:t>
      </w:r>
      <w:hyperlink r:id="rId22" w:history="1">
        <w:r w:rsidR="00ED35F8" w:rsidRPr="00590FEA">
          <w:rPr>
            <w:rStyle w:val="Hyperlink"/>
            <w:rFonts w:ascii="Arial" w:hAnsi="Arial" w:cs="Arial"/>
            <w:i/>
            <w:iCs/>
            <w:sz w:val="20"/>
            <w:szCs w:val="20"/>
          </w:rPr>
          <w:t>https://docs.google.com/spreadsheets/d/1z0Bw7UstE3HDsqG-O2ixcl-A-tdSjkBq9uIMQFs7Ffo/edit?usp=sharing</w:t>
        </w:r>
      </w:hyperlink>
    </w:p>
    <w:p w14:paraId="23B08F35" w14:textId="57A4E69F"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Industry figures for </w:t>
      </w:r>
      <w:r w:rsidRPr="00590FEA">
        <w:rPr>
          <w:rFonts w:ascii="Arial" w:hAnsi="Arial" w:cs="Arial"/>
          <w:i/>
          <w:iCs/>
          <w:color w:val="000000"/>
          <w:sz w:val="20"/>
          <w:szCs w:val="20"/>
        </w:rPr>
        <w:t xml:space="preserve">ROE </w:t>
      </w:r>
      <w:hyperlink r:id="rId23" w:history="1">
        <w:r w:rsidRPr="00590FEA">
          <w:rPr>
            <w:rStyle w:val="Hyperlink"/>
            <w:rFonts w:ascii="Arial" w:hAnsi="Arial" w:cs="Arial"/>
            <w:i/>
            <w:iCs/>
            <w:sz w:val="20"/>
            <w:szCs w:val="20"/>
          </w:rPr>
          <w:t>https://fullratio.com/roe-by-industry</w:t>
        </w:r>
      </w:hyperlink>
    </w:p>
    <w:p w14:paraId="228149BC" w14:textId="37F1F085"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Industry figures for </w:t>
      </w:r>
      <w:r w:rsidRPr="00590FEA">
        <w:rPr>
          <w:rFonts w:ascii="Arial" w:hAnsi="Arial" w:cs="Arial"/>
          <w:i/>
          <w:iCs/>
          <w:color w:val="000000"/>
          <w:sz w:val="20"/>
          <w:szCs w:val="20"/>
        </w:rPr>
        <w:t xml:space="preserve">P/E ratio </w:t>
      </w:r>
      <w:hyperlink r:id="rId24" w:history="1">
        <w:r w:rsidRPr="00590FEA">
          <w:rPr>
            <w:rStyle w:val="Hyperlink"/>
            <w:rFonts w:ascii="Arial" w:hAnsi="Arial" w:cs="Arial"/>
            <w:i/>
            <w:iCs/>
            <w:sz w:val="20"/>
            <w:szCs w:val="20"/>
          </w:rPr>
          <w:t>https://fullratio.com/pe-ratio-by-industry</w:t>
        </w:r>
      </w:hyperlink>
    </w:p>
    <w:p w14:paraId="3CD2BD3E" w14:textId="29FBC29E" w:rsidR="00BA4CDE"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Industry figures for Profit Margin</w:t>
      </w:r>
      <w:hyperlink r:id="rId25" w:history="1">
        <w:r w:rsidRPr="00590FEA">
          <w:rPr>
            <w:rStyle w:val="Hyperlink"/>
            <w:rFonts w:ascii="Arial" w:hAnsi="Arial" w:cs="Arial"/>
            <w:i/>
            <w:iCs/>
            <w:sz w:val="20"/>
            <w:szCs w:val="20"/>
          </w:rPr>
          <w:t>https://fullratio.com/profit-margin-by-industry</w:t>
        </w:r>
      </w:hyperlink>
    </w:p>
    <w:p w14:paraId="51DCDF0D" w14:textId="4CAE306F" w:rsidR="00ED35F8" w:rsidRPr="00590FEA" w:rsidRDefault="00ED35F8"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CAGR Formula </w:t>
      </w:r>
      <w:hyperlink r:id="rId26" w:history="1">
        <w:r w:rsidRPr="00590FEA">
          <w:rPr>
            <w:rStyle w:val="Hyperlink"/>
            <w:rFonts w:ascii="Arial" w:hAnsi="Arial" w:cs="Arial"/>
            <w:i/>
            <w:iCs/>
            <w:sz w:val="20"/>
            <w:szCs w:val="20"/>
          </w:rPr>
          <w:t>https://www.investopedia.com/terms/c/cagr.asp</w:t>
        </w:r>
      </w:hyperlink>
    </w:p>
    <w:p w14:paraId="15172F4D" w14:textId="41AD1ADD" w:rsidR="00FC5E0A" w:rsidRPr="00590FEA" w:rsidRDefault="00FC5E0A"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JABIL Inc’s Historic Data or R&amp;D Investments </w:t>
      </w:r>
      <w:hyperlink r:id="rId27" w:history="1">
        <w:r w:rsidRPr="00590FEA">
          <w:rPr>
            <w:rStyle w:val="Hyperlink"/>
            <w:rFonts w:ascii="Arial" w:hAnsi="Arial" w:cs="Arial"/>
            <w:i/>
            <w:iCs/>
            <w:sz w:val="20"/>
            <w:szCs w:val="20"/>
          </w:rPr>
          <w:t>https://www.macrotrends.net/stocks/charts/JBL/jabil/research-development-expenses</w:t>
        </w:r>
      </w:hyperlink>
    </w:p>
    <w:p w14:paraId="41C84B9A" w14:textId="35475AFF" w:rsidR="00A229D4" w:rsidRPr="00590FEA" w:rsidRDefault="00A229D4"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East West Bancorp, Inc Stock price increase </w:t>
      </w:r>
      <w:hyperlink r:id="rId28" w:history="1">
        <w:r w:rsidRPr="00590FEA">
          <w:rPr>
            <w:rStyle w:val="Hyperlink"/>
            <w:rFonts w:ascii="Arial" w:hAnsi="Arial" w:cs="Arial"/>
            <w:i/>
            <w:iCs/>
            <w:sz w:val="20"/>
            <w:szCs w:val="20"/>
          </w:rPr>
          <w:t>https://seekingalpha.com/article/4695325-east-west-bancorp-dividend-continues-its-rapid-growth</w:t>
        </w:r>
      </w:hyperlink>
    </w:p>
    <w:p w14:paraId="6670BC68" w14:textId="306AEDB6" w:rsidR="009935F3" w:rsidRPr="00590FEA" w:rsidRDefault="009935F3" w:rsidP="008A0F28">
      <w:pPr>
        <w:jc w:val="both"/>
        <w:rPr>
          <w:rFonts w:ascii="Arial" w:hAnsi="Arial" w:cs="Arial"/>
          <w:i/>
          <w:iCs/>
          <w:color w:val="000000"/>
          <w:sz w:val="20"/>
          <w:szCs w:val="20"/>
        </w:rPr>
      </w:pPr>
      <w:r w:rsidRPr="00590FEA">
        <w:rPr>
          <w:rFonts w:ascii="Arial" w:hAnsi="Arial" w:cs="Arial"/>
          <w:i/>
          <w:iCs/>
          <w:color w:val="000000"/>
          <w:sz w:val="20"/>
          <w:szCs w:val="20"/>
        </w:rPr>
        <w:t xml:space="preserve">What to expect in Healthcare </w:t>
      </w:r>
      <w:hyperlink r:id="rId29" w:history="1">
        <w:r w:rsidRPr="00590FEA">
          <w:rPr>
            <w:rStyle w:val="Hyperlink"/>
            <w:rFonts w:ascii="Arial" w:hAnsi="Arial" w:cs="Arial"/>
            <w:i/>
            <w:iCs/>
            <w:sz w:val="20"/>
            <w:szCs w:val="20"/>
          </w:rPr>
          <w:t>https://www.mckinsey.com/industries/healthcare/our-insights/what-to-expect-in-us-healthcare-in-2024-and-beyond</w:t>
        </w:r>
      </w:hyperlink>
    </w:p>
    <w:p w14:paraId="2929887C" w14:textId="77777777" w:rsidR="001F2323" w:rsidRPr="00590FEA" w:rsidRDefault="001F2323" w:rsidP="008A0F28">
      <w:pPr>
        <w:jc w:val="both"/>
        <w:rPr>
          <w:rFonts w:ascii="Arial" w:hAnsi="Arial" w:cs="Arial"/>
          <w:i/>
          <w:iCs/>
          <w:color w:val="000000"/>
          <w:sz w:val="20"/>
          <w:szCs w:val="20"/>
        </w:rPr>
      </w:pPr>
      <w:hyperlink r:id="rId30" w:history="1">
        <w:r w:rsidRPr="00590FEA">
          <w:rPr>
            <w:rStyle w:val="Hyperlink"/>
            <w:rFonts w:ascii="Arial" w:hAnsi="Arial" w:cs="Arial"/>
            <w:i/>
            <w:iCs/>
            <w:sz w:val="20"/>
            <w:szCs w:val="20"/>
          </w:rPr>
          <w:t>Crude-oil-price-history-chart</w:t>
        </w:r>
      </w:hyperlink>
      <w:r w:rsidRPr="00590FEA">
        <w:rPr>
          <w:rFonts w:ascii="Arial" w:hAnsi="Arial" w:cs="Arial"/>
          <w:i/>
          <w:iCs/>
          <w:color w:val="000000"/>
          <w:sz w:val="20"/>
          <w:szCs w:val="20"/>
        </w:rPr>
        <w:t xml:space="preserve"> </w:t>
      </w:r>
    </w:p>
    <w:p w14:paraId="27000DCC" w14:textId="0A368AF6" w:rsidR="00495C07" w:rsidRPr="00590FEA" w:rsidRDefault="001F2323" w:rsidP="008A0F28">
      <w:pPr>
        <w:jc w:val="both"/>
        <w:rPr>
          <w:rFonts w:ascii="Arial" w:hAnsi="Arial" w:cs="Arial"/>
          <w:i/>
          <w:iCs/>
        </w:rPr>
      </w:pPr>
      <w:hyperlink r:id="rId31" w:history="1">
        <w:r w:rsidRPr="00590FEA">
          <w:rPr>
            <w:rStyle w:val="Hyperlink"/>
            <w:rFonts w:ascii="Arial" w:hAnsi="Arial" w:cs="Arial"/>
            <w:i/>
            <w:iCs/>
            <w:sz w:val="20"/>
            <w:szCs w:val="20"/>
          </w:rPr>
          <w:t>Why-APA-is-Underperforming</w:t>
        </w:r>
      </w:hyperlink>
    </w:p>
    <w:sectPr w:rsidR="00495C07" w:rsidRPr="00590FEA" w:rsidSect="0007318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pt;height:11pt" o:bullet="t">
        <v:imagedata r:id="rId1" o:title="mso88F1"/>
      </v:shape>
    </w:pict>
  </w:numPicBullet>
  <w:abstractNum w:abstractNumId="0" w15:restartNumberingAfterBreak="0">
    <w:nsid w:val="09E136E4"/>
    <w:multiLevelType w:val="hybridMultilevel"/>
    <w:tmpl w:val="F1886E6C"/>
    <w:lvl w:ilvl="0" w:tplc="7616BA42">
      <w:start w:val="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3E0E"/>
    <w:multiLevelType w:val="hybridMultilevel"/>
    <w:tmpl w:val="BD5E75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C3000"/>
    <w:multiLevelType w:val="hybridMultilevel"/>
    <w:tmpl w:val="095EA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14D0"/>
    <w:multiLevelType w:val="multilevel"/>
    <w:tmpl w:val="3148EC7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DB5E59"/>
    <w:multiLevelType w:val="hybridMultilevel"/>
    <w:tmpl w:val="CBA4C5EA"/>
    <w:lvl w:ilvl="0" w:tplc="E02C916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37E34"/>
    <w:multiLevelType w:val="hybridMultilevel"/>
    <w:tmpl w:val="BB78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24429"/>
    <w:multiLevelType w:val="multilevel"/>
    <w:tmpl w:val="33A23E18"/>
    <w:lvl w:ilvl="0">
      <w:start w:val="3"/>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68039F"/>
    <w:multiLevelType w:val="hybridMultilevel"/>
    <w:tmpl w:val="7E38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53F9D"/>
    <w:multiLevelType w:val="hybridMultilevel"/>
    <w:tmpl w:val="5A0E58EE"/>
    <w:lvl w:ilvl="0" w:tplc="DD1882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12E7B"/>
    <w:multiLevelType w:val="hybridMultilevel"/>
    <w:tmpl w:val="BCC67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507EB2"/>
    <w:multiLevelType w:val="hybridMultilevel"/>
    <w:tmpl w:val="73AE7A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3749AC"/>
    <w:multiLevelType w:val="hybridMultilevel"/>
    <w:tmpl w:val="112AD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47223"/>
    <w:multiLevelType w:val="multilevel"/>
    <w:tmpl w:val="FAE0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621787">
    <w:abstractNumId w:val="8"/>
  </w:num>
  <w:num w:numId="2" w16cid:durableId="1776748257">
    <w:abstractNumId w:val="11"/>
  </w:num>
  <w:num w:numId="3" w16cid:durableId="1687899581">
    <w:abstractNumId w:val="3"/>
  </w:num>
  <w:num w:numId="4" w16cid:durableId="1294099396">
    <w:abstractNumId w:val="6"/>
  </w:num>
  <w:num w:numId="5" w16cid:durableId="443574262">
    <w:abstractNumId w:val="5"/>
  </w:num>
  <w:num w:numId="6" w16cid:durableId="362169119">
    <w:abstractNumId w:val="0"/>
  </w:num>
  <w:num w:numId="7" w16cid:durableId="1580552787">
    <w:abstractNumId w:val="4"/>
  </w:num>
  <w:num w:numId="8" w16cid:durableId="1994289473">
    <w:abstractNumId w:val="12"/>
  </w:num>
  <w:num w:numId="9" w16cid:durableId="940835898">
    <w:abstractNumId w:val="10"/>
  </w:num>
  <w:num w:numId="10" w16cid:durableId="1393769756">
    <w:abstractNumId w:val="1"/>
  </w:num>
  <w:num w:numId="11" w16cid:durableId="1315067678">
    <w:abstractNumId w:val="9"/>
  </w:num>
  <w:num w:numId="12" w16cid:durableId="1542397030">
    <w:abstractNumId w:val="7"/>
  </w:num>
  <w:num w:numId="13" w16cid:durableId="1541360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3B"/>
    <w:rsid w:val="00073184"/>
    <w:rsid w:val="000969DA"/>
    <w:rsid w:val="00144E85"/>
    <w:rsid w:val="001D503F"/>
    <w:rsid w:val="001F2323"/>
    <w:rsid w:val="0025703B"/>
    <w:rsid w:val="002A6493"/>
    <w:rsid w:val="002F462A"/>
    <w:rsid w:val="003B7B43"/>
    <w:rsid w:val="00405DF1"/>
    <w:rsid w:val="00426060"/>
    <w:rsid w:val="00495C07"/>
    <w:rsid w:val="00590FEA"/>
    <w:rsid w:val="006C3B4A"/>
    <w:rsid w:val="0074445B"/>
    <w:rsid w:val="007B0127"/>
    <w:rsid w:val="008A0F28"/>
    <w:rsid w:val="0096322C"/>
    <w:rsid w:val="009935F3"/>
    <w:rsid w:val="00A2122E"/>
    <w:rsid w:val="00A229D4"/>
    <w:rsid w:val="00A35DF8"/>
    <w:rsid w:val="00AB50C8"/>
    <w:rsid w:val="00AC5958"/>
    <w:rsid w:val="00AC5C71"/>
    <w:rsid w:val="00BA4CDE"/>
    <w:rsid w:val="00D136EC"/>
    <w:rsid w:val="00D43718"/>
    <w:rsid w:val="00D63D6A"/>
    <w:rsid w:val="00EC439F"/>
    <w:rsid w:val="00ED35F8"/>
    <w:rsid w:val="00ED7AF2"/>
    <w:rsid w:val="00F3537F"/>
    <w:rsid w:val="00F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D6C8"/>
  <w15:chartTrackingRefBased/>
  <w15:docId w15:val="{552AFAF1-8A50-4C00-ACA2-1AD4D2B8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03B"/>
    <w:rPr>
      <w:rFonts w:eastAsiaTheme="majorEastAsia" w:cstheme="majorBidi"/>
      <w:color w:val="272727" w:themeColor="text1" w:themeTint="D8"/>
    </w:rPr>
  </w:style>
  <w:style w:type="paragraph" w:styleId="Title">
    <w:name w:val="Title"/>
    <w:basedOn w:val="Normal"/>
    <w:next w:val="Normal"/>
    <w:link w:val="TitleChar"/>
    <w:uiPriority w:val="10"/>
    <w:qFormat/>
    <w:rsid w:val="00257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03B"/>
    <w:pPr>
      <w:spacing w:before="160"/>
      <w:jc w:val="center"/>
    </w:pPr>
    <w:rPr>
      <w:i/>
      <w:iCs/>
      <w:color w:val="404040" w:themeColor="text1" w:themeTint="BF"/>
    </w:rPr>
  </w:style>
  <w:style w:type="character" w:customStyle="1" w:styleId="QuoteChar">
    <w:name w:val="Quote Char"/>
    <w:basedOn w:val="DefaultParagraphFont"/>
    <w:link w:val="Quote"/>
    <w:uiPriority w:val="29"/>
    <w:rsid w:val="0025703B"/>
    <w:rPr>
      <w:i/>
      <w:iCs/>
      <w:color w:val="404040" w:themeColor="text1" w:themeTint="BF"/>
    </w:rPr>
  </w:style>
  <w:style w:type="paragraph" w:styleId="ListParagraph">
    <w:name w:val="List Paragraph"/>
    <w:basedOn w:val="Normal"/>
    <w:uiPriority w:val="34"/>
    <w:qFormat/>
    <w:rsid w:val="0025703B"/>
    <w:pPr>
      <w:ind w:left="720"/>
      <w:contextualSpacing/>
    </w:pPr>
  </w:style>
  <w:style w:type="character" w:styleId="IntenseEmphasis">
    <w:name w:val="Intense Emphasis"/>
    <w:basedOn w:val="DefaultParagraphFont"/>
    <w:uiPriority w:val="21"/>
    <w:qFormat/>
    <w:rsid w:val="0025703B"/>
    <w:rPr>
      <w:i/>
      <w:iCs/>
      <w:color w:val="0F4761" w:themeColor="accent1" w:themeShade="BF"/>
    </w:rPr>
  </w:style>
  <w:style w:type="paragraph" w:styleId="IntenseQuote">
    <w:name w:val="Intense Quote"/>
    <w:basedOn w:val="Normal"/>
    <w:next w:val="Normal"/>
    <w:link w:val="IntenseQuoteChar"/>
    <w:uiPriority w:val="30"/>
    <w:qFormat/>
    <w:rsid w:val="00257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03B"/>
    <w:rPr>
      <w:i/>
      <w:iCs/>
      <w:color w:val="0F4761" w:themeColor="accent1" w:themeShade="BF"/>
    </w:rPr>
  </w:style>
  <w:style w:type="character" w:styleId="IntenseReference">
    <w:name w:val="Intense Reference"/>
    <w:basedOn w:val="DefaultParagraphFont"/>
    <w:uiPriority w:val="32"/>
    <w:qFormat/>
    <w:rsid w:val="0025703B"/>
    <w:rPr>
      <w:b/>
      <w:bCs/>
      <w:smallCaps/>
      <w:color w:val="0F4761" w:themeColor="accent1" w:themeShade="BF"/>
      <w:spacing w:val="5"/>
    </w:rPr>
  </w:style>
  <w:style w:type="character" w:styleId="Hyperlink">
    <w:name w:val="Hyperlink"/>
    <w:basedOn w:val="DefaultParagraphFont"/>
    <w:uiPriority w:val="99"/>
    <w:unhideWhenUsed/>
    <w:rsid w:val="0025703B"/>
    <w:rPr>
      <w:color w:val="467886" w:themeColor="hyperlink"/>
      <w:u w:val="single"/>
    </w:rPr>
  </w:style>
  <w:style w:type="character" w:styleId="UnresolvedMention">
    <w:name w:val="Unresolved Mention"/>
    <w:basedOn w:val="DefaultParagraphFont"/>
    <w:uiPriority w:val="99"/>
    <w:semiHidden/>
    <w:unhideWhenUsed/>
    <w:rsid w:val="0025703B"/>
    <w:rPr>
      <w:color w:val="605E5C"/>
      <w:shd w:val="clear" w:color="auto" w:fill="E1DFDD"/>
    </w:rPr>
  </w:style>
  <w:style w:type="paragraph" w:styleId="NormalWeb">
    <w:name w:val="Normal (Web)"/>
    <w:basedOn w:val="Normal"/>
    <w:uiPriority w:val="99"/>
    <w:semiHidden/>
    <w:unhideWhenUsed/>
    <w:rsid w:val="00AC5C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D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628">
      <w:bodyDiv w:val="1"/>
      <w:marLeft w:val="0"/>
      <w:marRight w:val="0"/>
      <w:marTop w:val="0"/>
      <w:marBottom w:val="0"/>
      <w:divBdr>
        <w:top w:val="none" w:sz="0" w:space="0" w:color="auto"/>
        <w:left w:val="none" w:sz="0" w:space="0" w:color="auto"/>
        <w:bottom w:val="none" w:sz="0" w:space="0" w:color="auto"/>
        <w:right w:val="none" w:sz="0" w:space="0" w:color="auto"/>
      </w:divBdr>
    </w:div>
    <w:div w:id="264391359">
      <w:bodyDiv w:val="1"/>
      <w:marLeft w:val="0"/>
      <w:marRight w:val="0"/>
      <w:marTop w:val="0"/>
      <w:marBottom w:val="0"/>
      <w:divBdr>
        <w:top w:val="none" w:sz="0" w:space="0" w:color="auto"/>
        <w:left w:val="none" w:sz="0" w:space="0" w:color="auto"/>
        <w:bottom w:val="none" w:sz="0" w:space="0" w:color="auto"/>
        <w:right w:val="none" w:sz="0" w:space="0" w:color="auto"/>
      </w:divBdr>
    </w:div>
    <w:div w:id="330261805">
      <w:bodyDiv w:val="1"/>
      <w:marLeft w:val="0"/>
      <w:marRight w:val="0"/>
      <w:marTop w:val="0"/>
      <w:marBottom w:val="0"/>
      <w:divBdr>
        <w:top w:val="none" w:sz="0" w:space="0" w:color="auto"/>
        <w:left w:val="none" w:sz="0" w:space="0" w:color="auto"/>
        <w:bottom w:val="none" w:sz="0" w:space="0" w:color="auto"/>
        <w:right w:val="none" w:sz="0" w:space="0" w:color="auto"/>
      </w:divBdr>
      <w:divsChild>
        <w:div w:id="1379816073">
          <w:marLeft w:val="0"/>
          <w:marRight w:val="0"/>
          <w:marTop w:val="0"/>
          <w:marBottom w:val="0"/>
          <w:divBdr>
            <w:top w:val="none" w:sz="0" w:space="0" w:color="auto"/>
            <w:left w:val="none" w:sz="0" w:space="0" w:color="auto"/>
            <w:bottom w:val="none" w:sz="0" w:space="0" w:color="auto"/>
            <w:right w:val="none" w:sz="0" w:space="0" w:color="auto"/>
          </w:divBdr>
        </w:div>
      </w:divsChild>
    </w:div>
    <w:div w:id="357587700">
      <w:bodyDiv w:val="1"/>
      <w:marLeft w:val="0"/>
      <w:marRight w:val="0"/>
      <w:marTop w:val="0"/>
      <w:marBottom w:val="0"/>
      <w:divBdr>
        <w:top w:val="none" w:sz="0" w:space="0" w:color="auto"/>
        <w:left w:val="none" w:sz="0" w:space="0" w:color="auto"/>
        <w:bottom w:val="none" w:sz="0" w:space="0" w:color="auto"/>
        <w:right w:val="none" w:sz="0" w:space="0" w:color="auto"/>
      </w:divBdr>
    </w:div>
    <w:div w:id="387147412">
      <w:bodyDiv w:val="1"/>
      <w:marLeft w:val="0"/>
      <w:marRight w:val="0"/>
      <w:marTop w:val="0"/>
      <w:marBottom w:val="0"/>
      <w:divBdr>
        <w:top w:val="none" w:sz="0" w:space="0" w:color="auto"/>
        <w:left w:val="none" w:sz="0" w:space="0" w:color="auto"/>
        <w:bottom w:val="none" w:sz="0" w:space="0" w:color="auto"/>
        <w:right w:val="none" w:sz="0" w:space="0" w:color="auto"/>
      </w:divBdr>
      <w:divsChild>
        <w:div w:id="1331327853">
          <w:marLeft w:val="0"/>
          <w:marRight w:val="0"/>
          <w:marTop w:val="0"/>
          <w:marBottom w:val="0"/>
          <w:divBdr>
            <w:top w:val="none" w:sz="0" w:space="0" w:color="auto"/>
            <w:left w:val="none" w:sz="0" w:space="0" w:color="auto"/>
            <w:bottom w:val="none" w:sz="0" w:space="0" w:color="auto"/>
            <w:right w:val="none" w:sz="0" w:space="0" w:color="auto"/>
          </w:divBdr>
        </w:div>
      </w:divsChild>
    </w:div>
    <w:div w:id="550961693">
      <w:bodyDiv w:val="1"/>
      <w:marLeft w:val="0"/>
      <w:marRight w:val="0"/>
      <w:marTop w:val="0"/>
      <w:marBottom w:val="0"/>
      <w:divBdr>
        <w:top w:val="none" w:sz="0" w:space="0" w:color="auto"/>
        <w:left w:val="none" w:sz="0" w:space="0" w:color="auto"/>
        <w:bottom w:val="none" w:sz="0" w:space="0" w:color="auto"/>
        <w:right w:val="none" w:sz="0" w:space="0" w:color="auto"/>
      </w:divBdr>
    </w:div>
    <w:div w:id="636304565">
      <w:bodyDiv w:val="1"/>
      <w:marLeft w:val="0"/>
      <w:marRight w:val="0"/>
      <w:marTop w:val="0"/>
      <w:marBottom w:val="0"/>
      <w:divBdr>
        <w:top w:val="none" w:sz="0" w:space="0" w:color="auto"/>
        <w:left w:val="none" w:sz="0" w:space="0" w:color="auto"/>
        <w:bottom w:val="none" w:sz="0" w:space="0" w:color="auto"/>
        <w:right w:val="none" w:sz="0" w:space="0" w:color="auto"/>
      </w:divBdr>
      <w:divsChild>
        <w:div w:id="1413818597">
          <w:marLeft w:val="0"/>
          <w:marRight w:val="0"/>
          <w:marTop w:val="0"/>
          <w:marBottom w:val="0"/>
          <w:divBdr>
            <w:top w:val="none" w:sz="0" w:space="0" w:color="auto"/>
            <w:left w:val="none" w:sz="0" w:space="0" w:color="auto"/>
            <w:bottom w:val="none" w:sz="0" w:space="0" w:color="auto"/>
            <w:right w:val="none" w:sz="0" w:space="0" w:color="auto"/>
          </w:divBdr>
        </w:div>
      </w:divsChild>
    </w:div>
    <w:div w:id="688724597">
      <w:bodyDiv w:val="1"/>
      <w:marLeft w:val="0"/>
      <w:marRight w:val="0"/>
      <w:marTop w:val="0"/>
      <w:marBottom w:val="0"/>
      <w:divBdr>
        <w:top w:val="none" w:sz="0" w:space="0" w:color="auto"/>
        <w:left w:val="none" w:sz="0" w:space="0" w:color="auto"/>
        <w:bottom w:val="none" w:sz="0" w:space="0" w:color="auto"/>
        <w:right w:val="none" w:sz="0" w:space="0" w:color="auto"/>
      </w:divBdr>
    </w:div>
    <w:div w:id="1031152644">
      <w:bodyDiv w:val="1"/>
      <w:marLeft w:val="0"/>
      <w:marRight w:val="0"/>
      <w:marTop w:val="0"/>
      <w:marBottom w:val="0"/>
      <w:divBdr>
        <w:top w:val="none" w:sz="0" w:space="0" w:color="auto"/>
        <w:left w:val="none" w:sz="0" w:space="0" w:color="auto"/>
        <w:bottom w:val="none" w:sz="0" w:space="0" w:color="auto"/>
        <w:right w:val="none" w:sz="0" w:space="0" w:color="auto"/>
      </w:divBdr>
      <w:divsChild>
        <w:div w:id="1806123777">
          <w:marLeft w:val="0"/>
          <w:marRight w:val="0"/>
          <w:marTop w:val="0"/>
          <w:marBottom w:val="0"/>
          <w:divBdr>
            <w:top w:val="none" w:sz="0" w:space="0" w:color="auto"/>
            <w:left w:val="none" w:sz="0" w:space="0" w:color="auto"/>
            <w:bottom w:val="none" w:sz="0" w:space="0" w:color="auto"/>
            <w:right w:val="none" w:sz="0" w:space="0" w:color="auto"/>
          </w:divBdr>
        </w:div>
      </w:divsChild>
    </w:div>
    <w:div w:id="1152990972">
      <w:bodyDiv w:val="1"/>
      <w:marLeft w:val="0"/>
      <w:marRight w:val="0"/>
      <w:marTop w:val="0"/>
      <w:marBottom w:val="0"/>
      <w:divBdr>
        <w:top w:val="none" w:sz="0" w:space="0" w:color="auto"/>
        <w:left w:val="none" w:sz="0" w:space="0" w:color="auto"/>
        <w:bottom w:val="none" w:sz="0" w:space="0" w:color="auto"/>
        <w:right w:val="none" w:sz="0" w:space="0" w:color="auto"/>
      </w:divBdr>
    </w:div>
    <w:div w:id="1189372774">
      <w:bodyDiv w:val="1"/>
      <w:marLeft w:val="0"/>
      <w:marRight w:val="0"/>
      <w:marTop w:val="0"/>
      <w:marBottom w:val="0"/>
      <w:divBdr>
        <w:top w:val="none" w:sz="0" w:space="0" w:color="auto"/>
        <w:left w:val="none" w:sz="0" w:space="0" w:color="auto"/>
        <w:bottom w:val="none" w:sz="0" w:space="0" w:color="auto"/>
        <w:right w:val="none" w:sz="0" w:space="0" w:color="auto"/>
      </w:divBdr>
    </w:div>
    <w:div w:id="1313682232">
      <w:bodyDiv w:val="1"/>
      <w:marLeft w:val="0"/>
      <w:marRight w:val="0"/>
      <w:marTop w:val="0"/>
      <w:marBottom w:val="0"/>
      <w:divBdr>
        <w:top w:val="none" w:sz="0" w:space="0" w:color="auto"/>
        <w:left w:val="none" w:sz="0" w:space="0" w:color="auto"/>
        <w:bottom w:val="none" w:sz="0" w:space="0" w:color="auto"/>
        <w:right w:val="none" w:sz="0" w:space="0" w:color="auto"/>
      </w:divBdr>
      <w:divsChild>
        <w:div w:id="895821018">
          <w:marLeft w:val="0"/>
          <w:marRight w:val="0"/>
          <w:marTop w:val="0"/>
          <w:marBottom w:val="0"/>
          <w:divBdr>
            <w:top w:val="none" w:sz="0" w:space="0" w:color="auto"/>
            <w:left w:val="none" w:sz="0" w:space="0" w:color="auto"/>
            <w:bottom w:val="none" w:sz="0" w:space="0" w:color="auto"/>
            <w:right w:val="none" w:sz="0" w:space="0" w:color="auto"/>
          </w:divBdr>
          <w:divsChild>
            <w:div w:id="1800562076">
              <w:marLeft w:val="0"/>
              <w:marRight w:val="0"/>
              <w:marTop w:val="0"/>
              <w:marBottom w:val="0"/>
              <w:divBdr>
                <w:top w:val="none" w:sz="0" w:space="0" w:color="auto"/>
                <w:left w:val="none" w:sz="0" w:space="0" w:color="auto"/>
                <w:bottom w:val="none" w:sz="0" w:space="0" w:color="auto"/>
                <w:right w:val="none" w:sz="0" w:space="0" w:color="auto"/>
              </w:divBdr>
              <w:divsChild>
                <w:div w:id="3415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2045">
      <w:bodyDiv w:val="1"/>
      <w:marLeft w:val="0"/>
      <w:marRight w:val="0"/>
      <w:marTop w:val="0"/>
      <w:marBottom w:val="0"/>
      <w:divBdr>
        <w:top w:val="none" w:sz="0" w:space="0" w:color="auto"/>
        <w:left w:val="none" w:sz="0" w:space="0" w:color="auto"/>
        <w:bottom w:val="none" w:sz="0" w:space="0" w:color="auto"/>
        <w:right w:val="none" w:sz="0" w:space="0" w:color="auto"/>
      </w:divBdr>
    </w:div>
    <w:div w:id="1394231540">
      <w:bodyDiv w:val="1"/>
      <w:marLeft w:val="0"/>
      <w:marRight w:val="0"/>
      <w:marTop w:val="0"/>
      <w:marBottom w:val="0"/>
      <w:divBdr>
        <w:top w:val="none" w:sz="0" w:space="0" w:color="auto"/>
        <w:left w:val="none" w:sz="0" w:space="0" w:color="auto"/>
        <w:bottom w:val="none" w:sz="0" w:space="0" w:color="auto"/>
        <w:right w:val="none" w:sz="0" w:space="0" w:color="auto"/>
      </w:divBdr>
    </w:div>
    <w:div w:id="1551531109">
      <w:bodyDiv w:val="1"/>
      <w:marLeft w:val="0"/>
      <w:marRight w:val="0"/>
      <w:marTop w:val="0"/>
      <w:marBottom w:val="0"/>
      <w:divBdr>
        <w:top w:val="none" w:sz="0" w:space="0" w:color="auto"/>
        <w:left w:val="none" w:sz="0" w:space="0" w:color="auto"/>
        <w:bottom w:val="none" w:sz="0" w:space="0" w:color="auto"/>
        <w:right w:val="none" w:sz="0" w:space="0" w:color="auto"/>
      </w:divBdr>
    </w:div>
    <w:div w:id="1599293651">
      <w:bodyDiv w:val="1"/>
      <w:marLeft w:val="0"/>
      <w:marRight w:val="0"/>
      <w:marTop w:val="0"/>
      <w:marBottom w:val="0"/>
      <w:divBdr>
        <w:top w:val="none" w:sz="0" w:space="0" w:color="auto"/>
        <w:left w:val="none" w:sz="0" w:space="0" w:color="auto"/>
        <w:bottom w:val="none" w:sz="0" w:space="0" w:color="auto"/>
        <w:right w:val="none" w:sz="0" w:space="0" w:color="auto"/>
      </w:divBdr>
    </w:div>
    <w:div w:id="1723091420">
      <w:bodyDiv w:val="1"/>
      <w:marLeft w:val="0"/>
      <w:marRight w:val="0"/>
      <w:marTop w:val="0"/>
      <w:marBottom w:val="0"/>
      <w:divBdr>
        <w:top w:val="none" w:sz="0" w:space="0" w:color="auto"/>
        <w:left w:val="none" w:sz="0" w:space="0" w:color="auto"/>
        <w:bottom w:val="none" w:sz="0" w:space="0" w:color="auto"/>
        <w:right w:val="none" w:sz="0" w:space="0" w:color="auto"/>
      </w:divBdr>
    </w:div>
    <w:div w:id="1840851319">
      <w:bodyDiv w:val="1"/>
      <w:marLeft w:val="0"/>
      <w:marRight w:val="0"/>
      <w:marTop w:val="0"/>
      <w:marBottom w:val="0"/>
      <w:divBdr>
        <w:top w:val="none" w:sz="0" w:space="0" w:color="auto"/>
        <w:left w:val="none" w:sz="0" w:space="0" w:color="auto"/>
        <w:bottom w:val="none" w:sz="0" w:space="0" w:color="auto"/>
        <w:right w:val="none" w:sz="0" w:space="0" w:color="auto"/>
      </w:divBdr>
      <w:divsChild>
        <w:div w:id="680861119">
          <w:marLeft w:val="0"/>
          <w:marRight w:val="0"/>
          <w:marTop w:val="0"/>
          <w:marBottom w:val="0"/>
          <w:divBdr>
            <w:top w:val="none" w:sz="0" w:space="0" w:color="auto"/>
            <w:left w:val="none" w:sz="0" w:space="0" w:color="auto"/>
            <w:bottom w:val="none" w:sz="0" w:space="0" w:color="auto"/>
            <w:right w:val="none" w:sz="0" w:space="0" w:color="auto"/>
          </w:divBdr>
        </w:div>
      </w:divsChild>
    </w:div>
    <w:div w:id="20416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ketwatch.com/" TargetMode="External"/><Relationship Id="rId13" Type="http://schemas.openxmlformats.org/officeDocument/2006/relationships/hyperlink" Target="https://www.macrotrends.net/stocks/charts/JBL/jabil/research-development-expenses" TargetMode="External"/><Relationship Id="rId18" Type="http://schemas.openxmlformats.org/officeDocument/2006/relationships/hyperlink" Target="https://finviz.com/screener.ashx" TargetMode="External"/><Relationship Id="rId26" Type="http://schemas.openxmlformats.org/officeDocument/2006/relationships/hyperlink" Target="https://www.investopedia.com/terms/c/cagr.asp" TargetMode="External"/><Relationship Id="rId3" Type="http://schemas.openxmlformats.org/officeDocument/2006/relationships/settings" Target="settings.xml"/><Relationship Id="rId21" Type="http://schemas.openxmlformats.org/officeDocument/2006/relationships/hyperlink" Target="https://www.marketwatch.com/" TargetMode="External"/><Relationship Id="rId7" Type="http://schemas.openxmlformats.org/officeDocument/2006/relationships/hyperlink" Target="https://uk.finance.yahoo.com/quote/JBL/key-statistics/" TargetMode="External"/><Relationship Id="rId12" Type="http://schemas.openxmlformats.org/officeDocument/2006/relationships/hyperlink" Target="https://fullratio.com/profit-margin-by-industry" TargetMode="External"/><Relationship Id="rId17" Type="http://schemas.openxmlformats.org/officeDocument/2006/relationships/hyperlink" Target="https://oilprice.com/Energy/Energy-General/Why-APA-is-Underperforming-the-Sector-and-Why-That-May-Change.html" TargetMode="External"/><Relationship Id="rId25" Type="http://schemas.openxmlformats.org/officeDocument/2006/relationships/hyperlink" Target="https://fullratio.com/profit-margin-by-industr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crotrends.net/1369/crude-oil-price-history-chart" TargetMode="External"/><Relationship Id="rId20" Type="http://schemas.openxmlformats.org/officeDocument/2006/relationships/hyperlink" Target="https://uk.finance.yahoo.com/quote/JBL/key-statistics/" TargetMode="External"/><Relationship Id="rId29" Type="http://schemas.openxmlformats.org/officeDocument/2006/relationships/hyperlink" Target="https://www.mckinsey.com/industries/healthcare/our-insights/what-to-expect-in-us-healthcare-in-2024-and-beyond" TargetMode="External"/><Relationship Id="rId1" Type="http://schemas.openxmlformats.org/officeDocument/2006/relationships/numbering" Target="numbering.xml"/><Relationship Id="rId6" Type="http://schemas.openxmlformats.org/officeDocument/2006/relationships/hyperlink" Target="https://www.macrotrends.net/stocks/stock-screener" TargetMode="External"/><Relationship Id="rId11" Type="http://schemas.openxmlformats.org/officeDocument/2006/relationships/hyperlink" Target="https://fullratio.com/pe-ratio-by-industry" TargetMode="External"/><Relationship Id="rId24" Type="http://schemas.openxmlformats.org/officeDocument/2006/relationships/hyperlink" Target="https://fullratio.com/pe-ratio-by-industry" TargetMode="External"/><Relationship Id="rId32" Type="http://schemas.openxmlformats.org/officeDocument/2006/relationships/fontTable" Target="fontTable.xml"/><Relationship Id="rId5" Type="http://schemas.openxmlformats.org/officeDocument/2006/relationships/hyperlink" Target="https://finviz.com/screener.ashx" TargetMode="External"/><Relationship Id="rId15" Type="http://schemas.openxmlformats.org/officeDocument/2006/relationships/hyperlink" Target="https://www.mckinsey.com/industries/healthcare/our-insights/what-to-expect-in-us-healthcare-in-2024-and-beyond" TargetMode="External"/><Relationship Id="rId23" Type="http://schemas.openxmlformats.org/officeDocument/2006/relationships/hyperlink" Target="https://fullratio.com/roe-by-industry" TargetMode="External"/><Relationship Id="rId28" Type="http://schemas.openxmlformats.org/officeDocument/2006/relationships/hyperlink" Target="https://seekingalpha.com/article/4695325-east-west-bancorp-dividend-continues-its-rapid-growth" TargetMode="External"/><Relationship Id="rId10" Type="http://schemas.openxmlformats.org/officeDocument/2006/relationships/hyperlink" Target="https://fullratio.com/roe-by-industry" TargetMode="External"/><Relationship Id="rId19" Type="http://schemas.openxmlformats.org/officeDocument/2006/relationships/hyperlink" Target="https://www.macrotrends.net/stocks/stock-screener" TargetMode="External"/><Relationship Id="rId31" Type="http://schemas.openxmlformats.org/officeDocument/2006/relationships/hyperlink" Target="https://oilprice.com/Energy/Energy-General/Why-APA-is-Underperforming-the-Sector-and-Why-That-May-Change.html" TargetMode="External"/><Relationship Id="rId4" Type="http://schemas.openxmlformats.org/officeDocument/2006/relationships/webSettings" Target="webSettings.xml"/><Relationship Id="rId9" Type="http://schemas.openxmlformats.org/officeDocument/2006/relationships/hyperlink" Target="https://docs.google.com/spreadsheets/d/1z0Bw7UstE3HDsqG-O2ixcl-A-tdSjkBq9uIMQFs7Ffo/edit?usp=sharing" TargetMode="External"/><Relationship Id="rId14" Type="http://schemas.openxmlformats.org/officeDocument/2006/relationships/hyperlink" Target="https://seekingalpha.com/article/4695325-east-west-bancorp-dividend-continues-its-rapid-growth%20" TargetMode="External"/><Relationship Id="rId22" Type="http://schemas.openxmlformats.org/officeDocument/2006/relationships/hyperlink" Target="https://docs.google.com/spreadsheets/d/1z0Bw7UstE3HDsqG-O2ixcl-A-tdSjkBq9uIMQFs7Ffo/edit?usp=sharing" TargetMode="External"/><Relationship Id="rId27" Type="http://schemas.openxmlformats.org/officeDocument/2006/relationships/hyperlink" Target="https://www.macrotrends.net/stocks/charts/JBL/jabil/research-development-expenses" TargetMode="External"/><Relationship Id="rId30" Type="http://schemas.openxmlformats.org/officeDocument/2006/relationships/hyperlink" Target="https://www.macrotrends.net/1369/crude-oil-price-history-cha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367</TotalTime>
  <Pages>12</Pages>
  <Words>3972</Words>
  <Characters>22644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2</cp:revision>
  <dcterms:created xsi:type="dcterms:W3CDTF">2024-07-21T00:59:00Z</dcterms:created>
  <dcterms:modified xsi:type="dcterms:W3CDTF">2024-07-21T07:06:00Z</dcterms:modified>
</cp:coreProperties>
</file>